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before="0" w:after="0" w:line="640" w:lineRule="exact"/>
        <w:ind w:left="0" w:leftChars="0" w:right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6"/>
          <w:szCs w:val="36"/>
          <w:lang w:val="en-US" w:eastAsia="zh-CN"/>
        </w:rPr>
      </w:pPr>
      <w:bookmarkStart w:id="0" w:name="_GoBack"/>
      <w:bookmarkEnd w:id="0"/>
    </w:p>
    <w:p>
      <w:pPr>
        <w:widowControl w:val="0"/>
        <w:wordWrap/>
        <w:adjustRightInd/>
        <w:snapToGrid/>
        <w:spacing w:before="0" w:after="0" w:line="640" w:lineRule="exact"/>
        <w:ind w:left="0" w:leftChars="0" w:right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6"/>
          <w:szCs w:val="36"/>
        </w:rPr>
      </w:pPr>
    </w:p>
    <w:p>
      <w:pPr>
        <w:widowControl w:val="0"/>
        <w:wordWrap/>
        <w:adjustRightInd/>
        <w:snapToGrid/>
        <w:spacing w:before="0" w:after="0" w:line="640" w:lineRule="exact"/>
        <w:ind w:left="0" w:leftChars="0" w:right="0" w:firstLine="0" w:firstLineChars="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auto"/>
          <w:spacing w:val="14"/>
          <w:sz w:val="72"/>
          <w:szCs w:val="72"/>
        </w:rPr>
      </w:pPr>
    </w:p>
    <w:p>
      <w:pPr>
        <w:widowControl w:val="0"/>
        <w:wordWrap/>
        <w:adjustRightInd/>
        <w:snapToGrid/>
        <w:spacing w:before="0" w:after="0" w:line="640" w:lineRule="exact"/>
        <w:ind w:left="0" w:leftChars="0" w:right="0" w:firstLine="0" w:firstLineChars="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auto"/>
          <w:spacing w:val="14"/>
          <w:sz w:val="72"/>
          <w:szCs w:val="72"/>
        </w:rPr>
      </w:pPr>
    </w:p>
    <w:p>
      <w:pPr>
        <w:widowControl w:val="0"/>
        <w:wordWrap/>
        <w:adjustRightInd/>
        <w:snapToGrid/>
        <w:spacing w:before="0" w:after="0" w:line="640" w:lineRule="exact"/>
        <w:ind w:left="0" w:leftChars="0" w:right="0" w:firstLine="0" w:firstLineChars="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auto"/>
          <w:spacing w:val="14"/>
          <w:sz w:val="72"/>
          <w:szCs w:val="72"/>
        </w:rPr>
      </w:pPr>
    </w:p>
    <w:p>
      <w:pPr>
        <w:widowControl w:val="0"/>
        <w:wordWrap/>
        <w:adjustRightInd/>
        <w:snapToGrid/>
        <w:spacing w:before="0" w:after="0" w:line="640" w:lineRule="exact"/>
        <w:ind w:left="0" w:leftChars="0" w:right="0" w:firstLine="0" w:firstLineChars="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auto"/>
          <w:spacing w:val="14"/>
          <w:sz w:val="72"/>
          <w:szCs w:val="72"/>
        </w:rPr>
      </w:pPr>
    </w:p>
    <w:p>
      <w:pPr>
        <w:widowControl w:val="0"/>
        <w:wordWrap/>
        <w:adjustRightInd/>
        <w:snapToGrid/>
        <w:spacing w:line="76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</w:p>
    <w:p>
      <w:pPr>
        <w:widowControl w:val="0"/>
        <w:wordWrap/>
        <w:adjustRightInd/>
        <w:snapToGrid/>
        <w:spacing w:line="74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</w:p>
    <w:p>
      <w:pPr>
        <w:spacing w:line="520" w:lineRule="exact"/>
        <w:jc w:val="center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呼县政办〔20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bCs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〕</w:t>
      </w:r>
      <w:r>
        <w:rPr>
          <w:rFonts w:hint="eastAsia" w:eastAsia="仿宋_GB2312" w:cs="Times New Roman"/>
          <w:bCs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号</w:t>
      </w:r>
    </w:p>
    <w:p>
      <w:pPr>
        <w:widowControl w:val="0"/>
        <w:wordWrap/>
        <w:adjustRightInd/>
        <w:snapToGrid/>
        <w:spacing w:before="0" w:after="0" w:line="54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印发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《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呼图壁县202</w:t>
      </w:r>
      <w:r>
        <w:rPr>
          <w:rFonts w:hint="eastAsia" w:eastAsia="方正小标宋简体" w:cs="Times New Roman"/>
          <w:b w:val="0"/>
          <w:bCs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年水量分配方案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的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Autospacing="0" w:after="0" w:afterAutospacing="0" w:line="58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农牧区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乡镇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（场）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《呼图壁县202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年水量分配方案》已经县人民政府研究同意，现印发给你们，请严格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落实水资源管理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要求，抓好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工作落实。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topLinePunct w:val="0"/>
        <w:autoSpaceDN/>
        <w:bidi w:val="0"/>
        <w:adjustRightInd/>
        <w:snapToGrid/>
        <w:spacing w:before="0"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附件：1.呼图壁县2024年水量分配方案</w:t>
      </w:r>
    </w:p>
    <w:p>
      <w:pPr>
        <w:keepNext w:val="0"/>
        <w:keepLines w:val="0"/>
        <w:pageBreakBefore w:val="0"/>
        <w:widowControl w:val="0"/>
        <w:kinsoku/>
        <w:topLinePunct w:val="0"/>
        <w:autoSpaceDN/>
        <w:bidi w:val="0"/>
        <w:adjustRightInd/>
        <w:snapToGrid/>
        <w:spacing w:line="580" w:lineRule="exact"/>
        <w:ind w:firstLine="1600" w:firstLineChars="5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2.呼图壁县2024年度第一产业（农田灌溉、林地灌</w:t>
      </w:r>
    </w:p>
    <w:p>
      <w:pPr>
        <w:keepNext w:val="0"/>
        <w:keepLines w:val="0"/>
        <w:pageBreakBefore w:val="0"/>
        <w:widowControl w:val="0"/>
        <w:kinsoku/>
        <w:topLinePunct w:val="0"/>
        <w:autoSpaceDN/>
        <w:bidi w:val="0"/>
        <w:adjustRightInd/>
        <w:snapToGrid/>
        <w:spacing w:line="580" w:lineRule="exact"/>
        <w:ind w:firstLine="1600" w:firstLineChars="5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溉、庭院灌溉、渔业养殖）用水量分配表</w:t>
      </w:r>
    </w:p>
    <w:p>
      <w:pPr>
        <w:keepNext w:val="0"/>
        <w:keepLines w:val="0"/>
        <w:pageBreakBefore w:val="0"/>
        <w:widowControl w:val="0"/>
        <w:kinsoku/>
        <w:topLinePunct w:val="0"/>
        <w:autoSpaceDN/>
        <w:bidi w:val="0"/>
        <w:adjustRightInd/>
        <w:snapToGrid/>
        <w:spacing w:line="580" w:lineRule="exact"/>
        <w:ind w:firstLine="1600" w:firstLineChars="5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3.呼图壁县2024年度第三产业（居民生活、畜禽养</w:t>
      </w:r>
    </w:p>
    <w:p>
      <w:pPr>
        <w:keepNext w:val="0"/>
        <w:keepLines w:val="0"/>
        <w:pageBreakBefore w:val="0"/>
        <w:widowControl w:val="0"/>
        <w:kinsoku/>
        <w:topLinePunct w:val="0"/>
        <w:autoSpaceDN/>
        <w:bidi w:val="0"/>
        <w:adjustRightInd/>
        <w:snapToGrid/>
        <w:spacing w:line="580" w:lineRule="exact"/>
        <w:ind w:firstLine="1600" w:firstLineChars="5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殖、公共事业、公共绿化）用水量分配表</w:t>
      </w:r>
    </w:p>
    <w:p>
      <w:pPr>
        <w:keepNext w:val="0"/>
        <w:keepLines w:val="0"/>
        <w:pageBreakBefore w:val="0"/>
        <w:widowControl w:val="0"/>
        <w:kinsoku/>
        <w:topLinePunct w:val="0"/>
        <w:autoSpaceDN/>
        <w:bidi w:val="0"/>
        <w:adjustRightInd/>
        <w:snapToGrid/>
        <w:spacing w:line="580" w:lineRule="exact"/>
        <w:ind w:firstLine="1600" w:firstLineChars="5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4.呼图壁县2024年度各产业（一产、二产、三产）</w:t>
      </w:r>
    </w:p>
    <w:p>
      <w:pPr>
        <w:keepNext w:val="0"/>
        <w:keepLines w:val="0"/>
        <w:pageBreakBefore w:val="0"/>
        <w:widowControl w:val="0"/>
        <w:kinsoku/>
        <w:topLinePunct w:val="0"/>
        <w:autoSpaceDN/>
        <w:bidi w:val="0"/>
        <w:adjustRightInd/>
        <w:snapToGrid/>
        <w:spacing w:line="580" w:lineRule="exact"/>
        <w:ind w:firstLine="1600" w:firstLineChars="500"/>
        <w:textAlignment w:val="auto"/>
        <w:rPr>
          <w:rFonts w:hint="default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用水量分配总表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N/>
        <w:bidi w:val="0"/>
        <w:adjustRightInd/>
        <w:snapToGrid/>
        <w:spacing w:before="0" w:line="58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N/>
        <w:bidi w:val="0"/>
        <w:adjustRightInd/>
        <w:snapToGrid/>
        <w:spacing w:before="0" w:line="58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N/>
        <w:bidi w:val="0"/>
        <w:adjustRightInd/>
        <w:snapToGrid/>
        <w:spacing w:before="0" w:line="58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呼图壁县人民政府办公室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日           </w:t>
      </w:r>
    </w:p>
    <w:p>
      <w:pPr>
        <w:pStyle w:val="2"/>
        <w:keepNext w:val="0"/>
        <w:keepLines w:val="0"/>
        <w:pageBreakBefore w:val="0"/>
        <w:widowControl w:val="0"/>
        <w:kinsoku/>
        <w:topLinePunct w:val="0"/>
        <w:autoSpaceDN/>
        <w:bidi w:val="0"/>
        <w:adjustRightInd/>
        <w:snapToGrid/>
        <w:spacing w:before="0"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topLinePunct w:val="0"/>
        <w:autoSpaceDN/>
        <w:bidi w:val="0"/>
        <w:adjustRightInd/>
        <w:snapToGrid/>
        <w:spacing w:before="0"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抄送：县委办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>人大</w:t>
      </w:r>
      <w:r>
        <w:rPr>
          <w:rFonts w:hint="eastAsia" w:eastAsia="仿宋_GB2312" w:cs="Times New Roman"/>
          <w:color w:val="auto"/>
          <w:sz w:val="28"/>
          <w:szCs w:val="28"/>
          <w:u w:val="single"/>
          <w:lang w:val="en-US" w:eastAsia="zh-CN"/>
        </w:rPr>
        <w:t>常委会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>办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>政协办</w:t>
      </w:r>
      <w:r>
        <w:rPr>
          <w:rFonts w:hint="eastAsia" w:ascii="仿宋_GB2312" w:hAnsi="仿宋_GB2312" w:cs="仿宋_GB2312"/>
          <w:color w:val="auto"/>
          <w:sz w:val="28"/>
          <w:szCs w:val="28"/>
          <w:u w:val="singl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>存档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8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呼图壁县人民政府办公室     </w:t>
      </w:r>
      <w:r>
        <w:rPr>
          <w:rFonts w:hint="eastAsia" w:eastAsia="仿宋_GB2312" w:cs="Times New Roman"/>
          <w:color w:val="auto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 xml:space="preserve"> 202</w:t>
      </w:r>
      <w:r>
        <w:rPr>
          <w:rFonts w:hint="eastAsia" w:eastAsia="仿宋_GB2312" w:cs="Times New Roman"/>
          <w:color w:val="auto"/>
          <w:sz w:val="28"/>
          <w:szCs w:val="28"/>
          <w:u w:val="singl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>年</w:t>
      </w:r>
      <w:r>
        <w:rPr>
          <w:rFonts w:hint="eastAsia" w:eastAsia="仿宋_GB2312" w:cs="Times New Roman"/>
          <w:color w:val="auto"/>
          <w:sz w:val="28"/>
          <w:szCs w:val="28"/>
          <w:u w:val="singl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>月</w:t>
      </w:r>
      <w:r>
        <w:rPr>
          <w:rFonts w:hint="eastAsia" w:eastAsia="仿宋_GB2312" w:cs="Times New Roman"/>
          <w:color w:val="auto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日印发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呼图壁县202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年水量分配方案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贯彻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落实最严格水资源管理制度，优化水资源配置，促进水资源可持续利用，根据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bidi="ar"/>
        </w:rPr>
        <w:t>《昌吉州用水总量控制方案》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，结合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县域实际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深入贯彻落实习近平总书记关于治水工作的重要论述精神，坚持节水优先，以水定规模、以水定产业、以水调结构，落实最严格水资源管理制度，深入推进县域节水型社会达标建设行动，加快产业结构调整和用水方式转变，把节水贯穿于经济社会发展和生态文明建设全过程，科学谋划水资源配置战略格局，以水资源可持续利用支撑经济社会可持续发展、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工作原则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（一）节水优先，高效利用。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坚持把水资源作为最大的刚性约束，以水定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、量水而行、因水制宜，优化产业结构和用水结构，推动用水方式由粗放型向节约集约型转变，不断提高用水效率和效益。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（二）合理分水，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有效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用水。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落实最严格水资源管理制度，全面分解落实用水总量、地下水开采控制指标，严格执行用水定额标准，积极落实轮次控制用水，强化取用水的过程管理和动态监控，坚决抑制不合理用水需求。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（三）优化配置，市场调节。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科学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区分水量配置主次目标，在保障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各族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群众生活和基本生态用水的前提下，统筹其他行业用水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充分发挥市场对水资源的配置作用，建立以效益驱动水权的流转模式，以水资源高效利用推动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县域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经济社会高质量发展。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（四）依法治水，科学管水。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依法加强涉水活动的监督，规范和约束用水户取用水行为，不断提高水资源管理的科学化、法治化水平。牢固树立绿色发展理念，把生态保护与水资源开发利用和节约保护有机结合，强化生态治水理念，促进人水和谐相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三、水量配置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依据用水总量控制指标和用水定额，围绕年度各产业结构调整目标和重点任务进行水量配置。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（一）用水指标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2024年，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县用水总量控制指标40396.4万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，其中：地表水用水量上限指标23682.6万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，地下水开采量上限指标15992.2万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，中水上限指标721.6万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；第一产业用水上限指标36121.4万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，第二产业用水上限指标1741万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，第三产业用水上限指标2534万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（二）配置原则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1.坚持总量控制、定额管理的原则。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全县用水总量控制以地表水监测点和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地下水远程计量设施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2.坚持基本用水优先、公平与效率兼顾的原则。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优先保障基本生态和城乡生活用水，重点保障粮食种植用水，统筹保障其他农业作物灌溉用水，尽可能满足工业发展用水，协调分配其他生态用水。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3.坚持全面覆盖、分片管理的原则。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以行政区域和管辖范围为单元，实行“片区网格化”管理模式，将全县合理划分为10个片区网格（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县属、大丰镇、五工台镇、园户村镇、二十里店镇、雀尔沟镇、石梯子乡、种牛场、家庭农场、乌昌石汗阔勒牧场）。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4.坚持下管一级、逐级分配的原则。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水量由县人民政府分配到各片区网格（控制单元），各片区网格再结合各自实际分配到每一亩地、每一眼井。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5.坚持先地表水、后地下水的原则。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实行地表水、地下水统一调度，可供的地表水优先配置，最大限度地减少地下水开采。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6.坚持政府调控与市场机制相结合的原则。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实行差别化阶梯水价政策，推行“节奖超罚”，以经济杠杆促进水资源的配置最优化和效益最大化。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（三）配置方法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结合昌吉州下达的用水控制指标和县域实际，按照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第一、二、三产业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进行水量配置，具体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指标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如下：</w:t>
      </w:r>
    </w:p>
    <w:p>
      <w:pPr>
        <w:keepNext/>
        <w:keepLines w:val="0"/>
        <w:pageBreakBefore w:val="0"/>
        <w:tabs>
          <w:tab w:val="left" w:pos="640"/>
          <w:tab w:val="left" w:pos="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0" w:firstLineChars="196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第一产业（农田灌溉、林地灌溉、庭院灌溉、渔业养殖）：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水量配置指标确定为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36121.4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含中水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/>
        <w:keepLines w:val="0"/>
        <w:pageBreakBefore w:val="0"/>
        <w:tabs>
          <w:tab w:val="left" w:pos="640"/>
          <w:tab w:val="left" w:pos="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0" w:firstLineChars="196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第二产业（工业、火电、建筑）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水量配置指标确定为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1741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/>
        <w:keepLines w:val="0"/>
        <w:pageBreakBefore w:val="0"/>
        <w:tabs>
          <w:tab w:val="left" w:pos="640"/>
          <w:tab w:val="left" w:pos="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0" w:firstLineChars="196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bCs/>
          <w:kern w:val="2"/>
          <w:sz w:val="32"/>
          <w:szCs w:val="32"/>
          <w:lang w:val="en-US" w:eastAsia="zh-CN" w:bidi="ar-SA"/>
        </w:rPr>
        <w:t>第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三产</w:t>
      </w:r>
      <w:r>
        <w:rPr>
          <w:rFonts w:hint="eastAsia" w:eastAsia="仿宋_GB2312" w:cs="Times New Roman"/>
          <w:b/>
          <w:bCs/>
          <w:kern w:val="2"/>
          <w:sz w:val="32"/>
          <w:szCs w:val="32"/>
          <w:lang w:val="en-US" w:eastAsia="zh-CN" w:bidi="ar-SA"/>
        </w:rPr>
        <w:t>业（城乡生活、畜禽养殖、公共事业、城镇公共绿化等）：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水量配置指标确定为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2534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eastAsia" w:eastAsia="楷体_GB2312" w:cs="Times New Roman"/>
          <w:b/>
          <w:bCs/>
          <w:sz w:val="32"/>
          <w:szCs w:val="32"/>
          <w:lang w:val="en-US" w:eastAsia="zh-CN"/>
        </w:rPr>
        <w:t>第一产业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用水量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配置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（1）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农田灌溉用水量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配置</w:t>
      </w:r>
      <w:r>
        <w:rPr>
          <w:rFonts w:hint="eastAsia" w:eastAsia="仿宋_GB2312" w:cs="Times New Roman"/>
          <w:b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全县202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年农田灌溉用水指标核定为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29366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，其中：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地下水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11293.2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、地表水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18072.8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按照“以水定地、量水而行”的原则，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2024年全县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农业控制性灌溉面积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95万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以内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大丰镇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农田灌溉用水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水量配置指标确定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3897.4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，地下水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1321.8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、地表水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2575.6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农业控制性灌溉面积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6521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亩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五工台镇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农田灌溉用水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水量配置指标确定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5194.9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，地下水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1273.4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、地表水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3921.5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农业控制性灌溉面积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8639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亩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园户村镇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农田灌溉用水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水量配置指标确定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3302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，地下水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932.6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、地表水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2369.4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农业控制性灌溉面积107192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亩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二十里店镇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农田灌溉用水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水量配置指标确定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4155.3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，地下水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1266.5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、地表水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2888.8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农业控制性灌溉面积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893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亩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雀尔沟镇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农田灌溉用水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水量配置指标确定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1190.8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，地下水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239.5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、地表水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951.3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农业控制性灌溉面积35815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亩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石梯子乡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农田灌溉用水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水量配置指标确定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2814.5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均为地表水，农业控制性灌溉面积81535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亩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国有林管理中心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农田灌溉用水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水量配置指标确定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422.9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，地下水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211.5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、地表水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211.4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农业控制性灌溉面积13730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亩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种牛场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农田灌溉用水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水量配置指标确定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3548.2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，地下水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1281.1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、地表水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2267.1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农业控制性灌溉面积115184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亩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乌昌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石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汗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阔勒牧场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农田灌溉用水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水量配置指标确定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434.1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均为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地下水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，农业控制性灌溉面积14969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亩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农场管理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中心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农田灌溉用水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水量配置指标确定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4192.5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，地下水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4119.3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、地表水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73.2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农业控制性灌溉面积144164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亩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林草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综合行政执法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大队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农田灌溉用水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水量配置指标确定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143.8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均为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地下水，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农业控制性灌溉面积4958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亩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农职校（东泉干校）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农田灌溉用水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水量配置指标确定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69.6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均为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地下水，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农业控制性灌溉面积2400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林地灌溉用水量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配置。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全县2024年林地灌溉用水指标为5829万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，其中：地下水999.8万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、地表水</w:t>
      </w:r>
      <w:r>
        <w:rPr>
          <w:rFonts w:hint="default" w:ascii="Times New Roman" w:hAnsi="Times New Roman" w:eastAsia="仿宋_GB2312" w:cs="Times New Roman"/>
          <w:color w:val="auto"/>
          <w:spacing w:val="20"/>
          <w:sz w:val="32"/>
          <w:szCs w:val="32"/>
          <w:lang w:val="en-US" w:eastAsia="zh-CN"/>
        </w:rPr>
        <w:t>4107.6万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、中水721.6万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庭院灌溉用水量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配置。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全县2024年庭院灌溉用水指标为340.5万m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，其中：地下水202.9万m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、地表水137.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渔业养殖用水量分配</w:t>
      </w:r>
      <w:r>
        <w:rPr>
          <w:rFonts w:hint="eastAsia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全县2024年渔业养殖用水指标为585.9万m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，其中：地下水202.7万m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、地表水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lang w:val="en-US" w:eastAsia="zh-CN"/>
        </w:rPr>
        <w:t>383.2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2.第二产业用水量配置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含加工制造业、建筑业及热电产业等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因工业用水大部分为集中供水厂统一供水，则不作细化分解。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第三产业用水量配置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（1）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居民生活用水量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配置。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全县2024年城乡居民生活用水指标核定为651.2万m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，其中：地下水517.6万m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、地表水133.6万m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（2）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畜禽养殖用水量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配置。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全县2024年畜禽养殖用水指标核定为96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，其中：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地下水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620.5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、地表水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345.6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6"/>
        <w:keepNext/>
        <w:keepLines w:val="0"/>
        <w:pageBreakBefore w:val="0"/>
        <w:shd w:val="clear" w:color="auto" w:fill="FFFFFF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（3）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公共事业用水量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配置。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全县202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年公共事业用水指标核定为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310.8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，其中：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地下水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231.4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、地表水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79.4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（4）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城镇公共绿化用水量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配置。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全县202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年城镇公共绿化用水指标核定为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505.9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，其中：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地下水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404.7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、地表水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101.2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6"/>
        <w:keepNext/>
        <w:keepLines w:val="0"/>
        <w:pageBreakBefore w:val="0"/>
        <w:shd w:val="clear" w:color="auto" w:fill="FFFFFF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矿区生活用水量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配置。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全县202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年矿区生活用水指标核定为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均为地表水。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（按照各煤矿水资源论证报告结论予以分配）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加强领导，强化协作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建立水量配置方案落实的协调配合机制，各片区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齐抓共管形成合力，将水量配置工作落到实处。坚持统一管理，分级负责，进一步健全“县水利局</w:t>
      </w:r>
      <w:r>
        <w:rPr>
          <w:rFonts w:hint="eastAsia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片区网格</w:t>
      </w:r>
      <w:r>
        <w:rPr>
          <w:rFonts w:hint="eastAsia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用水户”三级水量分配管理机制，各片区网格按照水量配置方案负责组织好</w:t>
      </w:r>
      <w:r>
        <w:rPr>
          <w:rFonts w:hint="eastAsia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责任区域</w:t>
      </w:r>
      <w:r>
        <w:rPr>
          <w:rFonts w:hint="eastAsia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各用水户的水量分配及执行工作，同时贯彻落实好相关政策、制度、办法等，确保水量配置工作顺利进行。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明确目标，压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实责任。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水量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分配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方案的落实按照片区网格管理的原则，实行“一把手”负责制，同时采取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逐级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签订目标责任书的办法明确责任主体，严格落实目标责任考核制度。对在水量配置方案落实过程中违规和不执行有关规定的单位或个人，将严肃追究责任，以问责问效倒逼责任落实。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）调整结构，提高效率。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农业农村局要适时指导各乡镇调整种植结构，全面推进以水定结构、以水定布局和以水定规模的结构调整模式；同时要把农牧民节水技术培训作为种植业结构调整的基础性工作，适时指导农牧民群众落实各项节水措施，进一步提高用水效率。各农牧区乡镇、各农业生产单位要在维护好已建渠灌、滴灌等灌溉设施和设备的基础上，具体抓好结构调整计划的落实工作。各村（场、队）要积极做好以水定植、以水调结构的协调工作，做好以地表水灌溉为主、地下水灌溉为辅的用水调度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四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）推进改革，提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升效益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严格执行水权水价改革的相关政策规定，认真落实农业差别水价和超定额累进加价制度，以价格杠杆撬动农业产业结构调整，调动自主节水和自律节水的积极性，推动有限水资源向高效益产业转移。各农牧区乡镇、各农业生产单位要进一步加强灌溉管理工作，严格执行水价政策，做到程序严谨，保证灌溉秩序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五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）规范程序，强化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管控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严格执行最严格的水资源管理制度，规范“片区网格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县水利局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人民政府”自下而上的用水核查审批流程，实行水资源的精细化管理和严格的过程性控制，建立和完善水量配置和用水统计台账，提高水量配置的公开透明度，同时充分体现水权享有人的参与权、知情权和监督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六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）严格执法，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化解纠纷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积极完善水事案件防范控制体系，严厉打击非法取水和破坏计量设施等行为，通过严格的水行政执法有效保证取用水秩序规范。各片区网格应认真对待群众信访和水事纠纷，做到在第一时间迅速反应、及时调查、果断处理，使水事矛盾纠纷消除在萌芽状态，确保年度水量配置方案落到实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/>
        </w:rPr>
        <w:sectPr>
          <w:footerReference r:id="rId3" w:type="default"/>
          <w:pgSz w:w="11906" w:h="16838"/>
          <w:pgMar w:top="2098" w:right="1531" w:bottom="1984" w:left="1531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（七）加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强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宣传，正确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引导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水量分配及落实工作量大、涉及面广、要求高，关系到各行各业的切身利益。各网格片区、各相关单位要对水资源合理分配利用、节水型社会建设、水权水价改革等进行全方位、多角度地宣传和深层次、立体化地解读，增强社会各界的水资源忧患意识和节约意识，营造良好的舆论氛围。</w:t>
      </w:r>
    </w:p>
    <w:p>
      <w:pPr>
        <w:pStyle w:val="2"/>
        <w:rPr>
          <w:rFonts w:hint="default"/>
          <w:lang w:val="en-US"/>
        </w:rPr>
      </w:pPr>
    </w:p>
    <w:sectPr>
      <w:footerReference r:id="rId4" w:type="default"/>
      <w:pgSz w:w="16838" w:h="11906" w:orient="landscape"/>
      <w:pgMar w:top="1531" w:right="2098" w:bottom="1531" w:left="198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6E781D1F"/>
    <w:rsid w:val="04674E14"/>
    <w:rsid w:val="13AD1850"/>
    <w:rsid w:val="1E80266D"/>
    <w:rsid w:val="307C68B1"/>
    <w:rsid w:val="3C3B3E8D"/>
    <w:rsid w:val="45042EA6"/>
    <w:rsid w:val="4A9A54A9"/>
    <w:rsid w:val="4D8D418F"/>
    <w:rsid w:val="4E1E2F3D"/>
    <w:rsid w:val="52A53824"/>
    <w:rsid w:val="599903EE"/>
    <w:rsid w:val="5F94740F"/>
    <w:rsid w:val="665927E6"/>
    <w:rsid w:val="6E781D1F"/>
    <w:rsid w:val="7E05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 w:cs="仿宋_GB2312"/>
      <w:b/>
      <w:bCs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qFormat/>
    <w:uiPriority w:val="99"/>
    <w:pPr>
      <w:spacing w:before="120"/>
    </w:pPr>
    <w:rPr>
      <w:rFonts w:ascii="Arial" w:hAnsi="Arial" w:cs="Arial"/>
      <w:sz w:val="24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">
    <w:name w:val="正文文本缩进 21"/>
    <w:basedOn w:val="1"/>
    <w:qFormat/>
    <w:uiPriority w:val="0"/>
    <w:pPr>
      <w:spacing w:after="120" w:line="480" w:lineRule="auto"/>
      <w:ind w:left="420" w:leftChars="200"/>
    </w:pPr>
    <w:rPr>
      <w:szCs w:val="21"/>
    </w:rPr>
  </w:style>
  <w:style w:type="character" w:customStyle="1" w:styleId="10">
    <w:name w:val="font71"/>
    <w:basedOn w:val="8"/>
    <w:qFormat/>
    <w:uiPriority w:val="0"/>
    <w:rPr>
      <w:rFonts w:ascii="方正小标宋简体" w:hAnsi="方正小标宋简体" w:eastAsia="方正小标宋简体" w:cs="方正小标宋简体"/>
      <w:color w:val="000000"/>
      <w:sz w:val="52"/>
      <w:szCs w:val="52"/>
      <w:u w:val="none"/>
    </w:rPr>
  </w:style>
  <w:style w:type="character" w:customStyle="1" w:styleId="11">
    <w:name w:val="font21"/>
    <w:basedOn w:val="8"/>
    <w:qFormat/>
    <w:uiPriority w:val="0"/>
    <w:rPr>
      <w:rFonts w:hint="default" w:ascii="Times New Roman" w:hAnsi="Times New Roman" w:cs="Times New Roman"/>
      <w:color w:val="000000"/>
      <w:sz w:val="52"/>
      <w:szCs w:val="52"/>
      <w:u w:val="none"/>
    </w:rPr>
  </w:style>
  <w:style w:type="character" w:customStyle="1" w:styleId="12">
    <w:name w:val="font51"/>
    <w:basedOn w:val="8"/>
    <w:qFormat/>
    <w:uiPriority w:val="0"/>
    <w:rPr>
      <w:rFonts w:ascii="黑体" w:hAnsi="宋体" w:eastAsia="黑体" w:cs="黑体"/>
      <w:color w:val="000000"/>
      <w:sz w:val="16"/>
      <w:szCs w:val="16"/>
      <w:u w:val="none"/>
    </w:rPr>
  </w:style>
  <w:style w:type="character" w:customStyle="1" w:styleId="13">
    <w:name w:val="font41"/>
    <w:basedOn w:val="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4">
    <w:name w:val="font81"/>
    <w:basedOn w:val="8"/>
    <w:uiPriority w:val="0"/>
    <w:rPr>
      <w:rFonts w:hint="default" w:ascii="Times New Roman" w:hAnsi="Times New Roman" w:cs="Times New Roman"/>
      <w:color w:val="000000"/>
      <w:sz w:val="16"/>
      <w:szCs w:val="16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2023-05-09T06:54:00Z</dcterms:created>
  <dc:creator>陈宇</dc:creator>
  <cp:lastModifiedBy>27160</cp:lastModifiedBy>
  <cp:lastPrinted>2024-03-04T11:05:00Z</cp:lastPrinted>
  <dcterms:modified xsi:type="dcterms:W3CDTF">2024-03-07T04:43:45Z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ABC4BFFEA52542FBA4E4C51120EAB9EC</vt:lpwstr>
  </property>
</Properties>
</file>