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sz w:val="44"/>
          <w:szCs w:val="44"/>
        </w:rPr>
      </w:pPr>
      <w:r>
        <w:rPr>
          <w:rFonts w:hint="eastAsia" w:ascii="黑体" w:hAnsi="宋体" w:eastAsia="黑体"/>
          <w:sz w:val="44"/>
          <w:szCs w:val="44"/>
        </w:rPr>
        <w:t>2016年呼图壁县雀尔沟镇小学</w:t>
      </w:r>
    </w:p>
    <w:p>
      <w:pPr>
        <w:jc w:val="center"/>
        <w:rPr>
          <w:rFonts w:hint="eastAsia" w:ascii="黑体" w:hAnsi="宋体" w:eastAsia="黑体"/>
          <w:sz w:val="44"/>
          <w:szCs w:val="44"/>
        </w:rPr>
      </w:pPr>
      <w:r>
        <w:rPr>
          <w:rFonts w:hint="eastAsia" w:ascii="黑体" w:hAnsi="宋体" w:eastAsia="黑体"/>
          <w:sz w:val="44"/>
          <w:szCs w:val="44"/>
        </w:rPr>
        <w:t>部门决算说明</w:t>
      </w:r>
    </w:p>
    <w:p>
      <w:pPr>
        <w:spacing w:line="500" w:lineRule="exact"/>
        <w:ind w:firstLine="640" w:firstLineChars="200"/>
        <w:rPr>
          <w:rFonts w:hint="eastAsia" w:ascii="黑体" w:hAnsi="华文仿宋" w:eastAsia="黑体"/>
          <w:sz w:val="32"/>
          <w:szCs w:val="32"/>
        </w:rPr>
      </w:pPr>
      <w:r>
        <w:rPr>
          <w:rFonts w:hint="eastAsia" w:ascii="黑体" w:hAnsi="华文仿宋" w:eastAsia="黑体"/>
          <w:sz w:val="32"/>
          <w:szCs w:val="32"/>
        </w:rPr>
        <w:t>第一部分 部门单位概述</w:t>
      </w:r>
    </w:p>
    <w:p>
      <w:pPr>
        <w:numPr>
          <w:ilvl w:val="0"/>
          <w:numId w:val="1"/>
        </w:num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部门单位基本情况</w:t>
      </w:r>
    </w:p>
    <w:p>
      <w:p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cs="仿宋"/>
          <w:sz w:val="32"/>
          <w:szCs w:val="32"/>
        </w:rPr>
        <w:t>呼图壁县雀尔沟镇小学独立机构1个。编制人数96人，上年在职人数109人，本年5人退休，去世2人，年末实有人数102人，退休67人，学生人数548人，17个教学班。</w:t>
      </w:r>
      <w:r>
        <w:rPr>
          <w:rFonts w:hint="eastAsia" w:ascii="仿宋_GB2312" w:hAnsi="华文仿宋" w:eastAsia="仿宋_GB2312"/>
          <w:sz w:val="32"/>
          <w:szCs w:val="32"/>
        </w:rPr>
        <w:t>我校全面贯彻党的教育方针，深入实施素质教育，全面推进基础教育课程改革，遵循“以人为本，面向全体，培养特长，和谐发展”的办学思想，努力把学校办成一所现代化、高质量，学生向往、家长放心、社会声誉的好学校。以提高教学质量为核心，以安全工作为重点，科学管理、依法管理、从严管理，加强学校内涵建设，促进学校各方面工作顺利发展。</w:t>
      </w:r>
    </w:p>
    <w:p>
      <w:p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二、部门决算单位构成。</w:t>
      </w:r>
    </w:p>
    <w:p>
      <w:p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从决算单位构成看，呼图壁县雀尔沟镇小学部门决算包括：呼图壁县雀尔沟镇小学部门本级决算</w:t>
      </w:r>
    </w:p>
    <w:p>
      <w:pPr>
        <w:spacing w:line="500" w:lineRule="exact"/>
        <w:ind w:firstLine="630" w:firstLineChars="196"/>
        <w:rPr>
          <w:rFonts w:hint="eastAsia" w:ascii="黑体" w:hAnsi="华文仿宋" w:eastAsia="黑体"/>
          <w:b/>
          <w:sz w:val="32"/>
          <w:szCs w:val="32"/>
        </w:rPr>
      </w:pPr>
      <w:r>
        <w:rPr>
          <w:rFonts w:hint="eastAsia" w:ascii="黑体" w:hAnsi="华文仿宋" w:eastAsia="黑体"/>
          <w:b/>
          <w:sz w:val="32"/>
          <w:szCs w:val="32"/>
        </w:rPr>
        <w:t xml:space="preserve">第二部分 </w:t>
      </w:r>
      <w:r>
        <w:rPr>
          <w:rFonts w:hint="eastAsia" w:ascii="黑体" w:hAnsi="华文仿宋" w:eastAsia="黑体" w:cs="黑体"/>
          <w:b/>
          <w:bCs/>
          <w:spacing w:val="-6"/>
          <w:sz w:val="32"/>
          <w:szCs w:val="32"/>
        </w:rPr>
        <w:t>呼图壁县雀尔沟镇小学2016</w:t>
      </w:r>
      <w:r>
        <w:rPr>
          <w:rFonts w:hint="eastAsia" w:ascii="黑体" w:hAnsi="华文仿宋" w:eastAsia="黑体"/>
          <w:b/>
          <w:sz w:val="32"/>
          <w:szCs w:val="32"/>
        </w:rPr>
        <w:t>年度部门决算报表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一、收入支出决算总表（财决01表）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二、财政拨款收入支出决算总表（财决01－1表）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三、收入支出决算表（财决02表）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四、收入决算表（财决03表）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五、支出决算表（财决04表）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六、支出决算明细表（财决05表）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七、基本支出决算明细表（财决05－1表）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八、项目支出决算明细表（财决05－2表）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九、项目收入支出决算表（财决06表）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十、行政事业类项目收入支出决算表（财决06－1表）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十一、基本建设类项目收入支出决算表（财决06－2表）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十二、一般公共预算财政拨款收入支出决算表（财决07表）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十三、一般公共预算财政拨款支出决算明细表（财决08表）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十四、一般公共预算财政拨款基本支出决算明细表（财决08－1表）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十五、一般公共预算财政拨款项目支出决算明细表（财决08－2表）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十六、政府性基金预算财政拨款收入支出决算表（财决09表）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十七、政府性基金预算财政拨款支出决算明细表（财决10表）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十八、政府性基金预算财政拨款基本支出决算明细表（财决10－1表）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十九、政府性基金预算财政拨款项目支出决算明细表（财决10－2表）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二十、财政专户管理资金收入支出决算表（财决11表）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二十一、资产负债简表（财决12表）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二十二、资产情况表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二十三、国有资产收益征缴情况表</w:t>
      </w:r>
    </w:p>
    <w:p>
      <w:pPr>
        <w:spacing w:line="500" w:lineRule="exact"/>
        <w:ind w:firstLine="627" w:firstLineChars="196"/>
        <w:rPr>
          <w:rFonts w:hint="eastAsia" w:ascii="仿宋_GB2312" w:hAnsi="华文仿宋" w:eastAsia="仿宋_GB2312"/>
          <w:sz w:val="32"/>
          <w:szCs w:val="32"/>
        </w:rPr>
      </w:pPr>
      <w:r>
        <w:rPr>
          <w:rFonts w:hint="eastAsia" w:ascii="仿宋_GB2312" w:hAnsi="华文仿宋" w:eastAsia="仿宋_GB2312"/>
          <w:sz w:val="32"/>
          <w:szCs w:val="32"/>
        </w:rPr>
        <w:t>二十四、2016年度财政拨款“三公”经费支出表及说明</w:t>
      </w:r>
    </w:p>
    <w:p>
      <w:pPr>
        <w:spacing w:line="500" w:lineRule="exact"/>
        <w:ind w:firstLine="627" w:firstLineChars="196"/>
        <w:rPr>
          <w:rFonts w:hint="eastAsia" w:ascii="黑体" w:hAnsi="华文仿宋" w:eastAsia="黑体"/>
          <w:sz w:val="32"/>
          <w:szCs w:val="32"/>
        </w:rPr>
      </w:pPr>
      <w:r>
        <w:rPr>
          <w:rFonts w:hint="eastAsia" w:ascii="黑体" w:hAnsi="华文仿宋" w:eastAsia="黑体"/>
          <w:sz w:val="32"/>
          <w:szCs w:val="32"/>
        </w:rPr>
        <w:t xml:space="preserve">第三部分 </w:t>
      </w:r>
      <w:r>
        <w:rPr>
          <w:rFonts w:hint="eastAsia" w:ascii="黑体" w:hAnsi="华文仿宋" w:eastAsia="黑体" w:cs="黑体"/>
          <w:bCs/>
          <w:spacing w:val="-6"/>
          <w:sz w:val="32"/>
          <w:szCs w:val="32"/>
        </w:rPr>
        <w:t>呼图壁县雀尔沟镇小学2016</w:t>
      </w:r>
      <w:r>
        <w:rPr>
          <w:rFonts w:hint="eastAsia" w:ascii="黑体" w:hAnsi="华文仿宋" w:eastAsia="黑体"/>
          <w:bCs/>
          <w:sz w:val="32"/>
          <w:szCs w:val="32"/>
        </w:rPr>
        <w:t>年</w:t>
      </w:r>
      <w:r>
        <w:rPr>
          <w:rFonts w:hint="eastAsia" w:ascii="黑体" w:hAnsi="华文仿宋" w:eastAsia="黑体"/>
          <w:sz w:val="32"/>
          <w:szCs w:val="32"/>
        </w:rPr>
        <w:t>度部门决算情况说明</w:t>
      </w:r>
    </w:p>
    <w:p>
      <w:p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一、部门收入支出决算总体情况说明</w:t>
      </w:r>
    </w:p>
    <w:p>
      <w:p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2016年我校财政拨款收入15,082,031.66元，其他收入2450.99元，本年收入合计15,084,482.65元。支出合计15,084,482.65元，其中人员经费14601761.54元，日常公用支出482,721.11元。</w:t>
      </w:r>
    </w:p>
    <w:p>
      <w:pPr>
        <w:numPr>
          <w:ilvl w:val="0"/>
          <w:numId w:val="1"/>
        </w:num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部门收入情况说明</w:t>
      </w:r>
    </w:p>
    <w:p>
      <w:p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2016年我校财政拨款收入15,082,031.66元，其他收入2450.99元，本年收入合计15,084,482.65元。</w:t>
      </w:r>
    </w:p>
    <w:p>
      <w:pPr>
        <w:numPr>
          <w:ilvl w:val="0"/>
          <w:numId w:val="1"/>
        </w:num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部门支出情况说明</w:t>
      </w:r>
    </w:p>
    <w:p>
      <w:p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支出合计15,084,482.65元，其中人员经费14601761.54元，日常公用支出482,721.11元。</w:t>
      </w:r>
    </w:p>
    <w:p>
      <w:pPr>
        <w:numPr>
          <w:ilvl w:val="0"/>
          <w:numId w:val="1"/>
        </w:num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部门结转结余情况说明</w:t>
      </w:r>
    </w:p>
    <w:p>
      <w:p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本年无结余。</w:t>
      </w:r>
    </w:p>
    <w:p>
      <w:pPr>
        <w:numPr>
          <w:ilvl w:val="0"/>
          <w:numId w:val="1"/>
        </w:num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部门“三公”经费、会议费和培训费支出情况说明</w:t>
      </w:r>
    </w:p>
    <w:p>
      <w:pPr>
        <w:snapToGrid w:val="0"/>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无我校无车，无接待费支出。培训费支出2,367.78元。</w:t>
      </w:r>
    </w:p>
    <w:p>
      <w:pPr>
        <w:numPr>
          <w:ilvl w:val="0"/>
          <w:numId w:val="1"/>
        </w:num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部门预算执行情况分析说明</w:t>
      </w:r>
    </w:p>
    <w:p>
      <w:p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基本能按预算执行，追加人员增资和调入、调出经费。</w:t>
      </w:r>
    </w:p>
    <w:p>
      <w:pPr>
        <w:numPr>
          <w:ilvl w:val="0"/>
          <w:numId w:val="2"/>
        </w:numPr>
        <w:snapToGrid w:val="0"/>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综合收支与上年度决算对比情况</w:t>
      </w:r>
    </w:p>
    <w:p>
      <w:pPr>
        <w:snapToGrid w:val="0"/>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本年收入15,084,482.65元，上年收入2623.39万元，比上年增加414171.57元，上年收入14670310.96元，比上年增长2.7%，原因是本年增加人员和人员经费。</w:t>
      </w:r>
    </w:p>
    <w:p>
      <w:pPr>
        <w:numPr>
          <w:ilvl w:val="0"/>
          <w:numId w:val="2"/>
        </w:num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财政拨款支出与年初预算对比情况及增减原因分析说明（预决算差异分析）</w:t>
      </w:r>
    </w:p>
    <w:p>
      <w:pPr>
        <w:snapToGrid w:val="0"/>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（1）期初预算14,963,402.66元，因后工资、津贴调整，增加了职业年金缴纳预算追加，决算15,082,031.66元。</w:t>
      </w:r>
    </w:p>
    <w:p>
      <w:pPr>
        <w:snapToGrid w:val="0"/>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（2）差异原因分析：工资、津贴调整，增加了职业年金缴纳，因此本年比上年经费加大。</w:t>
      </w:r>
    </w:p>
    <w:p>
      <w:pPr>
        <w:snapToGrid w:val="0"/>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（三）机关运行经费支出情况说明</w:t>
      </w:r>
    </w:p>
    <w:p>
      <w:pPr>
        <w:snapToGrid w:val="0"/>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人员支出比率占全年支出的96.8%，公用支出比率占全年支出的3.2%，对个人和家庭的支出比率占全年支出的3.1%，资本建设支出比率占全年支出的0.5%。</w:t>
      </w:r>
    </w:p>
    <w:p>
      <w:pPr>
        <w:snapToGrid w:val="0"/>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（四）部门国有资产占用和国有资产收益征缴情况说明</w:t>
      </w:r>
    </w:p>
    <w:p>
      <w:pPr>
        <w:tabs>
          <w:tab w:val="left" w:pos="8595"/>
        </w:tabs>
        <w:spacing w:line="500" w:lineRule="exact"/>
        <w:ind w:firstLine="640" w:firstLineChars="200"/>
        <w:rPr>
          <w:rFonts w:hint="eastAsia" w:ascii="仿宋_GB2312" w:hAnsi="华文仿宋" w:eastAsia="仿宋_GB2312"/>
          <w:kern w:val="0"/>
          <w:sz w:val="32"/>
          <w:szCs w:val="32"/>
        </w:rPr>
      </w:pPr>
      <w:r>
        <w:rPr>
          <w:rFonts w:hint="eastAsia" w:ascii="仿宋_GB2312" w:hAnsi="华文仿宋" w:eastAsia="仿宋_GB2312"/>
          <w:kern w:val="0"/>
          <w:sz w:val="32"/>
          <w:szCs w:val="32"/>
        </w:rPr>
        <w:t>2016年我校固定资产年末数为7,817,592.45元，其中土地、房屋本年度未变动，年末余额为4,584,054.00元，通用设备中教育局配发多媒体设备378864.00 元，年末1812343元，专用设备945693.37元，无变动，本年图书96638元。</w:t>
      </w:r>
    </w:p>
    <w:p>
      <w:pPr>
        <w:tabs>
          <w:tab w:val="left" w:pos="8595"/>
        </w:tabs>
        <w:spacing w:line="500" w:lineRule="exact"/>
        <w:ind w:firstLine="640" w:firstLineChars="200"/>
        <w:rPr>
          <w:rFonts w:hint="eastAsia" w:ascii="仿宋_GB2312" w:hAnsi="华文仿宋" w:eastAsia="仿宋_GB2312"/>
          <w:kern w:val="0"/>
          <w:sz w:val="32"/>
          <w:szCs w:val="32"/>
        </w:rPr>
      </w:pPr>
      <w:r>
        <w:rPr>
          <w:rFonts w:hint="eastAsia" w:ascii="仿宋_GB2312" w:hAnsi="华文仿宋" w:eastAsia="仿宋_GB2312"/>
          <w:kern w:val="0"/>
          <w:sz w:val="32"/>
          <w:szCs w:val="32"/>
        </w:rPr>
        <w:t>（五）</w:t>
      </w:r>
      <w:r>
        <w:rPr>
          <w:rFonts w:hint="eastAsia" w:ascii="仿宋_GB2312" w:hAnsi="华文仿宋" w:eastAsia="仿宋_GB2312"/>
          <w:sz w:val="32"/>
          <w:szCs w:val="32"/>
        </w:rPr>
        <w:t>部门预算绩效管理工作开展情况说明</w:t>
      </w:r>
    </w:p>
    <w:p>
      <w:pPr>
        <w:spacing w:line="500" w:lineRule="exact"/>
        <w:ind w:firstLine="640" w:firstLineChars="200"/>
        <w:outlineLvl w:val="0"/>
        <w:rPr>
          <w:rFonts w:hint="eastAsia" w:ascii="仿宋_GB2312" w:hAnsi="华文仿宋" w:eastAsia="仿宋_GB2312"/>
          <w:sz w:val="32"/>
          <w:szCs w:val="32"/>
        </w:rPr>
      </w:pPr>
      <w:r>
        <w:rPr>
          <w:rFonts w:hint="eastAsia" w:ascii="仿宋_GB2312" w:hAnsi="华文仿宋" w:eastAsia="仿宋_GB2312"/>
          <w:sz w:val="32"/>
          <w:szCs w:val="32"/>
        </w:rPr>
        <w:t>我校能按照绩效工资管理办法执行，每月扣30%，年末进行考核，分三档发放。</w:t>
      </w:r>
    </w:p>
    <w:p>
      <w:pPr>
        <w:spacing w:line="500" w:lineRule="exact"/>
        <w:ind w:firstLine="640" w:firstLineChars="200"/>
        <w:outlineLvl w:val="0"/>
        <w:rPr>
          <w:rFonts w:hint="eastAsia" w:ascii="仿宋_GB2312" w:hAnsi="华文仿宋" w:eastAsia="仿宋_GB2312"/>
          <w:sz w:val="32"/>
          <w:szCs w:val="32"/>
        </w:rPr>
      </w:pPr>
      <w:r>
        <w:rPr>
          <w:rFonts w:hint="eastAsia" w:ascii="仿宋_GB2312" w:hAnsi="华文仿宋" w:eastAsia="仿宋_GB2312"/>
          <w:sz w:val="32"/>
          <w:szCs w:val="32"/>
        </w:rPr>
        <w:t>七、项目资金使用情况说明</w:t>
      </w:r>
    </w:p>
    <w:p>
      <w:pPr>
        <w:spacing w:line="500" w:lineRule="exact"/>
        <w:ind w:firstLine="640" w:firstLineChars="200"/>
        <w:outlineLvl w:val="0"/>
        <w:rPr>
          <w:rFonts w:hint="eastAsia" w:ascii="仿宋_GB2312" w:hAnsi="华文仿宋" w:eastAsia="仿宋_GB2312"/>
          <w:sz w:val="32"/>
          <w:szCs w:val="32"/>
        </w:rPr>
      </w:pPr>
      <w:r>
        <w:rPr>
          <w:rFonts w:hint="eastAsia" w:ascii="仿宋_GB2312" w:hAnsi="华文仿宋" w:eastAsia="仿宋_GB2312"/>
          <w:sz w:val="32"/>
          <w:szCs w:val="32"/>
        </w:rPr>
        <w:t>本年无项目资金支出</w:t>
      </w:r>
    </w:p>
    <w:p>
      <w:p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八、其他重要事项的情况说明</w:t>
      </w:r>
    </w:p>
    <w:p>
      <w:pPr>
        <w:spacing w:line="500" w:lineRule="exact"/>
        <w:ind w:firstLine="200"/>
        <w:rPr>
          <w:rFonts w:hint="eastAsia" w:ascii="仿宋_GB2312" w:hAnsi="华文仿宋" w:eastAsia="仿宋_GB2312"/>
          <w:sz w:val="32"/>
          <w:szCs w:val="32"/>
        </w:rPr>
      </w:pPr>
      <w:r>
        <w:rPr>
          <w:rFonts w:hint="eastAsia" w:ascii="仿宋_GB2312" w:hAnsi="华文仿宋" w:eastAsia="仿宋_GB2312"/>
          <w:sz w:val="32"/>
          <w:szCs w:val="32"/>
        </w:rPr>
        <w:t>本年政府采购：32500元，均为工程类支出。</w:t>
      </w:r>
    </w:p>
    <w:p>
      <w:pPr>
        <w:spacing w:line="500"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九、专业名词解释</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结余分配：反映单位当年结余的分配情况。</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outlineLvl w:val="0"/>
        <w:rPr>
          <w:rFonts w:hint="eastAsia" w:ascii="仿宋_GB2312" w:eastAsia="仿宋_GB2312"/>
          <w:sz w:val="32"/>
          <w:szCs w:val="32"/>
        </w:rPr>
      </w:pPr>
    </w:p>
    <w:p>
      <w:pPr>
        <w:spacing w:line="500" w:lineRule="exact"/>
        <w:ind w:firstLine="640" w:firstLineChars="200"/>
        <w:rPr>
          <w:rFonts w:hint="eastAsia" w:ascii="仿宋_GB2312" w:hAnsi="华文仿宋" w:eastAsia="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7ECF2"/>
    <w:multiLevelType w:val="singleLevel"/>
    <w:tmpl w:val="59B7ECF2"/>
    <w:lvl w:ilvl="0" w:tentative="0">
      <w:start w:val="1"/>
      <w:numFmt w:val="chineseCounting"/>
      <w:suff w:val="nothing"/>
      <w:lvlText w:val="%1、"/>
      <w:lvlJc w:val="left"/>
    </w:lvl>
  </w:abstractNum>
  <w:abstractNum w:abstractNumId="1">
    <w:nsid w:val="59B91E21"/>
    <w:multiLevelType w:val="singleLevel"/>
    <w:tmpl w:val="59B91E21"/>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E0B4614"/>
    <w:rsid w:val="00131EA4"/>
    <w:rsid w:val="006A1193"/>
    <w:rsid w:val="007F0792"/>
    <w:rsid w:val="27675907"/>
    <w:rsid w:val="277F652C"/>
    <w:rsid w:val="3AFD7B42"/>
    <w:rsid w:val="3E464602"/>
    <w:rsid w:val="41D10B44"/>
    <w:rsid w:val="426E7F77"/>
    <w:rsid w:val="46140844"/>
    <w:rsid w:val="46FE6200"/>
    <w:rsid w:val="483D7FE9"/>
    <w:rsid w:val="483E515C"/>
    <w:rsid w:val="528E363C"/>
    <w:rsid w:val="57937009"/>
    <w:rsid w:val="736C3E28"/>
    <w:rsid w:val="7E0B46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asciiTheme="minorHAnsi" w:hAnsiTheme="minorHAnsi" w:eastAsiaTheme="minorEastAsia" w:cstheme="minorBidi"/>
      <w:kern w:val="2"/>
      <w:sz w:val="18"/>
      <w:szCs w:val="18"/>
    </w:rPr>
  </w:style>
  <w:style w:type="character" w:customStyle="1" w:styleId="7">
    <w:name w:val="页脚 Char"/>
    <w:basedOn w:val="4"/>
    <w:link w:val="2"/>
    <w:uiPriority w:val="0"/>
    <w:rPr>
      <w:rFonts w:asciiTheme="minorHAnsi" w:hAnsiTheme="minorHAnsi" w:eastAsiaTheme="minorEastAsia" w:cstheme="minorBidi"/>
      <w:kern w:val="2"/>
      <w:sz w:val="18"/>
      <w:szCs w:val="18"/>
    </w:rPr>
  </w:style>
  <w:style w:type="paragraph" w:styleId="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4</Pages>
  <Words>1763</Words>
  <Characters>360</Characters>
  <Lines>3</Lines>
  <Paragraphs>4</Paragraphs>
  <TotalTime>0</TotalTime>
  <ScaleCrop>false</ScaleCrop>
  <LinksUpToDate>false</LinksUpToDate>
  <CharactersWithSpaces>2119</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2017-09-13T03:42:00Z</dcterms:created>
  <dc:creator>Administrator</dc:creator>
  <cp:lastModifiedBy>lenovo3</cp:lastModifiedBy>
  <dcterms:modified xsi:type="dcterms:W3CDTF">2018-12-22T09:01:21Z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