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r>
        <w:rPr>
          <w:rFonts w:hint="eastAsia" w:ascii="方正小标宋_GBK" w:hAnsi="宋体" w:eastAsia="方正小标宋_GBK"/>
          <w:sz w:val="44"/>
          <w:szCs w:val="44"/>
        </w:rPr>
        <w:t>2016年呼图壁县环境保护局部门决算说明</w:t>
      </w:r>
    </w:p>
    <w:p>
      <w:pPr>
        <w:spacing w:line="500" w:lineRule="exact"/>
        <w:ind w:firstLine="640" w:firstLineChars="200"/>
        <w:rPr>
          <w:rFonts w:ascii="黑体" w:eastAsia="黑体"/>
          <w:bCs/>
          <w:sz w:val="32"/>
          <w:szCs w:val="32"/>
        </w:rPr>
      </w:pPr>
      <w:r>
        <w:rPr>
          <w:rFonts w:hint="eastAsia" w:ascii="黑体" w:eastAsia="黑体"/>
          <w:bCs/>
          <w:sz w:val="32"/>
          <w:szCs w:val="32"/>
        </w:rPr>
        <w:t>第一部分 部门单位概述</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一、部门单位基本情况：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主要职能：落实国家环境保护基本制度；负责重大环境问题的统筹协调和监督管理；承担落实自治州和县减排目标的责任；承担从源头上预防、控制环境污染和环境破坏的责任；负责环境污染防治的监督管理；指导、协调、监督生态保护工作；负责核安全和辐射安全的监督管理；负责环境监测和信息发布；开展环境保护科技工作；组织、指导和协调环境保护宣传教育工作；指导县环境保护队伍建设；规划和组织全县环保系统在职人员岗位培训；承担县人民政府交办的其他事项。</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2．机构情况：纳入2016年度环保局部门决算汇编范围的独立核算单位共 1 个。独立报送单户报表的单位1个。</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单位基本性质划分为行政单位 ，执行行政单位会计制度的单位，按预算管理级次划分县乡级预算单位三级预算单位。</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3．人员情况：共有编制22个，其中：环保局行政4个、环境监察大队(参照公务员管理事业单位)6个，环境监测站12个。实有人数18个，其中：环保局4人，环境监察大队5人，环境监测站9人。行政退休1人。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从决算单位构成看，环保局部门决算包括：呼图壁县环境保护局本级决算。</w:t>
      </w:r>
    </w:p>
    <w:p>
      <w:pPr>
        <w:spacing w:line="500" w:lineRule="exact"/>
        <w:ind w:firstLine="627" w:firstLineChars="196"/>
        <w:rPr>
          <w:rFonts w:ascii="黑体" w:eastAsia="黑体"/>
          <w:sz w:val="32"/>
          <w:szCs w:val="32"/>
        </w:rPr>
      </w:pPr>
      <w:r>
        <w:rPr>
          <w:rFonts w:hint="eastAsia" w:ascii="黑体" w:eastAsia="黑体"/>
          <w:sz w:val="32"/>
          <w:szCs w:val="32"/>
        </w:rPr>
        <w:t>第二部分 呼图壁县</w:t>
      </w:r>
      <w:r>
        <w:rPr>
          <w:rFonts w:hint="eastAsia" w:ascii="黑体" w:hAnsi="黑体" w:eastAsia="黑体" w:cs="黑体"/>
          <w:bCs/>
          <w:spacing w:val="-6"/>
          <w:sz w:val="32"/>
          <w:szCs w:val="32"/>
        </w:rPr>
        <w:t>环境保护局2016</w:t>
      </w:r>
      <w:r>
        <w:rPr>
          <w:rFonts w:hint="eastAsia" w:ascii="黑体" w:eastAsia="黑体"/>
          <w:sz w:val="32"/>
          <w:szCs w:val="32"/>
        </w:rPr>
        <w:t>年度部门决算报表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一、收入支出决算总表（财决01表）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二、财政拨款收入支出决算总表（财决01－1表）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三、收入支出决算表（财决02表）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四、收入决算表（财决03表）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五、支出决算表（财决04表）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六、支出决算明细表（财决05表）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七、基本支出决算明细表（财决05－1表）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八、项目支出决算明细表（财决05－2表）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九、项目收入支出决算表（财决06表）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十、行政事业类项目收入支出决算表（财决06－1表）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十一、基本建设类项目收入支出决算表（财决06－2表）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十二、一般公共预算财政拨款收入支出决算表（财决07表）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十三、一般公共预算财政拨款支出决算明细表（财决08表）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十四、一般公共预算财政拨款基本支出决算明细表（财决08－1表）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十五、一般公共预算财政拨款项目支出决算明细表（财决08－2表）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十六、政府性基金预算财政拨款收入支出决算表（财决09表）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十七、政府性基金预算财政拨款支出决算明细表（财决10表）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十八、政府性基金预算财政拨款基本支出决算明细表（财决10－1表）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十九、政府性基金预算财政拨款项目支出决算明细表（财决10－2表）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二十、财政专户管理资金收入支出决算表（财决11表）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二十一、资产负债简表（财决12表）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二十四、2016年度财政拨款“三公”经费支出表及说明</w:t>
      </w:r>
    </w:p>
    <w:p>
      <w:pPr>
        <w:spacing w:line="500" w:lineRule="exact"/>
        <w:ind w:firstLine="627" w:firstLineChars="196"/>
        <w:rPr>
          <w:rFonts w:ascii="黑体" w:eastAsia="黑体"/>
          <w:sz w:val="32"/>
          <w:szCs w:val="32"/>
        </w:rPr>
      </w:pPr>
      <w:r>
        <w:rPr>
          <w:rFonts w:hint="eastAsia" w:ascii="黑体" w:eastAsia="黑体"/>
          <w:sz w:val="32"/>
          <w:szCs w:val="32"/>
        </w:rPr>
        <w:t>第三部分 呼图壁县</w:t>
      </w:r>
      <w:r>
        <w:rPr>
          <w:rFonts w:hint="eastAsia" w:ascii="黑体" w:hAnsi="黑体" w:eastAsia="黑体" w:cs="黑体"/>
          <w:bCs/>
          <w:spacing w:val="-6"/>
          <w:sz w:val="32"/>
          <w:szCs w:val="32"/>
        </w:rPr>
        <w:t>环境保护局2016</w:t>
      </w:r>
      <w:r>
        <w:rPr>
          <w:rFonts w:hint="eastAsia" w:ascii="黑体" w:eastAsia="黑体"/>
          <w:sz w:val="32"/>
          <w:szCs w:val="32"/>
        </w:rPr>
        <w:t>年度部门决算情况说明</w:t>
      </w:r>
    </w:p>
    <w:p>
      <w:pPr>
        <w:numPr>
          <w:ilvl w:val="0"/>
          <w:numId w:val="1"/>
        </w:numPr>
        <w:spacing w:line="500" w:lineRule="exact"/>
        <w:ind w:firstLine="640" w:firstLineChars="200"/>
        <w:rPr>
          <w:rFonts w:ascii="仿宋_GB2312" w:eastAsia="仿宋_GB2312"/>
          <w:sz w:val="32"/>
          <w:szCs w:val="32"/>
        </w:rPr>
      </w:pPr>
      <w:r>
        <w:rPr>
          <w:rFonts w:hint="eastAsia" w:ascii="仿宋_GB2312" w:eastAsia="仿宋_GB2312"/>
          <w:sz w:val="32"/>
          <w:szCs w:val="32"/>
        </w:rPr>
        <w:t>部门收入支出决算总体情况说明</w:t>
      </w:r>
    </w:p>
    <w:p>
      <w:pPr>
        <w:spacing w:line="500" w:lineRule="exact"/>
        <w:ind w:firstLine="200"/>
        <w:rPr>
          <w:rFonts w:ascii="仿宋_GB2312" w:eastAsia="仿宋_GB2312"/>
          <w:sz w:val="32"/>
          <w:szCs w:val="32"/>
        </w:rPr>
      </w:pPr>
      <w:r>
        <w:rPr>
          <w:rFonts w:hint="eastAsia" w:ascii="仿宋_GB2312" w:eastAsia="仿宋_GB2312"/>
          <w:sz w:val="32"/>
          <w:szCs w:val="32"/>
        </w:rPr>
        <w:t xml:space="preserve">   本年收入611.61万元。其中：财政拨款611.39万元，其他收入0.22万元。本年支出611.61万元.</w:t>
      </w:r>
    </w:p>
    <w:p>
      <w:pPr>
        <w:numPr>
          <w:ilvl w:val="0"/>
          <w:numId w:val="1"/>
        </w:numPr>
        <w:spacing w:line="500" w:lineRule="exact"/>
        <w:ind w:firstLine="640" w:firstLineChars="200"/>
        <w:rPr>
          <w:rFonts w:ascii="仿宋_GB2312" w:eastAsia="仿宋_GB2312"/>
          <w:sz w:val="32"/>
          <w:szCs w:val="32"/>
        </w:rPr>
      </w:pPr>
      <w:r>
        <w:rPr>
          <w:rFonts w:hint="eastAsia" w:ascii="仿宋_GB2312" w:eastAsia="仿宋_GB2312"/>
          <w:sz w:val="32"/>
          <w:szCs w:val="32"/>
        </w:rPr>
        <w:t>部门收入情况说明：</w:t>
      </w:r>
    </w:p>
    <w:p>
      <w:pPr>
        <w:spacing w:line="5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本年收入数611.61万元，资金来源均为财政拨款，财政拨款收入611.61万元。其中，人员经费245.49万元，占总收入40.15%；日常公用经费37.88万元，占总收入6.16%；项目收入328.24万元，占总收入53.69%。</w:t>
      </w:r>
    </w:p>
    <w:p>
      <w:pPr>
        <w:numPr>
          <w:ilvl w:val="0"/>
          <w:numId w:val="1"/>
        </w:numPr>
        <w:spacing w:line="500" w:lineRule="exact"/>
        <w:ind w:firstLine="640" w:firstLineChars="200"/>
        <w:rPr>
          <w:rFonts w:ascii="仿宋_GB2312" w:eastAsia="仿宋_GB2312"/>
          <w:sz w:val="32"/>
          <w:szCs w:val="32"/>
        </w:rPr>
      </w:pPr>
      <w:r>
        <w:rPr>
          <w:rFonts w:hint="eastAsia" w:ascii="仿宋_GB2312" w:eastAsia="仿宋_GB2312"/>
          <w:sz w:val="32"/>
          <w:szCs w:val="32"/>
        </w:rPr>
        <w:t>部门支出情况说明</w:t>
      </w:r>
    </w:p>
    <w:p>
      <w:pPr>
        <w:pStyle w:val="6"/>
        <w:spacing w:line="500" w:lineRule="exact"/>
        <w:ind w:firstLine="640"/>
        <w:jc w:val="both"/>
        <w:rPr>
          <w:sz w:val="32"/>
          <w:szCs w:val="32"/>
        </w:rPr>
      </w:pPr>
      <w:r>
        <w:rPr>
          <w:rFonts w:hint="eastAsia" w:hAnsi="仿宋" w:cs="仿宋"/>
          <w:sz w:val="32"/>
          <w:szCs w:val="32"/>
        </w:rPr>
        <w:t>本年支出611.61万元；其中基本支出283.37万元，占总支出46.33%，项目支出328.24万元，占总支出53.67%。基本支出中，人员经费支出245.49万元，占基本支出86.70%；日常公用经费37.88万元，占基本支出23.30%；项目支出中，专用设备购置89.75万元，占项目支出的27.34%；水源地基础设施建设42.60万元，占项目支出的12.98%；企业政策补贴183.9万元，占项目支出的59.68%。</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四、部门结转结余情况说明：无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五、部门“三公”经费、会议费和培训费支出情况说明</w:t>
      </w:r>
    </w:p>
    <w:p>
      <w:pPr>
        <w:spacing w:line="500" w:lineRule="exact"/>
        <w:ind w:firstLine="640" w:firstLineChars="200"/>
        <w:rPr>
          <w:rFonts w:ascii="仿宋_GB2312" w:eastAsia="仿宋_GB2312"/>
          <w:color w:val="000000"/>
          <w:sz w:val="32"/>
          <w:szCs w:val="32"/>
        </w:rPr>
      </w:pPr>
      <w:r>
        <w:rPr>
          <w:rFonts w:hint="eastAsia" w:ascii="仿宋_GB2312" w:hAnsi="仿宋" w:eastAsia="仿宋_GB2312"/>
          <w:sz w:val="32"/>
          <w:szCs w:val="32"/>
        </w:rPr>
        <w:t>1、</w:t>
      </w:r>
      <w:r>
        <w:rPr>
          <w:rFonts w:hint="eastAsia" w:ascii="仿宋_GB2312" w:eastAsia="仿宋_GB2312"/>
          <w:sz w:val="32"/>
          <w:szCs w:val="32"/>
        </w:rPr>
        <w:t>“三公”</w:t>
      </w:r>
      <w:r>
        <w:rPr>
          <w:rFonts w:hint="eastAsia" w:ascii="仿宋_GB2312" w:hAnsi="仿宋" w:eastAsia="仿宋_GB2312"/>
          <w:sz w:val="32"/>
          <w:szCs w:val="32"/>
        </w:rPr>
        <w:t>经费支出情况：</w:t>
      </w:r>
      <w:r>
        <w:rPr>
          <w:rFonts w:hint="eastAsia" w:ascii="仿宋_GB2312" w:eastAsia="仿宋_GB2312"/>
          <w:sz w:val="32"/>
          <w:szCs w:val="32"/>
        </w:rPr>
        <w:t>“三公”</w:t>
      </w:r>
      <w:r>
        <w:rPr>
          <w:rFonts w:hint="eastAsia" w:ascii="仿宋_GB2312" w:hAnsi="仿宋" w:eastAsia="仿宋_GB2312" w:cs="仿宋"/>
          <w:color w:val="000000"/>
          <w:sz w:val="32"/>
          <w:szCs w:val="32"/>
        </w:rPr>
        <w:t>经费支出总额78717元，其中公务用车运行费60521元，公务接待费18196元，金额与年初预算数、上年决算数一致。</w:t>
      </w:r>
    </w:p>
    <w:p>
      <w:pPr>
        <w:snapToGrid w:val="0"/>
        <w:spacing w:line="500" w:lineRule="exact"/>
        <w:ind w:firstLine="640" w:firstLineChars="200"/>
        <w:rPr>
          <w:rFonts w:ascii="仿宋_GB2312" w:hAnsi="仿宋" w:eastAsia="仿宋_GB2312"/>
          <w:sz w:val="32"/>
          <w:szCs w:val="32"/>
        </w:rPr>
      </w:pPr>
      <w:r>
        <w:rPr>
          <w:rFonts w:hint="eastAsia" w:ascii="仿宋_GB2312" w:hAnsi="仿宋" w:eastAsia="仿宋_GB2312"/>
          <w:sz w:val="32"/>
          <w:szCs w:val="32"/>
        </w:rPr>
        <w:t>2、会议费支出情况：无</w:t>
      </w:r>
    </w:p>
    <w:p>
      <w:pPr>
        <w:snapToGrid w:val="0"/>
        <w:spacing w:line="500" w:lineRule="exact"/>
        <w:ind w:firstLine="640" w:firstLineChars="200"/>
        <w:rPr>
          <w:rFonts w:ascii="仿宋_GB2312" w:hAnsi="仿宋" w:eastAsia="仿宋_GB2312"/>
          <w:sz w:val="32"/>
          <w:szCs w:val="32"/>
        </w:rPr>
      </w:pPr>
      <w:r>
        <w:rPr>
          <w:rFonts w:hint="eastAsia" w:ascii="仿宋_GB2312" w:hAnsi="仿宋" w:eastAsia="仿宋_GB2312"/>
          <w:sz w:val="32"/>
          <w:szCs w:val="32"/>
        </w:rPr>
        <w:t>3、训费支出情况：培训费2.72万元，上年数5.26万元。降底48.31%,今年培训费多数由州局承担。</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六、部门预算执行情况分析说明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（一）综合收支与上年度决算对比情况</w:t>
      </w:r>
    </w:p>
    <w:p>
      <w:pPr>
        <w:spacing w:line="500" w:lineRule="exact"/>
        <w:ind w:firstLine="640" w:firstLineChars="200"/>
        <w:rPr>
          <w:rFonts w:ascii="仿宋_GB2312" w:eastAsia="仿宋_GB2312"/>
          <w:color w:val="000000"/>
          <w:sz w:val="32"/>
          <w:szCs w:val="32"/>
        </w:rPr>
      </w:pPr>
      <w:r>
        <w:rPr>
          <w:rFonts w:hint="eastAsia" w:ascii="仿宋_GB2312" w:hAnsi="仿宋" w:eastAsia="仿宋_GB2312" w:cs="仿宋"/>
          <w:color w:val="000000"/>
          <w:sz w:val="32"/>
          <w:szCs w:val="32"/>
        </w:rPr>
        <w:t>1．</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公共预算财政拨款的结转和结余资金本年年初数为0，与上年未数一致。</w:t>
      </w:r>
    </w:p>
    <w:p>
      <w:pPr>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2.</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资产负债简表指标本年年初数与上年末数一致。</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3．资产情况表指标本年年初数与上年末数一致。</w:t>
      </w:r>
    </w:p>
    <w:p>
      <w:pPr>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4．固定资产原值上年数57.44</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万元，今年数708.31</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万元，比上年增加23.3%，主要是监测站购买空气自动监测站设备116</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万元。其他应付款上年数36.65</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万元，本年数117.27</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万元，增加219.97%，主要是监测站购买空气自动站设备116万元，设备款未付完。</w:t>
      </w:r>
    </w:p>
    <w:p>
      <w:pPr>
        <w:numPr>
          <w:ilvl w:val="0"/>
          <w:numId w:val="2"/>
        </w:numPr>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财政拨款支出与年初预算对比情况及增减原因分析说明（预决算差异分析）</w:t>
      </w:r>
    </w:p>
    <w:p>
      <w:pPr>
        <w:spacing w:line="50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年初预算数239.92万元，本年预算调整数371.47万元，决算数611.39万元，差异率154.83%；本年收入年611.61万元，决算数611.61万元，差异率0%；本年支出611.61万元；其中基本支出283.37万元，占总支出46.31%，项目支出328.24万元，占总支出53.69%。</w:t>
      </w:r>
    </w:p>
    <w:p>
      <w:pPr>
        <w:spacing w:line="500" w:lineRule="exact"/>
        <w:ind w:firstLine="630" w:firstLineChars="196"/>
        <w:rPr>
          <w:rFonts w:ascii="仿宋_GB2312" w:hAnsi="仿宋" w:eastAsia="仿宋_GB2312" w:cs="仿宋"/>
          <w:bCs/>
          <w:color w:val="000000"/>
          <w:sz w:val="32"/>
          <w:szCs w:val="32"/>
        </w:rPr>
      </w:pPr>
      <w:r>
        <w:rPr>
          <w:rFonts w:hint="eastAsia" w:ascii="仿宋_GB2312" w:hAnsi="仿宋" w:eastAsia="仿宋_GB2312" w:cs="仿宋"/>
          <w:b/>
          <w:color w:val="000000"/>
          <w:sz w:val="32"/>
          <w:szCs w:val="32"/>
          <w:lang w:val="en-US" w:eastAsia="zh-CN"/>
        </w:rPr>
        <w:t>1.</w:t>
      </w:r>
      <w:r>
        <w:rPr>
          <w:rFonts w:hint="eastAsia" w:ascii="仿宋_GB2312" w:hAnsi="仿宋" w:eastAsia="仿宋_GB2312" w:cs="仿宋"/>
          <w:bCs/>
          <w:color w:val="000000"/>
          <w:sz w:val="32"/>
          <w:szCs w:val="32"/>
        </w:rPr>
        <w:t>与财政部门对账情况。</w:t>
      </w:r>
    </w:p>
    <w:p>
      <w:pPr>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单位本年度总收入611.61万元，其中实际收到的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hint="eastAsia" w:ascii="仿宋_GB2312" w:eastAsia="仿宋_GB2312"/>
          <w:color w:val="000000"/>
          <w:sz w:val="32"/>
          <w:szCs w:val="32"/>
        </w:rPr>
        <w:t> 611.39 </w:t>
      </w:r>
      <w:r>
        <w:rPr>
          <w:rFonts w:hint="eastAsia" w:ascii="仿宋_GB2312" w:hAnsi="仿宋" w:eastAsia="仿宋_GB2312" w:cs="仿宋"/>
          <w:color w:val="000000"/>
          <w:sz w:val="32"/>
          <w:szCs w:val="32"/>
        </w:rPr>
        <w:t>万元，其他收入0.22万元，财政部门拨款对账单</w:t>
      </w:r>
      <w:r>
        <w:rPr>
          <w:rFonts w:hint="eastAsia" w:ascii="仿宋_GB2312" w:eastAsia="仿宋_GB2312"/>
          <w:color w:val="000000"/>
          <w:sz w:val="32"/>
          <w:szCs w:val="32"/>
        </w:rPr>
        <w:t> 611.39 </w:t>
      </w:r>
      <w:r>
        <w:rPr>
          <w:rFonts w:hint="eastAsia" w:ascii="仿宋_GB2312" w:hAnsi="仿宋" w:eastAsia="仿宋_GB2312" w:cs="仿宋"/>
          <w:color w:val="000000"/>
          <w:sz w:val="32"/>
          <w:szCs w:val="32"/>
        </w:rPr>
        <w:t>万元，差额</w:t>
      </w:r>
      <w:r>
        <w:rPr>
          <w:rFonts w:hint="eastAsia" w:ascii="仿宋_GB2312" w:eastAsia="仿宋_GB2312"/>
          <w:color w:val="000000"/>
          <w:sz w:val="32"/>
          <w:szCs w:val="32"/>
        </w:rPr>
        <w:t>  0</w:t>
      </w:r>
      <w:r>
        <w:rPr>
          <w:rFonts w:hint="eastAsia" w:ascii="仿宋_GB2312" w:hAnsi="仿宋" w:eastAsia="仿宋_GB2312" w:cs="仿宋"/>
          <w:color w:val="000000"/>
          <w:sz w:val="32"/>
          <w:szCs w:val="32"/>
        </w:rPr>
        <w:t>万元。</w:t>
      </w:r>
    </w:p>
    <w:p>
      <w:pPr>
        <w:spacing w:line="500" w:lineRule="exact"/>
        <w:ind w:firstLine="640" w:firstLineChars="200"/>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lang w:val="en-US" w:eastAsia="zh-CN"/>
        </w:rPr>
        <w:t>2.</w:t>
      </w:r>
      <w:r>
        <w:rPr>
          <w:rFonts w:hint="eastAsia" w:ascii="仿宋_GB2312" w:hAnsi="仿宋" w:eastAsia="仿宋_GB2312" w:cs="仿宋"/>
          <w:bCs/>
          <w:color w:val="000000"/>
          <w:sz w:val="32"/>
          <w:szCs w:val="32"/>
        </w:rPr>
        <w:t>与上年指标核对情况。</w:t>
      </w:r>
    </w:p>
    <w:p>
      <w:pPr>
        <w:spacing w:line="500" w:lineRule="exact"/>
        <w:ind w:firstLine="640" w:firstLineChars="200"/>
        <w:rPr>
          <w:rFonts w:ascii="仿宋_GB2312" w:eastAsia="仿宋_GB2312"/>
          <w:color w:val="000000"/>
          <w:sz w:val="32"/>
          <w:szCs w:val="32"/>
        </w:rPr>
      </w:pP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1</w:t>
      </w:r>
      <w:r>
        <w:rPr>
          <w:rFonts w:hint="eastAsia" w:ascii="仿宋_GB2312" w:hAnsi="仿宋" w:eastAsia="仿宋_GB2312" w:cs="仿宋"/>
          <w:color w:val="000000"/>
          <w:sz w:val="32"/>
          <w:szCs w:val="32"/>
          <w:lang w:eastAsia="zh-CN"/>
        </w:rPr>
        <w:t>）</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公共预算财政拨款的结转和结余资金本年年初数为0，与上年年未数一致。</w:t>
      </w:r>
    </w:p>
    <w:p>
      <w:pPr>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2</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资产负债简表指标本年年初数与上年末数一致。</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lang w:eastAsia="zh-CN"/>
        </w:rPr>
        <w:t>）</w:t>
      </w:r>
      <w:r>
        <w:rPr>
          <w:rFonts w:hint="eastAsia" w:ascii="仿宋_GB2312" w:eastAsia="仿宋_GB2312"/>
          <w:color w:val="000000"/>
          <w:sz w:val="32"/>
          <w:szCs w:val="32"/>
        </w:rPr>
        <w:t>资产情况表指标本年年初数与上年末数一致。</w:t>
      </w:r>
    </w:p>
    <w:p>
      <w:pPr>
        <w:spacing w:line="500" w:lineRule="exact"/>
        <w:ind w:firstLine="640" w:firstLineChars="200"/>
        <w:rPr>
          <w:rFonts w:hint="eastAsia" w:ascii="仿宋_GB2312" w:hAnsi="仿宋" w:eastAsia="仿宋_GB2312" w:cs="仿宋"/>
          <w:sz w:val="32"/>
          <w:szCs w:val="32"/>
        </w:rPr>
      </w:pP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4</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环保局新增2人，公招录入。</w:t>
      </w:r>
    </w:p>
    <w:p>
      <w:pPr>
        <w:numPr>
          <w:ilvl w:val="0"/>
          <w:numId w:val="2"/>
        </w:num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机关运行经费支出情况说明</w:t>
      </w:r>
    </w:p>
    <w:p>
      <w:pPr>
        <w:spacing w:line="500" w:lineRule="exact"/>
        <w:ind w:firstLine="640" w:firstLineChars="200"/>
        <w:rPr>
          <w:rFonts w:ascii="仿宋_GB2312" w:eastAsia="仿宋_GB2312"/>
          <w:sz w:val="32"/>
          <w:szCs w:val="32"/>
        </w:rPr>
      </w:pPr>
      <w:r>
        <w:rPr>
          <w:rFonts w:hint="eastAsia" w:ascii="仿宋_GB2312" w:hAnsi="仿宋" w:eastAsia="仿宋_GB2312" w:cs="仿宋"/>
          <w:bCs/>
          <w:color w:val="000000"/>
          <w:sz w:val="32"/>
          <w:szCs w:val="32"/>
        </w:rPr>
        <w:t>机关运行经费支出376637元，上年数363952元，增加3.49%，经费略有增加。</w:t>
      </w:r>
    </w:p>
    <w:p>
      <w:pPr>
        <w:numPr>
          <w:ilvl w:val="0"/>
          <w:numId w:val="2"/>
        </w:numPr>
        <w:spacing w:line="500" w:lineRule="exact"/>
        <w:ind w:firstLine="640" w:firstLineChars="200"/>
        <w:rPr>
          <w:rFonts w:ascii="仿宋_GB2312" w:eastAsia="仿宋_GB2312"/>
          <w:sz w:val="32"/>
          <w:szCs w:val="32"/>
        </w:rPr>
      </w:pPr>
      <w:r>
        <w:rPr>
          <w:rFonts w:hint="eastAsia" w:ascii="仿宋_GB2312" w:eastAsia="仿宋_GB2312"/>
          <w:sz w:val="32"/>
          <w:szCs w:val="32"/>
        </w:rPr>
        <w:t>部门国有资产占用和国有资产收益征缴情况说明</w:t>
      </w:r>
    </w:p>
    <w:p>
      <w:pPr>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固定资产原值上年数57.44</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万元，今年数708.31</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万元，比上年增加23.3%，主要是监测站购买空气自动监测站设备116</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万元。其他应付款上年数36.65</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万元，本年数117.27</w:t>
      </w:r>
      <w:r>
        <w:rPr>
          <w:rFonts w:hint="eastAsia" w:ascii="仿宋_GB2312" w:eastAsia="仿宋_GB2312"/>
          <w:color w:val="000000"/>
          <w:sz w:val="32"/>
          <w:szCs w:val="32"/>
        </w:rPr>
        <w:t> </w:t>
      </w:r>
      <w:r>
        <w:rPr>
          <w:rFonts w:hint="eastAsia" w:ascii="仿宋_GB2312" w:hAnsi="仿宋" w:eastAsia="仿宋_GB2312" w:cs="仿宋"/>
          <w:color w:val="000000"/>
          <w:sz w:val="32"/>
          <w:szCs w:val="32"/>
        </w:rPr>
        <w:t>万元，增加219.97%，主要是监测站购买空气自动站设备116万元，设备款未付完。</w:t>
      </w:r>
    </w:p>
    <w:p>
      <w:pPr>
        <w:numPr>
          <w:ilvl w:val="0"/>
          <w:numId w:val="2"/>
        </w:numPr>
        <w:spacing w:line="500" w:lineRule="exact"/>
        <w:ind w:firstLine="640" w:firstLineChars="200"/>
        <w:outlineLvl w:val="0"/>
        <w:rPr>
          <w:rFonts w:ascii="仿宋_GB2312" w:eastAsia="仿宋_GB2312"/>
          <w:sz w:val="32"/>
          <w:szCs w:val="32"/>
        </w:rPr>
      </w:pPr>
      <w:r>
        <w:rPr>
          <w:rFonts w:hint="eastAsia" w:ascii="仿宋_GB2312" w:eastAsia="仿宋_GB2312"/>
          <w:sz w:val="32"/>
          <w:szCs w:val="32"/>
        </w:rPr>
        <w:t>部门预算绩效管理工作开展情况说明：良好</w:t>
      </w:r>
    </w:p>
    <w:p>
      <w:pPr>
        <w:spacing w:line="500" w:lineRule="exact"/>
        <w:ind w:firstLine="640" w:firstLineChars="200"/>
        <w:outlineLvl w:val="0"/>
        <w:rPr>
          <w:rFonts w:ascii="仿宋_GB2312" w:eastAsia="仿宋_GB2312"/>
          <w:sz w:val="32"/>
          <w:szCs w:val="32"/>
        </w:rPr>
      </w:pPr>
      <w:r>
        <w:rPr>
          <w:rFonts w:hint="eastAsia" w:ascii="仿宋_GB2312" w:eastAsia="仿宋_GB2312"/>
          <w:sz w:val="32"/>
          <w:szCs w:val="32"/>
        </w:rPr>
        <w:t>七、项目资金使用情况说明</w:t>
      </w:r>
    </w:p>
    <w:p>
      <w:pPr>
        <w:pStyle w:val="6"/>
        <w:spacing w:line="500" w:lineRule="exact"/>
        <w:ind w:firstLine="640"/>
        <w:jc w:val="both"/>
        <w:rPr>
          <w:sz w:val="32"/>
          <w:szCs w:val="32"/>
        </w:rPr>
      </w:pPr>
      <w:r>
        <w:rPr>
          <w:rFonts w:hint="eastAsia" w:hAnsi="仿宋" w:cs="仿宋"/>
          <w:sz w:val="32"/>
          <w:szCs w:val="32"/>
        </w:rPr>
        <w:t>项目支出328.24万元，其中：专用设备购置89.75万元，占项目支出的27.34%；水源地基础设施建设42.6万元，占项目支出的12.98%；企业政策补贴183.9万元，占项目支出的59.68%。</w:t>
      </w:r>
    </w:p>
    <w:p>
      <w:pPr>
        <w:numPr>
          <w:ilvl w:val="0"/>
          <w:numId w:val="3"/>
        </w:numPr>
        <w:spacing w:line="500" w:lineRule="exact"/>
        <w:ind w:firstLine="640" w:firstLineChars="200"/>
        <w:outlineLvl w:val="0"/>
        <w:rPr>
          <w:rFonts w:ascii="仿宋_GB2312" w:eastAsia="仿宋_GB2312"/>
          <w:sz w:val="32"/>
          <w:szCs w:val="32"/>
        </w:rPr>
      </w:pPr>
      <w:r>
        <w:rPr>
          <w:rFonts w:hint="eastAsia" w:ascii="仿宋_GB2312" w:eastAsia="仿宋_GB2312"/>
          <w:sz w:val="32"/>
          <w:szCs w:val="32"/>
        </w:rPr>
        <w:t>其他重要事项的情况说明：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呼图壁县</w:t>
      </w:r>
      <w:r>
        <w:rPr>
          <w:rFonts w:hint="eastAsia" w:ascii="仿宋_GB2312" w:eastAsia="仿宋_GB2312"/>
          <w:sz w:val="32"/>
          <w:szCs w:val="32"/>
          <w:lang w:eastAsia="zh-CN"/>
        </w:rPr>
        <w:t>环境保护局</w:t>
      </w:r>
      <w:r>
        <w:rPr>
          <w:rFonts w:hint="eastAsia" w:ascii="仿宋_GB2312" w:eastAsia="仿宋_GB2312"/>
          <w:sz w:val="32"/>
          <w:szCs w:val="32"/>
        </w:rPr>
        <w:t>政府采购计划</w:t>
      </w:r>
      <w:r>
        <w:rPr>
          <w:rFonts w:hint="eastAsia" w:ascii="仿宋_GB2312" w:eastAsia="仿宋_GB2312"/>
          <w:sz w:val="32"/>
          <w:szCs w:val="32"/>
          <w:lang w:val="en-US" w:eastAsia="zh-CN"/>
        </w:rPr>
        <w:t>5.7</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4.3</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1.4</w:t>
      </w:r>
      <w:r>
        <w:rPr>
          <w:rFonts w:hint="eastAsia" w:ascii="仿宋_GB2312" w:eastAsia="仿宋_GB2312"/>
          <w:sz w:val="32"/>
          <w:szCs w:val="32"/>
        </w:rPr>
        <w:t>万元；实际采购</w:t>
      </w:r>
      <w:r>
        <w:rPr>
          <w:rFonts w:hint="eastAsia" w:ascii="仿宋_GB2312" w:eastAsia="仿宋_GB2312"/>
          <w:sz w:val="32"/>
          <w:szCs w:val="32"/>
          <w:lang w:val="en-US" w:eastAsia="zh-CN"/>
        </w:rPr>
        <w:t>5.7</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4.3</w:t>
      </w:r>
      <w:r>
        <w:rPr>
          <w:rFonts w:hint="eastAsia" w:ascii="仿宋_GB2312" w:eastAsia="仿宋_GB2312"/>
          <w:sz w:val="32"/>
          <w:szCs w:val="32"/>
        </w:rPr>
        <w:t>万元、政府采购工程支出0万元、政府采购服务支出</w:t>
      </w:r>
      <w:r>
        <w:rPr>
          <w:rFonts w:hint="eastAsia" w:ascii="仿宋_GB2312" w:eastAsia="仿宋_GB2312"/>
          <w:sz w:val="32"/>
          <w:szCs w:val="32"/>
          <w:lang w:val="en-US" w:eastAsia="zh-CN"/>
        </w:rPr>
        <w:t>1.4</w:t>
      </w:r>
      <w:bookmarkStart w:id="0" w:name="_GoBack"/>
      <w:bookmarkEnd w:id="0"/>
      <w:r>
        <w:rPr>
          <w:rFonts w:hint="eastAsia" w:ascii="仿宋_GB2312" w:eastAsia="仿宋_GB2312"/>
          <w:sz w:val="32"/>
          <w:szCs w:val="32"/>
        </w:rPr>
        <w:t>万元。</w:t>
      </w:r>
    </w:p>
    <w:p>
      <w:pPr>
        <w:spacing w:line="500" w:lineRule="exact"/>
        <w:ind w:firstLine="640" w:firstLineChars="200"/>
        <w:outlineLvl w:val="0"/>
        <w:rPr>
          <w:rFonts w:ascii="仿宋_GB2312" w:eastAsia="仿宋_GB2312"/>
          <w:sz w:val="32"/>
          <w:szCs w:val="32"/>
        </w:rPr>
      </w:pPr>
      <w:r>
        <w:rPr>
          <w:rFonts w:hint="eastAsia" w:ascii="仿宋_GB2312" w:eastAsia="仿宋_GB2312"/>
          <w:sz w:val="32"/>
          <w:szCs w:val="32"/>
        </w:rPr>
        <w:t>九、名词解释：</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结余分配：反映单位当年结余的分配情况。</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outlineLvl w:val="0"/>
        <w:rPr>
          <w:rFonts w:hint="eastAsia" w:ascii="仿宋_GB2312" w:eastAsia="仿宋_GB2312"/>
          <w:sz w:val="32"/>
          <w:szCs w:val="32"/>
        </w:rPr>
      </w:pPr>
    </w:p>
    <w:p>
      <w:pPr>
        <w:spacing w:line="500" w:lineRule="exact"/>
        <w:ind w:firstLine="640" w:firstLineChars="200"/>
        <w:outlineLvl w:val="0"/>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90DBC"/>
    <w:multiLevelType w:val="singleLevel"/>
    <w:tmpl w:val="59B90DBC"/>
    <w:lvl w:ilvl="0" w:tentative="0">
      <w:start w:val="1"/>
      <w:numFmt w:val="chineseCounting"/>
      <w:suff w:val="nothing"/>
      <w:lvlText w:val="%1、"/>
      <w:lvlJc w:val="left"/>
    </w:lvl>
  </w:abstractNum>
  <w:abstractNum w:abstractNumId="1">
    <w:nsid w:val="59B90FA0"/>
    <w:multiLevelType w:val="singleLevel"/>
    <w:tmpl w:val="59B90FA0"/>
    <w:lvl w:ilvl="0" w:tentative="0">
      <w:start w:val="2"/>
      <w:numFmt w:val="chineseCounting"/>
      <w:suff w:val="nothing"/>
      <w:lvlText w:val="（%1）"/>
      <w:lvlJc w:val="left"/>
    </w:lvl>
  </w:abstractNum>
  <w:abstractNum w:abstractNumId="2">
    <w:nsid w:val="59BA6A2A"/>
    <w:multiLevelType w:val="singleLevel"/>
    <w:tmpl w:val="59BA6A2A"/>
    <w:lvl w:ilvl="0" w:tentative="0">
      <w:start w:val="8"/>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495A"/>
    <w:rsid w:val="000157E7"/>
    <w:rsid w:val="00171814"/>
    <w:rsid w:val="00195E96"/>
    <w:rsid w:val="001F0DAD"/>
    <w:rsid w:val="001F495A"/>
    <w:rsid w:val="002C05B2"/>
    <w:rsid w:val="004535DB"/>
    <w:rsid w:val="004A6C7A"/>
    <w:rsid w:val="007C4ADE"/>
    <w:rsid w:val="00A04048"/>
    <w:rsid w:val="00A2047A"/>
    <w:rsid w:val="00AB3506"/>
    <w:rsid w:val="00FD42AB"/>
    <w:rsid w:val="047F58AD"/>
    <w:rsid w:val="0E7266FC"/>
    <w:rsid w:val="114A71AA"/>
    <w:rsid w:val="1C094511"/>
    <w:rsid w:val="1D2F45DD"/>
    <w:rsid w:val="252E605A"/>
    <w:rsid w:val="3E2E09CE"/>
    <w:rsid w:val="49D9616D"/>
    <w:rsid w:val="58E26CE5"/>
    <w:rsid w:val="59D96ED1"/>
    <w:rsid w:val="5A6D41CA"/>
    <w:rsid w:val="5A942D4B"/>
    <w:rsid w:val="613F0D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无间隔1"/>
    <w:qFormat/>
    <w:uiPriority w:val="1"/>
    <w:pPr>
      <w:widowControl w:val="0"/>
      <w:spacing w:line="660" w:lineRule="exact"/>
      <w:ind w:firstLine="560" w:firstLineChars="200"/>
    </w:pPr>
    <w:rPr>
      <w:rFonts w:ascii="仿宋_GB2312" w:hAnsi="Times New Roman"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2763</Words>
  <Characters>466</Characters>
  <Lines>3</Lines>
  <Paragraphs>6</Paragraphs>
  <TotalTime>3</TotalTime>
  <ScaleCrop>false</ScaleCrop>
  <LinksUpToDate>false</LinksUpToDate>
  <CharactersWithSpaces>3223</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2017-08-16T09:31:00Z</dcterms:created>
  <dc:creator>Administrator</dc:creator>
  <cp:lastModifiedBy>lenovo3</cp:lastModifiedBy>
  <dcterms:modified xsi:type="dcterms:W3CDTF">2018-12-22T11:40:49Z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