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sz w:val="36"/>
          <w:szCs w:val="36"/>
        </w:rPr>
      </w:pPr>
      <w:r>
        <w:rPr>
          <w:rFonts w:ascii="华文中宋" w:hAnsi="华文中宋" w:eastAsia="华文中宋"/>
          <w:sz w:val="36"/>
          <w:szCs w:val="36"/>
        </w:rPr>
        <w:t>呼图壁县煤炭工业管理局调整预算补充公开说明</w:t>
      </w:r>
    </w:p>
    <w:p>
      <w:pPr>
        <w:jc w:val="center"/>
        <w:rPr>
          <w:rFonts w:ascii="华文中宋" w:hAnsi="华文中宋" w:eastAsia="华文中宋"/>
          <w:sz w:val="36"/>
          <w:szCs w:val="36"/>
        </w:rPr>
      </w:pPr>
    </w:p>
    <w:p>
      <w:pPr>
        <w:spacing w:line="360" w:lineRule="auto"/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根据自治州党委、人民政府《关于&lt;昌吉回族自治州机构改革方案&gt;的实施意见》（昌州党办发[2019]1号）要求，按照《关于涉改部门单位调整预算的通知》（昌州财函〔2019〕2号），调整部门单位预算。现将我单位预算调整补充公开如下：</w:t>
      </w:r>
    </w:p>
    <w:p>
      <w:pPr>
        <w:pStyle w:val="37"/>
        <w:numPr>
          <w:ilvl w:val="0"/>
          <w:numId w:val="1"/>
        </w:numPr>
        <w:rPr>
          <w:rFonts w:ascii="黑体" w:hAnsi="黑体" w:eastAsia="黑体"/>
          <w:sz w:val="32"/>
          <w:szCs w:val="32"/>
        </w:rPr>
      </w:pPr>
      <w:bookmarkStart w:id="0" w:name="_GoBack"/>
      <w:bookmarkEnd w:id="0"/>
      <w:r>
        <w:rPr>
          <w:rFonts w:ascii="黑体" w:hAnsi="黑体" w:eastAsia="黑体"/>
          <w:sz w:val="32"/>
          <w:szCs w:val="32"/>
        </w:rPr>
        <w:t>单位职能划转情况</w:t>
      </w:r>
    </w:p>
    <w:p>
      <w:pPr>
        <w:spacing w:line="560" w:lineRule="exact"/>
        <w:jc w:val="left"/>
        <w:rPr>
          <w:rFonts w:ascii="黑体" w:hAnsi="宋体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我单位主要职能为</w:t>
      </w:r>
      <w:r>
        <w:rPr>
          <w:rFonts w:ascii="黑体" w:hAnsi="黑体" w:eastAsia="黑体"/>
          <w:sz w:val="32"/>
          <w:szCs w:val="32"/>
        </w:rPr>
        <w:t>:</w:t>
      </w:r>
    </w:p>
    <w:p>
      <w:pPr>
        <w:spacing w:line="360" w:lineRule="auto"/>
        <w:ind w:firstLine="627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1、贯彻执行国家和自治区、自治州有关发展煤炭工业的方针政策、法律、法规，研究制定全县发展煤炭工业的行业规章、规范和技术标准。</w:t>
      </w:r>
    </w:p>
    <w:p>
      <w:pPr>
        <w:spacing w:line="360" w:lineRule="auto"/>
        <w:ind w:firstLine="627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2、研究制订全县煤炭工业发展战略和中长期发展规划、年度计划，组织对煤炭资源的合理开发利用。</w:t>
      </w:r>
    </w:p>
    <w:p>
      <w:pPr>
        <w:spacing w:line="360" w:lineRule="auto"/>
        <w:ind w:firstLine="627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3、依法整顿全县煤炭生产和经营秩序，协调煤炭行业内部关系，维护公平竞争秩序，组织协调全县煤炭企业产、运、销和煤炭行业对外协作；负责权限内煤矿工程竣工验收、煤矿管理人员资格的审批，负责煤炭生产许可证、煤矿企业设计方案及地质报告、煤炭经营企业资格等审核申报工作，负责报废煤矿的审核申报，并依照法律、法规进行监督检查；强化煤炭市场管理，培育和发展煤炭市场。</w:t>
      </w:r>
    </w:p>
    <w:p>
      <w:pPr>
        <w:spacing w:line="360" w:lineRule="auto"/>
        <w:ind w:firstLine="627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4、组织协调全县煤炭行业的技术开发、推广和先进技术的引进、合作与交流；负责全县煤炭工业经济运行和安全生产动态的统计和分析，收集发布煤炭经济技术和市场信息，提供信息、技术、管理、咨询服务。</w:t>
      </w:r>
    </w:p>
    <w:p>
      <w:pPr>
        <w:spacing w:line="360" w:lineRule="auto"/>
        <w:ind w:firstLine="627"/>
        <w:rPr>
          <w:rFonts w:ascii="仿宋_GB2312" w:hAnsi="宋体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5、负责指导全县煤炭企业的安全生产，对煤矿安全生产进行监督管理，对煤矿违法违规行为依法作出现场处理或实施行政处罚；监督煤矿企业事故隐患的整改并组织复查，负责组织煤矿安全专项整治；依法组织关闭不具备安全生产条件的矿井，关停违法开办的各类煤矿及煤炭经营性公司；指导协调煤矿安全事故的抢险救灾， 与煤矿重大事故的调查处理；负责组织矿山救护管理工作。</w:t>
      </w:r>
    </w:p>
    <w:p>
      <w:pPr>
        <w:spacing w:line="360" w:lineRule="auto"/>
        <w:ind w:firstLine="627"/>
        <w:rPr>
          <w:rFonts w:ascii="仿宋_GB2312" w:hAnsi="宋体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6、负责制定安全县煤矿行业管理人员的培训规划；负责煤矿安全培训工作；负责煤矿管理人员参加各类培训；负责煤炭行业普法教育工作和煤矿安全生产宣传教育工作，对煤矿职工培训进行监督检查。</w:t>
      </w:r>
    </w:p>
    <w:p>
      <w:pPr>
        <w:spacing w:line="360" w:lineRule="auto"/>
        <w:ind w:firstLine="627"/>
        <w:rPr>
          <w:rFonts w:ascii="仿宋_GB2312" w:hAnsi="宋体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7、承办县人民政府交办的其他事项。</w:t>
      </w:r>
    </w:p>
    <w:p>
      <w:pPr>
        <w:ind w:firstLine="48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贯彻落实自治州党政机构改革工作部署，本次划出职能为：</w:t>
      </w:r>
    </w:p>
    <w:p>
      <w:pPr>
        <w:ind w:firstLine="48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1、划入呼图壁县应急管理局的职能：指导煤矿救护和组织协调煤矿事故应急救援（对应急救援器材、设备和物资未按规定配备并进行经常性维护保养的违法行为的处罚，权力事项编码：652323402CF01200；对未按照规定公布有关职业病防治的规章制度、操作规程、职业病危害事故应急救援措施等违法行为的行政处罚，权力事项编码：652323402CF02301；对应急预案未按照规定备案的处罚，权力事项编码：652323402CF04000；煤矿生产安全事故应急预案备案，权力事项编码：652323402QT00500）</w:t>
      </w:r>
    </w:p>
    <w:p>
      <w:pPr>
        <w:ind w:firstLine="48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2、划入呼图壁县发展和改革委员会的职能：其余职能全部划入呼图壁县发展和改革委员会。</w:t>
      </w:r>
    </w:p>
    <w:p>
      <w:pPr>
        <w:pStyle w:val="37"/>
        <w:numPr>
          <w:ilvl w:val="0"/>
          <w:numId w:val="1"/>
        </w:numPr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预算调整情况</w:t>
      </w:r>
    </w:p>
    <w:p>
      <w:pPr>
        <w:ind w:firstLine="48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经自治州第十五届人代会批复我单位2019年年初部门预算总额为</w:t>
      </w:r>
      <w:r>
        <w:rPr>
          <w:rFonts w:ascii="仿宋" w:hAnsi="仿宋" w:eastAsia="仿宋"/>
          <w:sz w:val="32"/>
          <w:szCs w:val="32"/>
        </w:rPr>
        <w:t>442.74万</w:t>
      </w:r>
      <w:r>
        <w:rPr>
          <w:rFonts w:ascii="仿宋_GB2312" w:hAnsi="仿宋_GB2312" w:eastAsia="仿宋_GB2312"/>
          <w:sz w:val="32"/>
          <w:szCs w:val="32"/>
        </w:rPr>
        <w:t>元，本次调增（减）预算9</w:t>
      </w:r>
      <w:r>
        <w:rPr>
          <w:rFonts w:hint="eastAsia" w:ascii="仿宋_GB2312" w:hAnsi="仿宋_GB2312" w:eastAsia="仿宋_GB2312"/>
          <w:sz w:val="32"/>
          <w:szCs w:val="32"/>
        </w:rPr>
        <w:t>51.54</w:t>
      </w:r>
      <w:r>
        <w:rPr>
          <w:rFonts w:ascii="仿宋_GB2312" w:hAnsi="仿宋_GB2312" w:eastAsia="仿宋_GB2312"/>
          <w:sz w:val="32"/>
          <w:szCs w:val="32"/>
        </w:rPr>
        <w:t>万元。具体情况为：</w:t>
      </w:r>
    </w:p>
    <w:p>
      <w:pPr>
        <w:ind w:firstLine="48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（一）因**职能划入，划入预算***万元。其中，基本支出**万元；项目支出**万元。</w:t>
      </w:r>
    </w:p>
    <w:p>
      <w:pPr>
        <w:ind w:firstLine="48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（二）划出呼图壁县应急管理局，划出预算18.74万元。其中，基本支出18.74万元；项目支出0万元；划出呼图壁县发展和改革委员会，划出预算</w:t>
      </w:r>
      <w:r>
        <w:rPr>
          <w:rFonts w:hint="eastAsia" w:ascii="仿宋_GB2312" w:hAnsi="仿宋_GB2312" w:eastAsia="仿宋_GB2312"/>
          <w:sz w:val="32"/>
          <w:szCs w:val="32"/>
        </w:rPr>
        <w:t>932.8</w:t>
      </w:r>
      <w:r>
        <w:rPr>
          <w:rFonts w:ascii="仿宋_GB2312" w:hAnsi="仿宋_GB2312" w:eastAsia="仿宋_GB2312"/>
          <w:sz w:val="32"/>
          <w:szCs w:val="32"/>
        </w:rPr>
        <w:t>万元。其中，基本支出</w:t>
      </w:r>
      <w:r>
        <w:rPr>
          <w:rFonts w:hint="eastAsia" w:ascii="仿宋_GB2312" w:hAnsi="仿宋_GB2312" w:eastAsia="仿宋_GB2312"/>
          <w:sz w:val="32"/>
          <w:szCs w:val="32"/>
        </w:rPr>
        <w:t>231.11</w:t>
      </w:r>
      <w:r>
        <w:rPr>
          <w:rFonts w:ascii="仿宋_GB2312" w:hAnsi="仿宋_GB2312" w:eastAsia="仿宋_GB2312"/>
          <w:sz w:val="32"/>
          <w:szCs w:val="32"/>
        </w:rPr>
        <w:t>万元；项目支出701.69万元。</w:t>
      </w:r>
    </w:p>
    <w:p>
      <w:pPr>
        <w:ind w:firstLine="16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 xml:space="preserve">  （三）“三公”经费变化情况为：三公”经费2019年我单位年初部门预算总额为3.05万元，本次调减至呼图壁县应急管理局预算0.1万元，其中：公务用车运行维护费0万元；调减至呼图壁县发展和改革委员会3.04万元，其中：公务用车运行维护费2万元。</w:t>
      </w:r>
    </w:p>
    <w:p>
      <w:pPr>
        <w:ind w:firstLine="64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三、绩效目标调整情况</w:t>
      </w:r>
    </w:p>
    <w:p>
      <w:pPr>
        <w:spacing w:line="560" w:lineRule="exact"/>
        <w:ind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绩效目标未做调整。</w:t>
      </w:r>
    </w:p>
    <w:p>
      <w:pPr>
        <w:ind w:left="481" w:firstLine="16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以上具体情况，详见附件。</w:t>
      </w:r>
    </w:p>
    <w:p>
      <w:pPr>
        <w:ind w:left="1440" w:hanging="80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附件</w:t>
      </w:r>
    </w:p>
    <w:p>
      <w:pPr>
        <w:ind w:left="1440" w:hanging="80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1：自治州党政机关机构改革预算调整表</w:t>
      </w:r>
    </w:p>
    <w:p>
      <w:pPr>
        <w:spacing w:line="560" w:lineRule="exact"/>
        <w:ind w:left="1440" w:hanging="80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 xml:space="preserve"> 2：呼图壁县煤炭工业管理局机构改革预算调整表（明细到项级）</w:t>
      </w:r>
    </w:p>
    <w:p>
      <w:pPr>
        <w:spacing w:line="560" w:lineRule="exact"/>
        <w:ind w:firstLine="640"/>
        <w:rPr>
          <w:rFonts w:ascii="仿宋_GB2312" w:hAnsi="仿宋_GB2312" w:eastAsia="仿宋_GB2312"/>
          <w:sz w:val="32"/>
          <w:szCs w:val="32"/>
        </w:rPr>
      </w:pPr>
    </w:p>
    <w:p>
      <w:pPr>
        <w:ind w:left="1440" w:hanging="800"/>
        <w:rPr>
          <w:rFonts w:ascii="仿宋_GB2312" w:hAns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FFFFFF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DA473A"/>
    <w:multiLevelType w:val="multilevel"/>
    <w:tmpl w:val="3FDA473A"/>
    <w:lvl w:ilvl="0" w:tentative="0">
      <w:start w:val="1"/>
      <w:numFmt w:val="japaneseCounting"/>
      <w:lvlText w:val="%1、"/>
      <w:lvlJc w:val="left"/>
      <w:pPr>
        <w:ind w:left="1200" w:hanging="720"/>
        <w:jc w:val="both"/>
      </w:pPr>
      <w:rPr>
        <w:w w:val="100"/>
        <w:sz w:val="20"/>
        <w:szCs w:val="20"/>
        <w:shd w:val="clear" w:color="auto" w:fill="auto"/>
      </w:rPr>
    </w:lvl>
    <w:lvl w:ilvl="1" w:tentative="0">
      <w:start w:val="1"/>
      <w:numFmt w:val="lowerLetter"/>
      <w:lvlText w:val="%2)"/>
      <w:lvlJc w:val="left"/>
      <w:pPr>
        <w:ind w:left="1320" w:hanging="420"/>
        <w:jc w:val="both"/>
      </w:pPr>
    </w:lvl>
    <w:lvl w:ilvl="2" w:tentative="0">
      <w:start w:val="1"/>
      <w:numFmt w:val="lowerRoman"/>
      <w:lvlText w:val="%3."/>
      <w:lvlJc w:val="right"/>
      <w:pPr>
        <w:ind w:left="1740" w:hanging="420"/>
        <w:jc w:val="both"/>
      </w:pPr>
    </w:lvl>
    <w:lvl w:ilvl="3" w:tentative="0">
      <w:start w:val="1"/>
      <w:numFmt w:val="decimal"/>
      <w:lvlText w:val="%4."/>
      <w:lvlJc w:val="left"/>
      <w:pPr>
        <w:ind w:left="2160" w:hanging="420"/>
        <w:jc w:val="both"/>
      </w:pPr>
    </w:lvl>
    <w:lvl w:ilvl="4" w:tentative="0">
      <w:start w:val="1"/>
      <w:numFmt w:val="lowerLetter"/>
      <w:lvlText w:val="%5)"/>
      <w:lvlJc w:val="left"/>
      <w:pPr>
        <w:ind w:left="2580" w:hanging="420"/>
        <w:jc w:val="both"/>
      </w:pPr>
    </w:lvl>
    <w:lvl w:ilvl="5" w:tentative="0">
      <w:start w:val="1"/>
      <w:numFmt w:val="lowerRoman"/>
      <w:lvlText w:val="%6."/>
      <w:lvlJc w:val="right"/>
      <w:pPr>
        <w:ind w:left="3000" w:hanging="420"/>
        <w:jc w:val="both"/>
      </w:pPr>
    </w:lvl>
    <w:lvl w:ilvl="6" w:tentative="0">
      <w:start w:val="1"/>
      <w:numFmt w:val="decimal"/>
      <w:lvlText w:val="%7."/>
      <w:lvlJc w:val="left"/>
      <w:pPr>
        <w:ind w:left="3420" w:hanging="420"/>
        <w:jc w:val="both"/>
      </w:pPr>
    </w:lvl>
    <w:lvl w:ilvl="7" w:tentative="0">
      <w:start w:val="1"/>
      <w:numFmt w:val="lowerLetter"/>
      <w:lvlText w:val="%8)"/>
      <w:lvlJc w:val="left"/>
      <w:pPr>
        <w:ind w:left="3840" w:hanging="420"/>
        <w:jc w:val="both"/>
      </w:pPr>
    </w:lvl>
    <w:lvl w:ilvl="8" w:tentative="0">
      <w:start w:val="1"/>
      <w:numFmt w:val="lowerRoman"/>
      <w:lvlText w:val="%9."/>
      <w:lvlJc w:val="right"/>
      <w:pPr>
        <w:ind w:left="4260" w:hanging="420"/>
        <w:jc w:val="both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doNotDisplayPageBoundaries w:val="1"/>
  <w:bordersDoNotSurroundHeader w:val="1"/>
  <w:bordersDoNotSurroundFooter w:val="1"/>
  <w:documentProtection w:enforcement="0"/>
  <w:defaultTabStop w:val="420"/>
  <w:displayHorizontalDrawingGridEvery w:val="0"/>
  <w:displayVerticalDrawingGridEvery w:val="2"/>
  <w:characterSpacingControl w:val="compressPunctuation"/>
  <w:compat>
    <w:balanceSingleByteDoubleByteWidth/>
    <w:doNotExpandShiftReturn/>
    <w:adjustLineHeightInTable/>
    <w:useFELayout/>
    <w:compatSetting w:name="compatibilityMode" w:uri="http://schemas.microsoft.com/office/word" w:val="12"/>
  </w:compat>
  <w:rsids>
    <w:rsidRoot w:val="00F37E08"/>
    <w:rsid w:val="000338A8"/>
    <w:rsid w:val="00637887"/>
    <w:rsid w:val="008113CD"/>
    <w:rsid w:val="00B357FB"/>
    <w:rsid w:val="00CA1FF0"/>
    <w:rsid w:val="00F37E08"/>
    <w:rsid w:val="015C296C"/>
    <w:rsid w:val="45465BE5"/>
  </w:rsids>
  <m:mathPr>
    <m:mathFont m:val="Cambria Math"/>
    <m:brkBin m:val="before"/>
    <m:brkBinSub m:val="--"/>
    <m:smallFrac m:val="1"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7" w:semiHidden="0" w:name="heading 1"/>
    <w:lsdException w:qFormat="1" w:unhideWhenUsed="0" w:uiPriority="8" w:semiHidden="0" w:name="heading 2"/>
    <w:lsdException w:qFormat="1" w:unhideWhenUsed="0" w:uiPriority="9" w:semiHidden="0" w:name="heading 3"/>
    <w:lsdException w:qFormat="1" w:unhideWhenUsed="0" w:uiPriority="10" w:semiHidden="0" w:name="heading 4"/>
    <w:lsdException w:qFormat="1" w:unhideWhenUsed="0" w:uiPriority="11" w:semiHidden="0" w:name="heading 5"/>
    <w:lsdException w:qFormat="1" w:unhideWhenUsed="0" w:uiPriority="12" w:semiHidden="0" w:name="heading 6"/>
    <w:lsdException w:qFormat="1" w:unhideWhenUsed="0" w:uiPriority="13" w:semiHidden="0" w:name="heading 7"/>
    <w:lsdException w:qFormat="1" w:unhideWhenUsed="0" w:uiPriority="14" w:semiHidden="0" w:name="heading 8"/>
    <w:lsdException w:qFormat="1" w:unhideWhenUsed="0" w:uiPriority="15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28" w:semiHidden="0" w:name="toc 1"/>
    <w:lsdException w:qFormat="1" w:uiPriority="29" w:semiHidden="0" w:name="toc 2"/>
    <w:lsdException w:qFormat="1" w:uiPriority="30" w:semiHidden="0" w:name="toc 3"/>
    <w:lsdException w:qFormat="1" w:uiPriority="31" w:semiHidden="0" w:name="toc 4"/>
    <w:lsdException w:qFormat="1" w:uiPriority="32" w:semiHidden="0" w:name="toc 5"/>
    <w:lsdException w:qFormat="1" w:uiPriority="33" w:semiHidden="0" w:name="toc 6"/>
    <w:lsdException w:qFormat="1" w:uiPriority="34" w:semiHidden="0" w:name="toc 7"/>
    <w:lsdException w:qFormat="1" w:uiPriority="35" w:semiHidden="0" w:name="toc 8"/>
    <w:lsdException w:qFormat="1" w:uiPriority="36" w:semiHidden="0" w:name="toc 9"/>
    <w:lsdException w:uiPriority="99" w:name="Normal Indent"/>
    <w:lsdException w:uiPriority="99" w:name="footnote text"/>
    <w:lsdException w:uiPriority="99" w:name="annotation text"/>
    <w:lsdException w:uiPriority="0" w:name="header"/>
    <w:lsdException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6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6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0" w:semiHidden="0" w:name="Strong"/>
    <w:lsdException w:qFormat="1" w:unhideWhenUsed="0" w:uiPriority="18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nhideWhenUsed="0" w:uiPriority="59" w:semiHidden="0" w:name="Table Grid"/>
    <w:lsdException w:uiPriority="99" w:name="Table Theme"/>
    <w:lsdException w:qFormat="1" w:unhideWhenUsed="0" w:uiPriority="5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6" w:semiHidden="0" w:name="List Paragraph"/>
    <w:lsdException w:qFormat="1" w:unhideWhenUsed="0" w:uiPriority="21" w:semiHidden="0" w:name="Quote"/>
    <w:lsdException w:qFormat="1" w:unhideWhenUsed="0" w:uiPriority="22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2">
    <w:name w:val="heading 1"/>
    <w:next w:val="1"/>
    <w:qFormat/>
    <w:uiPriority w:val="7"/>
    <w:pPr>
      <w:jc w:val="both"/>
      <w:outlineLvl w:val="0"/>
    </w:pPr>
    <w:rPr>
      <w:rFonts w:ascii="Calibri" w:hAnsi="Calibri" w:eastAsia="宋体" w:cs="Times New Roman"/>
      <w:sz w:val="28"/>
      <w:szCs w:val="28"/>
      <w:lang w:val="en-US" w:eastAsia="zh-CN" w:bidi="ar-SA"/>
    </w:rPr>
  </w:style>
  <w:style w:type="paragraph" w:styleId="3">
    <w:name w:val="heading 2"/>
    <w:next w:val="1"/>
    <w:qFormat/>
    <w:uiPriority w:val="8"/>
    <w:pPr>
      <w:jc w:val="both"/>
      <w:outlineLvl w:val="1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4">
    <w:name w:val="heading 3"/>
    <w:next w:val="1"/>
    <w:qFormat/>
    <w:uiPriority w:val="9"/>
    <w:pPr>
      <w:ind w:left="1000" w:hanging="400"/>
      <w:jc w:val="both"/>
      <w:outlineLvl w:val="2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5">
    <w:name w:val="heading 4"/>
    <w:next w:val="1"/>
    <w:qFormat/>
    <w:uiPriority w:val="10"/>
    <w:pPr>
      <w:ind w:left="1200" w:hanging="400"/>
      <w:jc w:val="both"/>
      <w:outlineLvl w:val="3"/>
    </w:pPr>
    <w:rPr>
      <w:rFonts w:ascii="Calibri" w:hAnsi="Calibri" w:eastAsia="宋体" w:cs="Times New Roman"/>
      <w:b/>
      <w:sz w:val="21"/>
      <w:szCs w:val="21"/>
      <w:lang w:val="en-US" w:eastAsia="zh-CN" w:bidi="ar-SA"/>
    </w:rPr>
  </w:style>
  <w:style w:type="paragraph" w:styleId="6">
    <w:name w:val="heading 5"/>
    <w:next w:val="1"/>
    <w:qFormat/>
    <w:uiPriority w:val="11"/>
    <w:pPr>
      <w:ind w:left="1400" w:hanging="400"/>
      <w:jc w:val="both"/>
      <w:outlineLvl w:val="4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7">
    <w:name w:val="heading 6"/>
    <w:next w:val="1"/>
    <w:qFormat/>
    <w:uiPriority w:val="12"/>
    <w:pPr>
      <w:ind w:left="1600" w:hanging="400"/>
      <w:jc w:val="both"/>
      <w:outlineLvl w:val="5"/>
    </w:pPr>
    <w:rPr>
      <w:rFonts w:ascii="Calibri" w:hAnsi="Calibri" w:eastAsia="宋体" w:cs="Times New Roman"/>
      <w:b/>
      <w:sz w:val="21"/>
      <w:szCs w:val="21"/>
      <w:lang w:val="en-US" w:eastAsia="zh-CN" w:bidi="ar-SA"/>
    </w:rPr>
  </w:style>
  <w:style w:type="paragraph" w:styleId="8">
    <w:name w:val="heading 7"/>
    <w:next w:val="1"/>
    <w:qFormat/>
    <w:uiPriority w:val="13"/>
    <w:pPr>
      <w:ind w:left="1800" w:hanging="400"/>
      <w:jc w:val="both"/>
      <w:outlineLvl w:val="6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9">
    <w:name w:val="heading 8"/>
    <w:next w:val="1"/>
    <w:qFormat/>
    <w:uiPriority w:val="14"/>
    <w:pPr>
      <w:ind w:left="2000" w:hanging="400"/>
      <w:jc w:val="both"/>
      <w:outlineLvl w:val="7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10">
    <w:name w:val="heading 9"/>
    <w:next w:val="1"/>
    <w:qFormat/>
    <w:uiPriority w:val="15"/>
    <w:pPr>
      <w:ind w:left="2200" w:hanging="400"/>
      <w:jc w:val="both"/>
      <w:outlineLvl w:val="8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character" w:default="1" w:styleId="26">
    <w:name w:val="Default Paragraph Font"/>
    <w:semiHidden/>
    <w:unhideWhenUsed/>
    <w:uiPriority w:val="1"/>
  </w:style>
  <w:style w:type="table" w:default="1" w:styleId="2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next w:val="1"/>
    <w:unhideWhenUsed/>
    <w:qFormat/>
    <w:uiPriority w:val="34"/>
    <w:pPr>
      <w:ind w:left="2550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12">
    <w:name w:val="toc 5"/>
    <w:next w:val="1"/>
    <w:unhideWhenUsed/>
    <w:qFormat/>
    <w:uiPriority w:val="32"/>
    <w:pPr>
      <w:ind w:left="1700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13">
    <w:name w:val="toc 3"/>
    <w:next w:val="1"/>
    <w:unhideWhenUsed/>
    <w:qFormat/>
    <w:uiPriority w:val="30"/>
    <w:pPr>
      <w:ind w:left="850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14">
    <w:name w:val="toc 8"/>
    <w:next w:val="1"/>
    <w:unhideWhenUsed/>
    <w:qFormat/>
    <w:uiPriority w:val="35"/>
    <w:pPr>
      <w:ind w:left="2975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15">
    <w:name w:val="Balloon Text"/>
    <w:basedOn w:val="1"/>
    <w:link w:val="41"/>
    <w:semiHidden/>
    <w:unhideWhenUsed/>
    <w:uiPriority w:val="0"/>
    <w:rPr>
      <w:sz w:val="18"/>
      <w:szCs w:val="18"/>
    </w:rPr>
  </w:style>
  <w:style w:type="paragraph" w:styleId="16">
    <w:name w:val="footer"/>
    <w:basedOn w:val="1"/>
    <w:link w:val="40"/>
    <w:semiHidden/>
    <w:unhideWhenUsed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7">
    <w:name w:val="header"/>
    <w:basedOn w:val="1"/>
    <w:link w:val="39"/>
    <w:semiHidden/>
    <w:unhideWhenUsed/>
    <w:uiPriority w:val="0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8">
    <w:name w:val="toc 1"/>
    <w:next w:val="1"/>
    <w:unhideWhenUsed/>
    <w:qFormat/>
    <w:uiPriority w:val="28"/>
    <w:pPr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19">
    <w:name w:val="toc 4"/>
    <w:next w:val="1"/>
    <w:unhideWhenUsed/>
    <w:qFormat/>
    <w:uiPriority w:val="31"/>
    <w:pPr>
      <w:ind w:left="1275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20">
    <w:name w:val="Subtitle"/>
    <w:qFormat/>
    <w:uiPriority w:val="16"/>
    <w:pPr>
      <w:jc w:val="center"/>
    </w:pPr>
    <w:rPr>
      <w:rFonts w:ascii="Calibri" w:hAnsi="Calibri" w:eastAsia="宋体" w:cs="Times New Roman"/>
      <w:sz w:val="24"/>
      <w:szCs w:val="24"/>
      <w:lang w:val="en-US" w:eastAsia="zh-CN" w:bidi="ar-SA"/>
    </w:rPr>
  </w:style>
  <w:style w:type="paragraph" w:styleId="21">
    <w:name w:val="toc 6"/>
    <w:next w:val="1"/>
    <w:unhideWhenUsed/>
    <w:qFormat/>
    <w:uiPriority w:val="33"/>
    <w:pPr>
      <w:ind w:left="2125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22">
    <w:name w:val="toc 2"/>
    <w:next w:val="1"/>
    <w:unhideWhenUsed/>
    <w:qFormat/>
    <w:uiPriority w:val="29"/>
    <w:pPr>
      <w:ind w:left="425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23">
    <w:name w:val="toc 9"/>
    <w:next w:val="1"/>
    <w:unhideWhenUsed/>
    <w:qFormat/>
    <w:uiPriority w:val="36"/>
    <w:pPr>
      <w:ind w:left="3400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24">
    <w:name w:val="Title"/>
    <w:qFormat/>
    <w:uiPriority w:val="6"/>
    <w:pPr>
      <w:jc w:val="center"/>
    </w:pPr>
    <w:rPr>
      <w:rFonts w:ascii="Calibri" w:hAnsi="Calibri" w:eastAsia="宋体" w:cs="Times New Roman"/>
      <w:b/>
      <w:sz w:val="32"/>
      <w:szCs w:val="32"/>
      <w:lang w:val="en-US" w:eastAsia="zh-CN" w:bidi="ar-SA"/>
    </w:rPr>
  </w:style>
  <w:style w:type="character" w:styleId="27">
    <w:name w:val="Strong"/>
    <w:qFormat/>
    <w:uiPriority w:val="20"/>
    <w:rPr>
      <w:b/>
      <w:w w:val="100"/>
      <w:sz w:val="21"/>
      <w:szCs w:val="21"/>
      <w:shd w:val="clear" w:color="auto" w:fill="auto"/>
    </w:rPr>
  </w:style>
  <w:style w:type="character" w:styleId="28">
    <w:name w:val="Emphasis"/>
    <w:qFormat/>
    <w:uiPriority w:val="18"/>
    <w:rPr>
      <w:i/>
      <w:w w:val="100"/>
      <w:sz w:val="21"/>
      <w:szCs w:val="21"/>
      <w:shd w:val="clear" w:color="auto" w:fill="auto"/>
    </w:rPr>
  </w:style>
  <w:style w:type="paragraph" w:styleId="29">
    <w:name w:val="No Spacing"/>
    <w:qFormat/>
    <w:uiPriority w:val="5"/>
    <w:pPr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character" w:customStyle="1" w:styleId="30">
    <w:name w:val="Subtle Emphasis"/>
    <w:qFormat/>
    <w:uiPriority w:val="17"/>
    <w:rPr>
      <w:i/>
      <w:color w:val="404040"/>
      <w:w w:val="100"/>
      <w:sz w:val="21"/>
      <w:szCs w:val="21"/>
      <w:shd w:val="clear" w:color="auto" w:fill="auto"/>
    </w:rPr>
  </w:style>
  <w:style w:type="character" w:customStyle="1" w:styleId="31">
    <w:name w:val="Intense Emphasis"/>
    <w:qFormat/>
    <w:uiPriority w:val="19"/>
    <w:rPr>
      <w:i/>
      <w:color w:val="5B9BD5"/>
      <w:w w:val="100"/>
      <w:sz w:val="21"/>
      <w:szCs w:val="21"/>
      <w:shd w:val="clear" w:color="auto" w:fill="auto"/>
    </w:rPr>
  </w:style>
  <w:style w:type="paragraph" w:styleId="32">
    <w:name w:val="Quote"/>
    <w:qFormat/>
    <w:uiPriority w:val="21"/>
    <w:pPr>
      <w:ind w:left="864" w:right="864"/>
      <w:jc w:val="center"/>
    </w:pPr>
    <w:rPr>
      <w:rFonts w:ascii="Calibri" w:hAnsi="Calibri" w:eastAsia="宋体" w:cs="Times New Roman"/>
      <w:i/>
      <w:color w:val="404040"/>
      <w:sz w:val="21"/>
      <w:szCs w:val="21"/>
      <w:lang w:val="en-US" w:eastAsia="zh-CN" w:bidi="ar-SA"/>
    </w:rPr>
  </w:style>
  <w:style w:type="paragraph" w:styleId="33">
    <w:name w:val="Intense Quote"/>
    <w:qFormat/>
    <w:uiPriority w:val="22"/>
    <w:pPr>
      <w:ind w:left="950" w:right="950"/>
      <w:jc w:val="center"/>
    </w:pPr>
    <w:rPr>
      <w:rFonts w:ascii="Calibri" w:hAnsi="Calibri" w:eastAsia="宋体" w:cs="Times New Roman"/>
      <w:i/>
      <w:color w:val="5B9BD5"/>
      <w:sz w:val="21"/>
      <w:szCs w:val="21"/>
      <w:lang w:val="en-US" w:eastAsia="zh-CN" w:bidi="ar-SA"/>
    </w:rPr>
  </w:style>
  <w:style w:type="character" w:customStyle="1" w:styleId="34">
    <w:name w:val="Subtle Reference"/>
    <w:qFormat/>
    <w:uiPriority w:val="23"/>
    <w:rPr>
      <w:smallCaps/>
      <w:color w:val="5A5A5A"/>
      <w:w w:val="100"/>
      <w:sz w:val="21"/>
      <w:szCs w:val="21"/>
      <w:shd w:val="clear" w:color="auto" w:fill="auto"/>
    </w:rPr>
  </w:style>
  <w:style w:type="character" w:customStyle="1" w:styleId="35">
    <w:name w:val="Intense Reference"/>
    <w:qFormat/>
    <w:uiPriority w:val="24"/>
    <w:rPr>
      <w:b/>
      <w:smallCaps/>
      <w:color w:val="5B9BD5"/>
      <w:w w:val="100"/>
      <w:sz w:val="21"/>
      <w:szCs w:val="21"/>
      <w:shd w:val="clear" w:color="auto" w:fill="auto"/>
    </w:rPr>
  </w:style>
  <w:style w:type="character" w:customStyle="1" w:styleId="36">
    <w:name w:val="Book Title"/>
    <w:qFormat/>
    <w:uiPriority w:val="25"/>
    <w:rPr>
      <w:b/>
      <w:i/>
      <w:w w:val="100"/>
      <w:sz w:val="21"/>
      <w:szCs w:val="21"/>
      <w:shd w:val="clear" w:color="auto" w:fill="auto"/>
    </w:rPr>
  </w:style>
  <w:style w:type="paragraph" w:styleId="37">
    <w:name w:val="List Paragraph"/>
    <w:basedOn w:val="1"/>
    <w:qFormat/>
    <w:uiPriority w:val="26"/>
    <w:pPr>
      <w:ind w:firstLine="420"/>
    </w:pPr>
  </w:style>
  <w:style w:type="paragraph" w:customStyle="1" w:styleId="38">
    <w:name w:val="TOC Heading"/>
    <w:unhideWhenUsed/>
    <w:qFormat/>
    <w:uiPriority w:val="27"/>
    <w:rPr>
      <w:rFonts w:ascii="Calibri" w:hAnsi="Calibri" w:eastAsia="宋体" w:cs="Times New Roman"/>
      <w:color w:val="2E74B5"/>
      <w:sz w:val="32"/>
      <w:szCs w:val="32"/>
      <w:lang w:val="en-US" w:eastAsia="zh-CN" w:bidi="ar-SA"/>
    </w:rPr>
  </w:style>
  <w:style w:type="character" w:customStyle="1" w:styleId="39">
    <w:name w:val="页眉 Char"/>
    <w:basedOn w:val="26"/>
    <w:link w:val="17"/>
    <w:semiHidden/>
    <w:uiPriority w:val="0"/>
    <w:rPr>
      <w:w w:val="100"/>
      <w:sz w:val="18"/>
      <w:szCs w:val="18"/>
      <w:shd w:val="clear" w:color="auto" w:fill="auto"/>
    </w:rPr>
  </w:style>
  <w:style w:type="character" w:customStyle="1" w:styleId="40">
    <w:name w:val="页脚 Char"/>
    <w:basedOn w:val="26"/>
    <w:link w:val="16"/>
    <w:semiHidden/>
    <w:uiPriority w:val="0"/>
    <w:rPr>
      <w:w w:val="100"/>
      <w:sz w:val="18"/>
      <w:szCs w:val="18"/>
      <w:shd w:val="clear" w:color="auto" w:fill="auto"/>
    </w:rPr>
  </w:style>
  <w:style w:type="character" w:customStyle="1" w:styleId="41">
    <w:name w:val="批注框文本 Char"/>
    <w:basedOn w:val="26"/>
    <w:link w:val="15"/>
    <w:semiHidden/>
    <w:uiPriority w:val="0"/>
    <w:rPr>
      <w:w w:val="100"/>
      <w:sz w:val="18"/>
      <w:szCs w:val="18"/>
      <w:shd w:val="clear" w:color="auto" w:fill="auto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234</Words>
  <Characters>1338</Characters>
  <Lines>11</Lines>
  <Paragraphs>3</Paragraphs>
  <TotalTime>0</TotalTime>
  <ScaleCrop>false</ScaleCrop>
  <LinksUpToDate>false</LinksUpToDate>
  <CharactersWithSpaces>1569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2019-08-19T03:14:00Z</dcterms:created>
  <dc:creator>刘大军（预算处）</dc:creator>
  <cp:lastModifiedBy>[爱心]所爱隔山海</cp:lastModifiedBy>
  <dcterms:modified xsi:type="dcterms:W3CDTF">2019-08-21T03:13:03Z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