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sz w:val="40"/>
          <w:szCs w:val="40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sz w:val="40"/>
          <w:szCs w:val="40"/>
        </w:rPr>
      </w:pPr>
      <w:r>
        <w:rPr>
          <w:rFonts w:hint="eastAsia" w:asciiTheme="majorEastAsia" w:hAnsiTheme="majorEastAsia" w:eastAsiaTheme="majorEastAsia" w:cstheme="majorEastAsia"/>
          <w:sz w:val="40"/>
          <w:szCs w:val="40"/>
        </w:rPr>
        <w:t>2018年呼图壁县政府举借债务情况说明</w:t>
      </w: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一、举借债务情况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2018 年呼图壁县共申请债券资金 4.4亿元，其中：置换债券万元 0.55 亿元，主要用于偿还 2014 年底清理甄别确认的存量债务；新增债券 3.85亿元，其中：新增一般债券 0.25亿元，主要用于公安局项目建设，新增专项债券资金 3.6亿元，主要用于棚户区改造项目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二、债务余额及限额情况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经州党委批准，核定我县 2018 年末地方政府债务限额 18.55亿元（其中：一般债务限额 8.69 亿元，专项债务限额9.86亿元）。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2018 年末，我县地方政府债务余额为16.69亿元，较上年增加3.85亿元，主要是新增债券资金3.85亿元，其中，新增一般债券0.25亿元，新增专项债券 3.6亿元。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60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2021-06-07T05:22:12Z</dcterms:created>
  <dc:creator>Administrator</dc:creator>
  <cp:lastModifiedBy>Administrator</cp:lastModifiedBy>
  <dcterms:modified xsi:type="dcterms:W3CDTF">2021-06-07T05:24:14Z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</Properties>
</file>