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280" w:firstLineChars="400"/>
        <w:rPr>
          <w:rFonts w:hint="eastAsia" w:ascii="微软雅黑" w:hAnsi="微软雅黑" w:eastAsia="微软雅黑" w:cs="微软雅黑"/>
          <w:color w:val="auto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2019年</w:t>
      </w:r>
      <w:r>
        <w:rPr>
          <w:rFonts w:hint="eastAsia" w:ascii="微软雅黑" w:hAnsi="微软雅黑" w:cs="微软雅黑"/>
          <w:color w:val="auto"/>
          <w:sz w:val="32"/>
          <w:szCs w:val="32"/>
          <w:lang w:eastAsia="zh-CN"/>
        </w:rPr>
        <w:t>呼图壁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县转移支付执行情况说明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eastAsia="zh-CN"/>
        </w:rPr>
        <w:t>一</w:t>
      </w:r>
      <w:r>
        <w:rPr>
          <w:rFonts w:hint="eastAsia"/>
          <w:color w:val="auto"/>
          <w:sz w:val="24"/>
          <w:szCs w:val="24"/>
        </w:rPr>
        <w:t>、2019年一般公共预算转移支付执行情况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2019年,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呼图壁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县一般公共预算转移支付资金到位共计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125152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万元,其中:返还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性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7116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万元,一般性转移支付收入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63253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万元,专项转移支付收入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54783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万元。现将具体执行情况说明如下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：</w:t>
      </w:r>
    </w:p>
    <w:p>
      <w:p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color w:val="auto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</w:rPr>
        <w:t>(一)返还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  <w:t>性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</w:rPr>
        <w:t>收入执行情况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返还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性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7116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万元,其中:所得税基数返还收入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417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万元,增值税税收返还收入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1724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，消费税税收返还收入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150，增值税“五五分享”税收返还收入4200，其他返还性收入625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。</w:t>
      </w:r>
    </w:p>
    <w:p>
      <w:p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color w:val="auto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</w:rPr>
        <w:t>(二)一般性转移支付收入执行情况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一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般性转移支付收入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63253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万元,其中:体制补助收入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2247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万元,主要用于人员工资支出;均衡性转移支付收入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11598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万元,县级基本财力保障机制奖补资金收入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14767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万元,结算补助收入1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062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万元,基层公检法司转移支付收入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179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万元,主要用于公检法司业务经费;城乡义务教育转移支付收入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2194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万元,主要用于义务教育免学杂费、农村义务教育学校公用经费补助等支出;基本养老金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转移支付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2817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万元,主要用于城市居民城乡居民社会养老保险等支出;农村综合改革转移支付收入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1309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万元,主要用于壮大村集体经济:产粮(油)大县奖励资金收入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725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万元,固定数额补助收入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17202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万元,主要用于人员工资支出;民族地区转移支付收入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124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万元,公共安全共同财政事权转移支付收入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1369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方元,教育共同财政事权转移支付收入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521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万元,社会保障和就业共同财政事权转移支付收入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1531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万元,卫生健康共同财政事权转移支付收入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1878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农林水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共同财政事权转移支付收入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住房保障共同财政事权转移支付收入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3665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万元。</w:t>
      </w:r>
    </w:p>
    <w:p>
      <w:p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color w:val="auto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</w:rPr>
        <w:t>(三)专项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  <w:t>转移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</w:rPr>
        <w:t>支付收入情况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专项转移支付收入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54783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万元,其中:一般公共服务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710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万元,公共安全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1010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万元,教育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8179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万元,科学技术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91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万元,文化旅游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体育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与媒体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617万元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,社会保障和就业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1701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万元,卫生健康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384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万元,节能环保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3718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万元,城乡社区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万元,农林水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18959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万元,交通运输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3627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万元,资源勘探信息等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10920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万元,自然资源海洋气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象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等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万元,住房保障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3904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万元,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粮油物资储备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181万元，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其他收入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771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政府性基金转移支付情况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eastAsia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2019年,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呼图壁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县政府性基金预算转栘支付资金到位共计</w:t>
      </w:r>
      <w:bookmarkStart w:id="0" w:name="_GoBack"/>
      <w:bookmarkEnd w:id="0"/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44899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万元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其中: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国有土地使用权出让相关收入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42171万元，农业土地开发资金相关收入254万元，城市基础设施配套费相关收入2402万元，污水处理费相关收入72万元。</w:t>
      </w:r>
    </w:p>
    <w:p>
      <w:pPr>
        <w:spacing w:line="220" w:lineRule="atLeast"/>
        <w:rPr>
          <w:color w:val="auto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699B6"/>
    <w:multiLevelType w:val="singleLevel"/>
    <w:tmpl w:val="20B699B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0CEB2136"/>
    <w:rsid w:val="1C672454"/>
    <w:rsid w:val="1F89476E"/>
    <w:rsid w:val="342A190F"/>
    <w:rsid w:val="38E126BF"/>
    <w:rsid w:val="479714E4"/>
    <w:rsid w:val="551633B0"/>
    <w:rsid w:val="62761268"/>
    <w:rsid w:val="68FE676E"/>
    <w:rsid w:val="6E49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78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2020-09-20T02:31:26Z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