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rPr>
        <w:t>2016年呼图壁县</w:t>
      </w:r>
      <w:r>
        <w:rPr>
          <w:rFonts w:hint="eastAsia" w:ascii="方正小标宋_GBK" w:hAnsi="宋体" w:eastAsia="方正小标宋_GBK"/>
          <w:sz w:val="44"/>
          <w:szCs w:val="44"/>
          <w:lang w:eastAsia="zh-CN"/>
        </w:rPr>
        <w:t>青少年校外活动中心</w:t>
      </w:r>
    </w:p>
    <w:p>
      <w:pPr>
        <w:jc w:val="center"/>
        <w:rPr>
          <w:rFonts w:ascii="方正小标宋_GBK" w:hAnsi="宋体" w:eastAsia="方正小标宋_GBK"/>
          <w:sz w:val="44"/>
          <w:szCs w:val="44"/>
        </w:rPr>
      </w:pPr>
      <w:r>
        <w:rPr>
          <w:rFonts w:hint="eastAsia" w:ascii="方正小标宋_GBK" w:hAnsi="宋体" w:eastAsia="方正小标宋_GBK"/>
          <w:sz w:val="44"/>
          <w:szCs w:val="44"/>
        </w:rPr>
        <w:t>部门决算</w:t>
      </w:r>
    </w:p>
    <w:p>
      <w:pPr>
        <w:spacing w:line="600" w:lineRule="exact"/>
        <w:rPr>
          <w:rFonts w:ascii="黑体" w:eastAsia="黑体"/>
          <w:sz w:val="32"/>
          <w:szCs w:val="32"/>
        </w:rPr>
      </w:pPr>
      <w:r>
        <w:rPr>
          <w:rFonts w:hint="eastAsia" w:ascii="黑体" w:eastAsia="黑体"/>
          <w:sz w:val="32"/>
          <w:szCs w:val="32"/>
        </w:rPr>
        <w:t>第一部分</w:t>
      </w:r>
      <w:r>
        <w:rPr>
          <w:rFonts w:ascii="黑体" w:eastAsia="黑体"/>
          <w:sz w:val="32"/>
          <w:szCs w:val="32"/>
        </w:rPr>
        <w:t xml:space="preserve"> </w:t>
      </w:r>
      <w:r>
        <w:rPr>
          <w:rFonts w:hint="eastAsia" w:ascii="黑体" w:eastAsia="黑体"/>
          <w:sz w:val="32"/>
          <w:szCs w:val="32"/>
        </w:rPr>
        <w:t>部门单位概述</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部门单位基本情况</w:t>
      </w:r>
    </w:p>
    <w:p>
      <w:pPr>
        <w:spacing w:line="600" w:lineRule="exact"/>
        <w:ind w:firstLine="640" w:firstLineChars="200"/>
        <w:rPr>
          <w:rFonts w:hint="eastAsia" w:ascii="仿宋_GB2312" w:eastAsia="仿宋_GB2312"/>
          <w:sz w:val="32"/>
          <w:szCs w:val="32"/>
        </w:rPr>
      </w:pPr>
      <w:r>
        <w:rPr>
          <w:rFonts w:hint="eastAsia" w:ascii="仿宋" w:hAnsi="仿宋" w:eastAsia="仿宋" w:cs="仿宋"/>
          <w:sz w:val="32"/>
          <w:szCs w:val="32"/>
        </w:rPr>
        <w:t>呼图壁县</w:t>
      </w:r>
      <w:r>
        <w:rPr>
          <w:rFonts w:hint="eastAsia" w:ascii="仿宋" w:hAnsi="仿宋" w:eastAsia="仿宋" w:cs="仿宋"/>
          <w:sz w:val="32"/>
          <w:szCs w:val="32"/>
          <w:lang w:eastAsia="zh-CN"/>
        </w:rPr>
        <w:t>青少年校外活动中心</w:t>
      </w:r>
      <w:r>
        <w:rPr>
          <w:rFonts w:hint="eastAsia" w:ascii="仿宋" w:hAnsi="仿宋" w:eastAsia="仿宋" w:cs="仿宋"/>
          <w:sz w:val="32"/>
          <w:szCs w:val="32"/>
        </w:rPr>
        <w:t>独立机构1个。编制人数</w:t>
      </w:r>
      <w:r>
        <w:rPr>
          <w:rFonts w:hint="eastAsia" w:ascii="仿宋" w:hAnsi="仿宋" w:eastAsia="仿宋" w:cs="仿宋"/>
          <w:sz w:val="32"/>
          <w:szCs w:val="32"/>
          <w:lang w:val="en-US" w:eastAsia="zh-CN"/>
        </w:rPr>
        <w:t>5</w:t>
      </w:r>
      <w:r>
        <w:rPr>
          <w:rFonts w:hint="eastAsia" w:ascii="仿宋" w:hAnsi="仿宋" w:eastAsia="仿宋" w:cs="仿宋"/>
          <w:sz w:val="32"/>
          <w:szCs w:val="32"/>
        </w:rPr>
        <w:t>人，在职人数</w:t>
      </w:r>
      <w:r>
        <w:rPr>
          <w:rFonts w:hint="eastAsia" w:ascii="仿宋" w:hAnsi="仿宋" w:eastAsia="仿宋" w:cs="仿宋"/>
          <w:sz w:val="32"/>
          <w:szCs w:val="32"/>
          <w:lang w:val="en-US" w:eastAsia="zh-CN"/>
        </w:rPr>
        <w:t>5</w:t>
      </w:r>
      <w:r>
        <w:rPr>
          <w:rFonts w:hint="eastAsia" w:ascii="仿宋" w:hAnsi="仿宋" w:eastAsia="仿宋" w:cs="仿宋"/>
          <w:sz w:val="32"/>
          <w:szCs w:val="32"/>
        </w:rPr>
        <w:t>人，</w:t>
      </w:r>
      <w:r>
        <w:rPr>
          <w:rFonts w:hint="eastAsia" w:ascii="仿宋" w:hAnsi="仿宋" w:eastAsia="仿宋" w:cs="仿宋"/>
          <w:sz w:val="32"/>
          <w:szCs w:val="32"/>
          <w:lang w:val="en-US" w:eastAsia="zh-CN"/>
        </w:rPr>
        <w:t>9</w:t>
      </w:r>
      <w:r>
        <w:rPr>
          <w:rFonts w:hint="eastAsia" w:ascii="仿宋" w:hAnsi="仿宋" w:eastAsia="仿宋" w:cs="仿宋"/>
          <w:sz w:val="32"/>
          <w:szCs w:val="32"/>
        </w:rPr>
        <w:t>个教学</w:t>
      </w:r>
      <w:r>
        <w:rPr>
          <w:rFonts w:hint="eastAsia" w:ascii="仿宋" w:hAnsi="仿宋" w:eastAsia="仿宋" w:cs="仿宋"/>
          <w:sz w:val="32"/>
          <w:szCs w:val="32"/>
          <w:lang w:eastAsia="zh-CN"/>
        </w:rPr>
        <w:t>培训</w:t>
      </w:r>
      <w:r>
        <w:rPr>
          <w:rFonts w:hint="eastAsia" w:ascii="仿宋" w:hAnsi="仿宋" w:eastAsia="仿宋" w:cs="仿宋"/>
          <w:sz w:val="32"/>
          <w:szCs w:val="32"/>
        </w:rPr>
        <w:t>班。</w:t>
      </w:r>
      <w:r>
        <w:rPr>
          <w:rFonts w:hint="eastAsia" w:ascii="仿宋_GB2312" w:eastAsia="仿宋_GB2312"/>
          <w:sz w:val="32"/>
          <w:szCs w:val="32"/>
        </w:rPr>
        <w:t>我</w:t>
      </w:r>
      <w:r>
        <w:rPr>
          <w:rFonts w:hint="eastAsia" w:ascii="仿宋_GB2312" w:eastAsia="仿宋_GB2312"/>
          <w:sz w:val="32"/>
          <w:szCs w:val="32"/>
          <w:lang w:eastAsia="zh-CN"/>
        </w:rPr>
        <w:t>中心</w:t>
      </w:r>
      <w:r>
        <w:rPr>
          <w:rFonts w:hint="eastAsia" w:ascii="仿宋_GB2312" w:eastAsia="仿宋_GB2312"/>
          <w:sz w:val="32"/>
          <w:szCs w:val="32"/>
        </w:rPr>
        <w:t>全面贯彻党的教育方针，深入实施素质教育，全面推进基础教育课程改革，遵循“以人为本，面向全体，培养特长，和谐发展”的办学思想，努力把学校办成一所现代化、高质量，学生向往、家长放心、社会声誉的好学校。以提高教学质量为核心，以安全工作为重点，科学管理、依法管理、从严管理，加强学校内涵建设，促进学校各方面工作顺利发展。</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二、部门决算单位构成。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从决算单位构成看，呼图壁县</w:t>
      </w:r>
      <w:r>
        <w:rPr>
          <w:rFonts w:hint="eastAsia" w:ascii="仿宋" w:hAnsi="仿宋" w:eastAsia="仿宋" w:cs="仿宋"/>
          <w:sz w:val="32"/>
          <w:szCs w:val="32"/>
          <w:lang w:eastAsia="zh-CN"/>
        </w:rPr>
        <w:t>青少年校外活动中心</w:t>
      </w:r>
      <w:r>
        <w:rPr>
          <w:rFonts w:hint="eastAsia" w:ascii="仿宋_GB2312" w:eastAsia="仿宋_GB2312"/>
          <w:sz w:val="32"/>
          <w:szCs w:val="32"/>
        </w:rPr>
        <w:t>部门决算包括：呼图壁县</w:t>
      </w:r>
      <w:r>
        <w:rPr>
          <w:rFonts w:hint="eastAsia" w:ascii="仿宋" w:hAnsi="仿宋" w:eastAsia="仿宋" w:cs="仿宋"/>
          <w:sz w:val="32"/>
          <w:szCs w:val="32"/>
          <w:lang w:eastAsia="zh-CN"/>
        </w:rPr>
        <w:t>青少年校外活动中心</w:t>
      </w:r>
      <w:r>
        <w:rPr>
          <w:rFonts w:hint="eastAsia" w:ascii="仿宋_GB2312" w:eastAsia="仿宋_GB2312"/>
          <w:sz w:val="32"/>
          <w:szCs w:val="32"/>
        </w:rPr>
        <w:t>部门本级决算</w:t>
      </w:r>
    </w:p>
    <w:p>
      <w:pPr>
        <w:spacing w:line="600" w:lineRule="exact"/>
        <w:rPr>
          <w:rFonts w:ascii="黑体" w:eastAsia="黑体"/>
          <w:b/>
          <w:sz w:val="32"/>
          <w:szCs w:val="32"/>
        </w:rPr>
      </w:pPr>
      <w:r>
        <w:rPr>
          <w:rFonts w:hint="eastAsia" w:ascii="黑体" w:eastAsia="黑体"/>
          <w:b/>
          <w:sz w:val="32"/>
          <w:szCs w:val="32"/>
        </w:rPr>
        <w:t>第二部分</w:t>
      </w:r>
      <w:r>
        <w:rPr>
          <w:rFonts w:ascii="黑体" w:eastAsia="黑体"/>
          <w:b/>
          <w:sz w:val="32"/>
          <w:szCs w:val="32"/>
        </w:rPr>
        <w:t xml:space="preserve"> </w:t>
      </w:r>
      <w:r>
        <w:rPr>
          <w:rFonts w:hint="eastAsia" w:ascii="黑体" w:hAnsi="黑体" w:eastAsia="黑体" w:cs="黑体"/>
          <w:b/>
          <w:bCs/>
          <w:spacing w:val="-6"/>
          <w:sz w:val="32"/>
          <w:szCs w:val="32"/>
        </w:rPr>
        <w:t>呼图壁县</w:t>
      </w:r>
      <w:r>
        <w:rPr>
          <w:rFonts w:hint="eastAsia" w:ascii="仿宋" w:hAnsi="仿宋" w:eastAsia="仿宋" w:cs="仿宋"/>
          <w:b/>
          <w:bCs/>
          <w:sz w:val="32"/>
          <w:szCs w:val="32"/>
          <w:lang w:eastAsia="zh-CN"/>
        </w:rPr>
        <w:t>青少年校外活动中心</w:t>
      </w:r>
      <w:r>
        <w:rPr>
          <w:rFonts w:hint="eastAsia" w:ascii="黑体" w:hAnsi="黑体" w:eastAsia="黑体" w:cs="黑体"/>
          <w:b/>
          <w:bCs/>
          <w:spacing w:val="-6"/>
          <w:sz w:val="32"/>
          <w:szCs w:val="32"/>
        </w:rPr>
        <w:t>2016</w:t>
      </w:r>
      <w:r>
        <w:rPr>
          <w:rFonts w:hint="eastAsia" w:ascii="黑体" w:eastAsia="黑体"/>
          <w:b/>
          <w:sz w:val="32"/>
          <w:szCs w:val="32"/>
        </w:rPr>
        <w:t>年度部门决算报表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一、收入支出决算总表（财决01表）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二、财政拨款收入支出决算总表（财决01－1表）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三、收入支出决算表（财决02表）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四、收入决算表（财决03表）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五、支出决算表（财决04表）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六、支出决算明细表（财决05表）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七、基本支出决算明细表（财决05－1表）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八、项目支出决算明细表（财决05－2表）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九、项目收入支出决算表（财决06表）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十、行政事业类项目收入支出决算表（财决06－1表）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十一、基本建设类项目收入支出决算表（财决06－2表）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十二、一般公共预算财政拨款收入支出决算表（财决07表）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十三、一般公共预算财政拨款支出决算明细表（财决08表）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十四、一般公共预算财政拨款基本支出决算明细表（财决08－1表）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十五、一般公共预算财政拨款项目支出决算明细表（财决08－2表）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十六、政府性基金预算财政拨款收入支出决算表（财决09表）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十七、政府性基金预算财政拨款支出决算明细表（财决10表）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十八、政府性基金预算财政拨款基本支出决算明细表（财决10－1表）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十九、政府性基金预算财政拨款项目支出决算明细表（财决10－2表）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二十、财政专户管理资金收入支出决算表（财决11表）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二十一、资产负债简表（财决12表）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二十二、资产情况表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二十三、国有资产收益征缴情况表</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二十四、2016年度</w:t>
      </w:r>
      <w:r>
        <w:rPr>
          <w:rFonts w:hint="eastAsia" w:ascii="仿宋_GB2312" w:eastAsia="仿宋_GB2312"/>
          <w:sz w:val="32"/>
          <w:szCs w:val="32"/>
          <w:lang w:eastAsia="zh-CN"/>
        </w:rPr>
        <w:t>青少年校外活动中心</w:t>
      </w:r>
      <w:r>
        <w:rPr>
          <w:rFonts w:hint="eastAsia" w:ascii="仿宋_GB2312" w:eastAsia="仿宋_GB2312"/>
          <w:sz w:val="32"/>
          <w:szCs w:val="32"/>
        </w:rPr>
        <w:t>财政拨款“三公”经费支出表及说明</w:t>
      </w:r>
    </w:p>
    <w:p>
      <w:pPr>
        <w:spacing w:line="600" w:lineRule="exact"/>
        <w:rPr>
          <w:rFonts w:hint="eastAsia" w:ascii="仿宋_GB2312" w:eastAsia="仿宋_GB2312"/>
          <w:sz w:val="30"/>
          <w:szCs w:val="30"/>
        </w:rPr>
      </w:pPr>
      <w:r>
        <w:rPr>
          <w:rFonts w:hint="eastAsia" w:ascii="黑体" w:eastAsia="黑体"/>
          <w:b/>
          <w:sz w:val="30"/>
          <w:szCs w:val="30"/>
        </w:rPr>
        <w:t>第三部分</w:t>
      </w:r>
      <w:r>
        <w:rPr>
          <w:rFonts w:ascii="黑体" w:eastAsia="黑体"/>
          <w:b/>
          <w:sz w:val="30"/>
          <w:szCs w:val="30"/>
        </w:rPr>
        <w:t xml:space="preserve"> </w:t>
      </w:r>
      <w:r>
        <w:rPr>
          <w:rFonts w:hint="eastAsia" w:ascii="黑体" w:hAnsi="黑体" w:eastAsia="黑体" w:cs="黑体"/>
          <w:b/>
          <w:bCs/>
          <w:spacing w:val="-6"/>
          <w:sz w:val="30"/>
          <w:szCs w:val="30"/>
        </w:rPr>
        <w:t>呼图壁县</w:t>
      </w:r>
      <w:r>
        <w:rPr>
          <w:rFonts w:hint="eastAsia" w:ascii="黑体" w:hAnsi="黑体" w:eastAsia="黑体" w:cs="黑体"/>
          <w:b/>
          <w:bCs/>
          <w:spacing w:val="-6"/>
          <w:sz w:val="30"/>
          <w:szCs w:val="30"/>
          <w:lang w:eastAsia="zh-CN"/>
        </w:rPr>
        <w:t>青少年校外活动中心</w:t>
      </w:r>
      <w:r>
        <w:rPr>
          <w:rFonts w:hint="eastAsia" w:ascii="黑体" w:hAnsi="黑体" w:eastAsia="黑体" w:cs="黑体"/>
          <w:b/>
          <w:bCs/>
          <w:spacing w:val="-6"/>
          <w:sz w:val="30"/>
          <w:szCs w:val="30"/>
        </w:rPr>
        <w:t>2016</w:t>
      </w:r>
      <w:r>
        <w:rPr>
          <w:rFonts w:hint="eastAsia" w:ascii="黑体" w:eastAsia="黑体"/>
          <w:b/>
          <w:bCs/>
          <w:sz w:val="30"/>
          <w:szCs w:val="30"/>
        </w:rPr>
        <w:t>年</w:t>
      </w:r>
      <w:r>
        <w:rPr>
          <w:rFonts w:hint="eastAsia" w:ascii="黑体" w:eastAsia="黑体"/>
          <w:b/>
          <w:sz w:val="30"/>
          <w:szCs w:val="30"/>
        </w:rPr>
        <w:t>度部门决算情况说明</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2016年我中心财政拨款收入</w:t>
      </w:r>
      <w:r>
        <w:rPr>
          <w:rFonts w:hint="eastAsia" w:eastAsia="仿宋_GB2312"/>
          <w:sz w:val="30"/>
          <w:szCs w:val="30"/>
          <w:lang w:val="en-US" w:eastAsia="zh-CN"/>
        </w:rPr>
        <w:t>1013738.27</w:t>
      </w:r>
      <w:r>
        <w:rPr>
          <w:rFonts w:hint="eastAsia" w:ascii="仿宋_GB2312" w:eastAsia="仿宋_GB2312"/>
          <w:sz w:val="32"/>
          <w:szCs w:val="32"/>
          <w:lang w:val="en-US" w:eastAsia="zh-CN"/>
        </w:rPr>
        <w:t>元，其他收入</w:t>
      </w:r>
      <w:r>
        <w:rPr>
          <w:rFonts w:hint="eastAsia"/>
          <w:sz w:val="30"/>
          <w:szCs w:val="30"/>
          <w:lang w:val="en-US" w:eastAsia="zh-CN"/>
        </w:rPr>
        <w:t>900.41</w:t>
      </w:r>
      <w:r>
        <w:rPr>
          <w:rFonts w:hint="eastAsia" w:ascii="仿宋_GB2312" w:eastAsia="仿宋_GB2312"/>
          <w:sz w:val="32"/>
          <w:szCs w:val="32"/>
          <w:lang w:val="en-US" w:eastAsia="zh-CN"/>
        </w:rPr>
        <w:t>元，本年收入合计</w:t>
      </w:r>
      <w:r>
        <w:rPr>
          <w:rFonts w:hint="eastAsia" w:eastAsia="仿宋_GB2312"/>
          <w:sz w:val="30"/>
          <w:szCs w:val="30"/>
          <w:lang w:val="en-US" w:eastAsia="zh-CN"/>
        </w:rPr>
        <w:t>1014638.68</w:t>
      </w:r>
      <w:r>
        <w:rPr>
          <w:rFonts w:hint="eastAsia" w:ascii="仿宋_GB2312" w:eastAsia="仿宋_GB2312"/>
          <w:sz w:val="32"/>
          <w:szCs w:val="32"/>
          <w:lang w:val="en-US" w:eastAsia="zh-CN"/>
        </w:rPr>
        <w:t>元。支出合计</w:t>
      </w:r>
      <w:r>
        <w:rPr>
          <w:rFonts w:hint="eastAsia" w:eastAsia="仿宋_GB2312"/>
          <w:sz w:val="30"/>
          <w:szCs w:val="30"/>
          <w:lang w:val="en-US" w:eastAsia="zh-CN"/>
        </w:rPr>
        <w:t>1014638.68</w:t>
      </w:r>
      <w:r>
        <w:rPr>
          <w:rFonts w:hint="eastAsia" w:ascii="仿宋_GB2312" w:eastAsia="仿宋_GB2312"/>
          <w:sz w:val="32"/>
          <w:szCs w:val="32"/>
          <w:lang w:val="en-US" w:eastAsia="zh-CN"/>
        </w:rPr>
        <w:t>元，其中人员经费656286.93元，日常公用支出358351.75元。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部门收入情况说明</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lang w:val="en-US" w:eastAsia="zh-CN"/>
        </w:rPr>
        <w:t>2016年我中心财政拨款收入</w:t>
      </w:r>
      <w:r>
        <w:rPr>
          <w:rFonts w:hint="eastAsia" w:eastAsia="仿宋_GB2312"/>
          <w:sz w:val="30"/>
          <w:szCs w:val="30"/>
          <w:lang w:val="en-US" w:eastAsia="zh-CN"/>
        </w:rPr>
        <w:t>1013738.27</w:t>
      </w:r>
      <w:r>
        <w:rPr>
          <w:rFonts w:hint="eastAsia" w:ascii="仿宋_GB2312" w:eastAsia="仿宋_GB2312"/>
          <w:sz w:val="32"/>
          <w:szCs w:val="32"/>
          <w:lang w:val="en-US" w:eastAsia="zh-CN"/>
        </w:rPr>
        <w:t>元，其他收入</w:t>
      </w:r>
      <w:r>
        <w:rPr>
          <w:rFonts w:hint="eastAsia"/>
          <w:sz w:val="30"/>
          <w:szCs w:val="30"/>
          <w:lang w:val="en-US" w:eastAsia="zh-CN"/>
        </w:rPr>
        <w:t>900.41</w:t>
      </w:r>
      <w:r>
        <w:rPr>
          <w:rFonts w:hint="eastAsia" w:ascii="仿宋_GB2312" w:eastAsia="仿宋_GB2312"/>
          <w:sz w:val="32"/>
          <w:szCs w:val="32"/>
          <w:lang w:val="en-US" w:eastAsia="zh-CN"/>
        </w:rPr>
        <w:t>，本年收入合计</w:t>
      </w:r>
      <w:r>
        <w:rPr>
          <w:rFonts w:hint="eastAsia" w:eastAsia="仿宋_GB2312"/>
          <w:sz w:val="30"/>
          <w:szCs w:val="30"/>
          <w:lang w:val="en-US" w:eastAsia="zh-CN"/>
        </w:rPr>
        <w:t>1014638.68</w:t>
      </w:r>
      <w:r>
        <w:rPr>
          <w:rFonts w:hint="eastAsia" w:ascii="仿宋_GB2312" w:eastAsia="仿宋_GB2312"/>
          <w:sz w:val="32"/>
          <w:szCs w:val="32"/>
          <w:lang w:val="en-US" w:eastAsia="zh-CN"/>
        </w:rPr>
        <w:t>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部门支出情况说明</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支出合计</w:t>
      </w:r>
      <w:r>
        <w:rPr>
          <w:rFonts w:hint="eastAsia" w:eastAsia="仿宋_GB2312"/>
          <w:sz w:val="30"/>
          <w:szCs w:val="30"/>
          <w:lang w:val="en-US" w:eastAsia="zh-CN"/>
        </w:rPr>
        <w:t>1014638.68</w:t>
      </w:r>
      <w:r>
        <w:rPr>
          <w:rFonts w:hint="eastAsia" w:ascii="仿宋_GB2312" w:eastAsia="仿宋_GB2312"/>
          <w:sz w:val="32"/>
          <w:szCs w:val="32"/>
          <w:lang w:val="en-US" w:eastAsia="zh-CN"/>
        </w:rPr>
        <w:t>元，其中人员经费656286.93元，日常公用支出358351.75元。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部门结转结余情况说明</w:t>
      </w:r>
    </w:p>
    <w:p>
      <w:pPr>
        <w:numPr>
          <w:ilvl w:val="0"/>
          <w:numId w:val="0"/>
        </w:numPr>
        <w:spacing w:line="600" w:lineRule="exact"/>
        <w:rPr>
          <w:rFonts w:hint="eastAsia" w:ascii="仿宋_GB2312" w:eastAsia="仿宋_GB2312"/>
          <w:sz w:val="32"/>
          <w:szCs w:val="32"/>
          <w:lang w:eastAsia="zh-CN"/>
        </w:rPr>
      </w:pPr>
      <w:r>
        <w:rPr>
          <w:rFonts w:hint="eastAsia" w:ascii="仿宋_GB2312" w:eastAsia="仿宋_GB2312"/>
          <w:sz w:val="32"/>
          <w:szCs w:val="32"/>
          <w:lang w:eastAsia="zh-CN"/>
        </w:rPr>
        <w:t>本年无结余。</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部门“三公”经费、会议费和培训费支出情况说明</w:t>
      </w:r>
    </w:p>
    <w:p>
      <w:pPr>
        <w:snapToGrid w:val="0"/>
        <w:spacing w:line="660" w:lineRule="exact"/>
        <w:rPr>
          <w:rFonts w:hint="eastAsia" w:ascii="仿宋_GB2312" w:eastAsia="仿宋_GB2312"/>
          <w:sz w:val="32"/>
          <w:szCs w:val="32"/>
          <w:lang w:eastAsia="zh-CN"/>
        </w:rPr>
      </w:pPr>
      <w:r>
        <w:rPr>
          <w:rFonts w:hint="eastAsia" w:ascii="仿宋_GB2312" w:eastAsia="仿宋_GB2312"/>
          <w:sz w:val="32"/>
          <w:szCs w:val="32"/>
          <w:lang w:eastAsia="zh-CN"/>
        </w:rPr>
        <w:t>无</w:t>
      </w:r>
      <w:r>
        <w:rPr>
          <w:rFonts w:hint="eastAsia" w:ascii="仿宋_GB2312" w:hAnsi="仿宋" w:eastAsia="仿宋_GB2312"/>
          <w:sz w:val="32"/>
          <w:szCs w:val="32"/>
        </w:rPr>
        <w:t>我校无车，无接待费支出</w:t>
      </w:r>
      <w:r>
        <w:rPr>
          <w:rFonts w:hint="eastAsia" w:ascii="仿宋_GB2312" w:eastAsia="仿宋_GB2312"/>
          <w:sz w:val="32"/>
          <w:szCs w:val="32"/>
          <w:lang w:eastAsia="zh-CN"/>
        </w:rPr>
        <w:t>。</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部门预算执行情况分析说明</w:t>
      </w:r>
    </w:p>
    <w:p>
      <w:pPr>
        <w:numPr>
          <w:ilvl w:val="0"/>
          <w:numId w:val="0"/>
        </w:numPr>
        <w:spacing w:line="600" w:lineRule="exact"/>
        <w:rPr>
          <w:rFonts w:hint="eastAsia" w:ascii="仿宋_GB2312" w:eastAsia="仿宋_GB2312"/>
          <w:sz w:val="32"/>
          <w:szCs w:val="32"/>
          <w:lang w:eastAsia="zh-CN"/>
        </w:rPr>
      </w:pPr>
      <w:r>
        <w:rPr>
          <w:rFonts w:hint="eastAsia" w:ascii="仿宋_GB2312" w:eastAsia="仿宋_GB2312"/>
          <w:sz w:val="32"/>
          <w:szCs w:val="32"/>
          <w:lang w:eastAsia="zh-CN"/>
        </w:rPr>
        <w:t>基本能按预算执行，追加人员增资经费。</w:t>
      </w:r>
    </w:p>
    <w:p>
      <w:pPr>
        <w:numPr>
          <w:ilvl w:val="0"/>
          <w:numId w:val="2"/>
        </w:numPr>
        <w:snapToGrid w:val="0"/>
        <w:spacing w:line="660" w:lineRule="exact"/>
        <w:ind w:firstLine="640" w:firstLineChars="200"/>
        <w:rPr>
          <w:rFonts w:hint="eastAsia" w:ascii="仿宋_GB2312" w:eastAsia="仿宋_GB2312"/>
          <w:sz w:val="32"/>
          <w:szCs w:val="32"/>
        </w:rPr>
      </w:pPr>
      <w:r>
        <w:rPr>
          <w:rFonts w:hint="eastAsia" w:ascii="仿宋_GB2312" w:eastAsia="仿宋_GB2312"/>
          <w:sz w:val="32"/>
          <w:szCs w:val="32"/>
        </w:rPr>
        <w:t>财政拨款支出与年初预算对比情况及增减原因分析说明（预决算差异分析）</w:t>
      </w:r>
    </w:p>
    <w:p>
      <w:pPr>
        <w:snapToGrid w:val="0"/>
        <w:spacing w:line="660" w:lineRule="exact"/>
        <w:rPr>
          <w:rFonts w:hint="eastAsia" w:ascii="仿宋_GB2312" w:hAnsi="仿宋" w:eastAsia="仿宋_GB2312"/>
          <w:sz w:val="32"/>
          <w:szCs w:val="32"/>
        </w:rPr>
      </w:pPr>
      <w:r>
        <w:rPr>
          <w:rFonts w:hint="eastAsia" w:ascii="仿宋_GB2312" w:hAnsi="仿宋" w:eastAsia="仿宋_GB2312"/>
          <w:sz w:val="32"/>
          <w:szCs w:val="32"/>
        </w:rPr>
        <w:t>（1）期初预算</w:t>
      </w:r>
      <w:r>
        <w:rPr>
          <w:rFonts w:hint="eastAsia" w:ascii="仿宋_GB2312" w:hAnsi="仿宋" w:eastAsia="仿宋_GB2312"/>
          <w:sz w:val="32"/>
          <w:szCs w:val="32"/>
          <w:lang w:val="en-US" w:eastAsia="zh-CN"/>
        </w:rPr>
        <w:t>770253.96元</w:t>
      </w:r>
      <w:r>
        <w:rPr>
          <w:rFonts w:hint="eastAsia" w:ascii="仿宋_GB2312" w:hAnsi="仿宋" w:eastAsia="仿宋_GB2312"/>
          <w:sz w:val="32"/>
          <w:szCs w:val="32"/>
        </w:rPr>
        <w:t>，因后工资、津贴调整，增加了职业年金缴纳预算追加</w:t>
      </w:r>
      <w:r>
        <w:rPr>
          <w:rFonts w:hint="eastAsia" w:ascii="仿宋_GB2312" w:hAnsi="仿宋" w:eastAsia="仿宋_GB2312"/>
          <w:sz w:val="32"/>
          <w:szCs w:val="32"/>
          <w:lang w:eastAsia="zh-CN"/>
        </w:rPr>
        <w:t>，决算</w:t>
      </w:r>
      <w:r>
        <w:rPr>
          <w:rFonts w:hint="eastAsia" w:eastAsia="仿宋_GB2312"/>
          <w:sz w:val="30"/>
          <w:szCs w:val="30"/>
          <w:lang w:val="en-US" w:eastAsia="zh-CN"/>
        </w:rPr>
        <w:t>1013738.27</w:t>
      </w:r>
      <w:r>
        <w:rPr>
          <w:rFonts w:hint="eastAsia" w:ascii="仿宋_GB2312" w:hAnsi="仿宋" w:eastAsia="仿宋_GB2312"/>
          <w:sz w:val="32"/>
          <w:szCs w:val="32"/>
          <w:lang w:val="en-US" w:eastAsia="zh-CN"/>
        </w:rPr>
        <w:t>元。</w:t>
      </w:r>
    </w:p>
    <w:p>
      <w:pPr>
        <w:snapToGrid w:val="0"/>
        <w:spacing w:line="660" w:lineRule="exact"/>
        <w:rPr>
          <w:rFonts w:hint="eastAsia" w:ascii="仿宋_GB2312" w:hAnsi="仿宋" w:eastAsia="仿宋_GB2312"/>
          <w:sz w:val="32"/>
          <w:szCs w:val="32"/>
        </w:rPr>
      </w:pPr>
      <w:r>
        <w:rPr>
          <w:rFonts w:hint="eastAsia" w:ascii="仿宋_GB2312" w:hAnsi="仿宋" w:eastAsia="仿宋_GB2312"/>
          <w:sz w:val="32"/>
          <w:szCs w:val="32"/>
        </w:rPr>
        <w:t>（2）差异原因分析：工资、津贴调整，增加了职业年金缴纳，因此本年比上年经费</w:t>
      </w:r>
      <w:r>
        <w:rPr>
          <w:rFonts w:hint="eastAsia" w:ascii="仿宋_GB2312" w:hAnsi="仿宋" w:eastAsia="仿宋_GB2312"/>
          <w:sz w:val="32"/>
          <w:szCs w:val="32"/>
          <w:lang w:eastAsia="zh-CN"/>
        </w:rPr>
        <w:t>增加</w:t>
      </w:r>
      <w:r>
        <w:rPr>
          <w:rFonts w:hint="eastAsia" w:ascii="仿宋_GB2312" w:hAnsi="仿宋" w:eastAsia="仿宋_GB2312"/>
          <w:sz w:val="32"/>
          <w:szCs w:val="32"/>
        </w:rPr>
        <w:t>。</w:t>
      </w:r>
    </w:p>
    <w:p>
      <w:pPr>
        <w:snapToGrid w:val="0"/>
        <w:spacing w:line="660" w:lineRule="exact"/>
        <w:ind w:firstLine="640" w:firstLineChars="200"/>
        <w:rPr>
          <w:rFonts w:hint="eastAsia" w:ascii="仿宋_GB2312" w:eastAsia="仿宋_GB2312"/>
          <w:sz w:val="32"/>
          <w:szCs w:val="32"/>
        </w:rPr>
      </w:pPr>
      <w:r>
        <w:rPr>
          <w:rFonts w:hint="eastAsia" w:ascii="仿宋_GB2312" w:eastAsia="仿宋_GB2312"/>
          <w:sz w:val="32"/>
          <w:szCs w:val="32"/>
        </w:rPr>
        <w:t>（三）机关运行经费支出情况说明</w:t>
      </w:r>
    </w:p>
    <w:p>
      <w:pPr>
        <w:snapToGrid w:val="0"/>
        <w:spacing w:line="6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人员支出比率占全年支出的</w:t>
      </w:r>
      <w:r>
        <w:rPr>
          <w:rFonts w:hint="eastAsia" w:ascii="仿宋_GB2312" w:hAnsi="仿宋" w:eastAsia="仿宋_GB2312"/>
          <w:sz w:val="32"/>
          <w:szCs w:val="32"/>
          <w:lang w:val="en-US" w:eastAsia="zh-CN"/>
        </w:rPr>
        <w:t>64</w:t>
      </w:r>
      <w:r>
        <w:rPr>
          <w:rFonts w:hint="eastAsia" w:ascii="仿宋_GB2312" w:hAnsi="仿宋" w:eastAsia="仿宋_GB2312"/>
          <w:sz w:val="32"/>
          <w:szCs w:val="32"/>
        </w:rPr>
        <w:t>%，公用支出比率占全年支出的</w:t>
      </w:r>
      <w:r>
        <w:rPr>
          <w:rFonts w:hint="eastAsia" w:ascii="仿宋_GB2312" w:hAnsi="仿宋" w:eastAsia="仿宋_GB2312"/>
          <w:sz w:val="32"/>
          <w:szCs w:val="32"/>
          <w:lang w:val="en-US" w:eastAsia="zh-CN"/>
        </w:rPr>
        <w:t>26</w:t>
      </w:r>
      <w:r>
        <w:rPr>
          <w:rFonts w:hint="eastAsia" w:ascii="仿宋_GB2312" w:hAnsi="仿宋" w:eastAsia="仿宋_GB2312"/>
          <w:sz w:val="32"/>
          <w:szCs w:val="32"/>
        </w:rPr>
        <w:t>%</w:t>
      </w:r>
      <w:r>
        <w:rPr>
          <w:rFonts w:hint="eastAsia" w:ascii="仿宋_GB2312" w:hAnsi="仿宋" w:eastAsia="仿宋_GB2312"/>
          <w:sz w:val="32"/>
          <w:szCs w:val="32"/>
          <w:lang w:eastAsia="zh-CN"/>
        </w:rPr>
        <w:t>，对个人和家庭的支出</w:t>
      </w:r>
      <w:r>
        <w:rPr>
          <w:rFonts w:hint="eastAsia" w:ascii="仿宋_GB2312" w:hAnsi="仿宋" w:eastAsia="仿宋_GB2312"/>
          <w:sz w:val="32"/>
          <w:szCs w:val="32"/>
        </w:rPr>
        <w:t>比率占全年支出的</w:t>
      </w:r>
      <w:r>
        <w:rPr>
          <w:rFonts w:hint="eastAsia" w:ascii="仿宋_GB2312" w:hAnsi="仿宋" w:eastAsia="仿宋_GB2312"/>
          <w:sz w:val="32"/>
          <w:szCs w:val="32"/>
          <w:lang w:val="en-US" w:eastAsia="zh-CN"/>
        </w:rPr>
        <w:t>4%，其他资本性支出</w:t>
      </w:r>
      <w:r>
        <w:rPr>
          <w:rFonts w:hint="eastAsia" w:ascii="仿宋_GB2312" w:hAnsi="仿宋" w:eastAsia="仿宋_GB2312"/>
          <w:sz w:val="32"/>
          <w:szCs w:val="32"/>
        </w:rPr>
        <w:t>比率占全年支出的</w:t>
      </w:r>
      <w:r>
        <w:rPr>
          <w:rFonts w:hint="eastAsia" w:ascii="仿宋_GB2312" w:hAnsi="仿宋" w:eastAsia="仿宋_GB2312"/>
          <w:sz w:val="32"/>
          <w:szCs w:val="32"/>
          <w:lang w:val="en-US" w:eastAsia="zh-CN"/>
        </w:rPr>
        <w:t>6%</w:t>
      </w:r>
      <w:r>
        <w:rPr>
          <w:rFonts w:hint="eastAsia" w:ascii="仿宋_GB2312" w:hAnsi="仿宋" w:eastAsia="仿宋_GB2312"/>
          <w:sz w:val="32"/>
          <w:szCs w:val="32"/>
        </w:rPr>
        <w:t>。</w:t>
      </w:r>
    </w:p>
    <w:p>
      <w:pPr>
        <w:numPr>
          <w:ilvl w:val="0"/>
          <w:numId w:val="3"/>
        </w:numPr>
        <w:spacing w:line="600" w:lineRule="exact"/>
        <w:rPr>
          <w:rFonts w:hint="eastAsia" w:ascii="仿宋_GB2312" w:eastAsia="仿宋_GB2312"/>
          <w:sz w:val="32"/>
          <w:szCs w:val="32"/>
        </w:rPr>
      </w:pPr>
      <w:r>
        <w:rPr>
          <w:rFonts w:hint="eastAsia" w:ascii="仿宋_GB2312" w:eastAsia="仿宋_GB2312"/>
          <w:sz w:val="32"/>
          <w:szCs w:val="32"/>
        </w:rPr>
        <w:t>部门国有资产占用和国有资产收益征缴情况说明</w:t>
      </w:r>
    </w:p>
    <w:p>
      <w:pPr>
        <w:tabs>
          <w:tab w:val="left" w:pos="8595"/>
        </w:tabs>
        <w:spacing w:line="360" w:lineRule="auto"/>
        <w:ind w:firstLine="600" w:firstLineChars="200"/>
        <w:rPr>
          <w:rFonts w:hint="eastAsia" w:ascii="仿宋_GB2312" w:eastAsia="仿宋_GB2312"/>
          <w:kern w:val="0"/>
          <w:sz w:val="30"/>
          <w:szCs w:val="30"/>
        </w:rPr>
      </w:pPr>
      <w:r>
        <w:rPr>
          <w:rFonts w:hint="eastAsia" w:ascii="仿宋_GB2312" w:eastAsia="仿宋_GB2312"/>
          <w:kern w:val="0"/>
          <w:sz w:val="30"/>
          <w:szCs w:val="30"/>
        </w:rPr>
        <w:t>（一）</w:t>
      </w:r>
      <w:r>
        <w:rPr>
          <w:rFonts w:hint="eastAsia" w:ascii="仿宋_GB2312" w:eastAsia="仿宋_GB2312"/>
          <w:kern w:val="0"/>
          <w:sz w:val="30"/>
          <w:szCs w:val="30"/>
          <w:lang w:val="en-US" w:eastAsia="zh-CN"/>
        </w:rPr>
        <w:t>2016年我中心固定资产年初数为3941174.76元，通用设备中购置图书设备26164元，家具用具设备14500元，其他无变动。年末余额为3981838.76元，</w:t>
      </w:r>
    </w:p>
    <w:p>
      <w:pPr>
        <w:numPr>
          <w:ilvl w:val="0"/>
          <w:numId w:val="3"/>
        </w:numPr>
        <w:spacing w:line="600" w:lineRule="exact"/>
        <w:outlineLvl w:val="0"/>
        <w:rPr>
          <w:rFonts w:hint="eastAsia" w:ascii="仿宋_GB2312" w:eastAsia="仿宋_GB2312"/>
          <w:sz w:val="32"/>
          <w:szCs w:val="32"/>
        </w:rPr>
      </w:pPr>
      <w:r>
        <w:rPr>
          <w:rFonts w:hint="eastAsia" w:ascii="仿宋_GB2312" w:eastAsia="仿宋_GB2312"/>
          <w:sz w:val="32"/>
          <w:szCs w:val="32"/>
        </w:rPr>
        <w:t>部门预算绩效管理工作开展情况说明</w:t>
      </w:r>
    </w:p>
    <w:p>
      <w:pPr>
        <w:numPr>
          <w:ilvl w:val="0"/>
          <w:numId w:val="0"/>
        </w:num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我中心能按照绩效工资管理办法执行，每月扣30%，年末进行考核，分三档发放。</w:t>
      </w:r>
    </w:p>
    <w:p>
      <w:pPr>
        <w:numPr>
          <w:ilvl w:val="0"/>
          <w:numId w:val="4"/>
        </w:numPr>
        <w:spacing w:line="600" w:lineRule="exact"/>
        <w:outlineLvl w:val="0"/>
        <w:rPr>
          <w:rFonts w:hint="eastAsia" w:ascii="仿宋_GB2312" w:eastAsia="仿宋_GB2312"/>
          <w:sz w:val="32"/>
          <w:szCs w:val="32"/>
        </w:rPr>
      </w:pPr>
      <w:r>
        <w:rPr>
          <w:rFonts w:hint="eastAsia" w:ascii="仿宋_GB2312" w:eastAsia="仿宋_GB2312"/>
          <w:sz w:val="32"/>
          <w:szCs w:val="32"/>
        </w:rPr>
        <w:t>项目资金使用情况说明</w:t>
      </w:r>
    </w:p>
    <w:p>
      <w:pPr>
        <w:numPr>
          <w:ilvl w:val="0"/>
          <w:numId w:val="0"/>
        </w:numPr>
        <w:spacing w:line="600" w:lineRule="exact"/>
        <w:ind w:firstLine="1280" w:firstLineChars="400"/>
        <w:outlineLvl w:val="0"/>
        <w:rPr>
          <w:rFonts w:hint="eastAsia" w:ascii="仿宋_GB2312" w:eastAsia="仿宋_GB2312"/>
          <w:sz w:val="32"/>
          <w:szCs w:val="32"/>
          <w:lang w:eastAsia="zh-CN"/>
        </w:rPr>
      </w:pPr>
      <w:r>
        <w:rPr>
          <w:rFonts w:hint="eastAsia" w:ascii="仿宋_GB2312" w:eastAsia="仿宋_GB2312"/>
          <w:sz w:val="32"/>
          <w:szCs w:val="32"/>
          <w:lang w:eastAsia="zh-CN"/>
        </w:rPr>
        <w:t>本年无项目资金收入</w:t>
      </w:r>
    </w:p>
    <w:p>
      <w:pPr>
        <w:numPr>
          <w:ilvl w:val="0"/>
          <w:numId w:val="4"/>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其他重要事项的情况说明</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lang w:eastAsia="zh-CN"/>
        </w:rPr>
        <w:t>本年政府采购支出情况：无政府采购。</w:t>
      </w:r>
      <w:bookmarkStart w:id="0" w:name="_GoBack"/>
      <w:bookmarkEnd w:id="0"/>
    </w:p>
    <w:p>
      <w:pPr>
        <w:numPr>
          <w:ilvl w:val="0"/>
          <w:numId w:val="4"/>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专业名词解释</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（一）财政拨款收入：指由财政拨款形成的收入。按现行管理制度，中央部门预算中反映的财政拨款包括一般公共预算拨款和政府性基金预算拨款。</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（二）事业收入：指事业单位开展专业业务活动及其辅助活动取得的收入。</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（三）事业单位经营收入：指事业单位在专业业务活动及其辅助活动之外开展非独立核算的经营活动取得的收入。</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（四）其他收入：指“财政拨款收入”、“事业收入”、“事业单位经营收入”等以外的收入。主要是存款利息收入等。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五）用事业基金弥补收支差额：指事业单位在预计用当年的“财政拨款收入”、“财政拨款结转和结余资金”、“事业收入”、“事业单位经营收入”、“其他收入”不足以安排支出的情况下，使用以前年度积累的事业基金（事业单位当年收支相抵后按国家规定提取、用于弥补右后年度收支差额的基金）弥补本年度收支缺口的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（六）上年结转：指以前年度尚未完成、结转到本年仍按原规定用途继续使用的资金。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（七）基本支出：指为保障机构正常运转、完成日常工作任务而发生的人员经费和日常公用经费。</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（八）项目支出：指在基本支出之外为完成特定行政任务和事业发展目标所发生的支出。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（九）事业单位经营支出：指事业单位在专业业务活动及其辅助活动之外开展非独立核算经营活动发生的支出。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（十）社会保障和就业支出（类）行政事业单位离退休（款）：反映检察院离退休方面的支出。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（十一）住房保障支出（类）住房改革支出（款）：反映最高人民法院机关及所属事业单位按照国家政策规定用于住房改革方面的支出。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住房公积金（项）：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目前已实施近20年时间。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2、提租补贴（项）：指国务院批准，于2000年开始针对在京中央单位公有住房租金标准提高发放的补贴，中央在京单位按照在职在编职工人数和离退休人数以及相应职级的补贴标准确定，人均月补贴90元。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3、购房补贴（项）：指根据《国务院关于进一步深化城镇住房制度改革加快住房建设的通知》（国发[1998]23号）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国务院办公厅转发建设部等单位&lt;关于完善在京中央和国家机关住房制度的若干意见&gt;的通知》（厅字[2005]8号）规定的标准执行，京外中央单位按照所在地人民政府住房分配货币化改革的政策规定和标准执行。</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十二）机关运行经费：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十三）“三公”经费：财政拨款安排的因公出国（境）费、公务用车购置及运行费和公务接待费。其中，因公出国（境）费反映的是工作人员公务出国（境）的国际旅费、国外城市间交通费、住宿费、伙食费、培训费、公杂费等支出；公务用车购置及运行费反映公务用车购置支出（含车辆购置税）及租用费、燃料费、维修费、过路过桥费、保险费、安全奖励费用等支出；公务接待费反映按规定开支的各类公务接待（含外宾接待）支出。</w:t>
      </w:r>
    </w:p>
    <w:p>
      <w:pPr>
        <w:spacing w:line="600" w:lineRule="exact"/>
        <w:ind w:firstLine="640" w:firstLineChars="200"/>
        <w:rPr>
          <w:rFonts w:ascii="仿宋_GB2312" w:eastAsia="仿宋_GB2312"/>
          <w:sz w:val="32"/>
          <w:szCs w:val="32"/>
        </w:rPr>
      </w:pPr>
    </w:p>
    <w:p>
      <w:pPr>
        <w:ind w:firstLine="3045" w:firstLineChars="1450"/>
      </w:pPr>
    </w:p>
    <w:p>
      <w:pPr>
        <w:ind w:firstLine="3045" w:firstLineChars="1450"/>
      </w:pPr>
    </w:p>
    <w:p>
      <w:pPr>
        <w:ind w:firstLine="4960" w:firstLineChars="1550"/>
      </w:pPr>
      <w:r>
        <w:rPr>
          <w:rFonts w:ascii="仿宋_GB2312" w:hAnsi="宋体" w:eastAsia="仿宋_GB2312"/>
          <w:sz w:val="32"/>
          <w:szCs w:val="32"/>
        </w:rPr>
        <w:t>2017</w:t>
      </w:r>
      <w:r>
        <w:rPr>
          <w:rFonts w:hint="eastAsia" w:ascii="仿宋_GB2312" w:hAnsi="宋体" w:eastAsia="仿宋_GB2312"/>
          <w:sz w:val="32"/>
          <w:szCs w:val="32"/>
        </w:rPr>
        <w:t>年9月1</w:t>
      </w:r>
      <w:r>
        <w:rPr>
          <w:rFonts w:hint="eastAsia" w:ascii="仿宋_GB2312" w:hAnsi="宋体" w:eastAsia="仿宋_GB2312"/>
          <w:sz w:val="32"/>
          <w:szCs w:val="32"/>
          <w:lang w:val="en-US" w:eastAsia="zh-CN"/>
        </w:rPr>
        <w:t>3</w:t>
      </w:r>
      <w:r>
        <w:rPr>
          <w:rFonts w:hint="eastAsia" w:ascii="仿宋_GB2312" w:hAnsi="宋体" w:eastAsia="仿宋_GB2312"/>
          <w:sz w:val="32"/>
          <w:szCs w:val="32"/>
        </w:rPr>
        <w:t>日</w:t>
      </w:r>
    </w:p>
    <w:p>
      <w:pPr>
        <w:spacing w:line="600" w:lineRule="exact"/>
        <w:ind w:firstLine="640" w:firstLineChars="200"/>
        <w:rPr>
          <w:rFonts w:hint="eastAsia" w:ascii="仿宋_GB2312" w:eastAsia="仿宋_GB2312"/>
          <w:sz w:val="32"/>
          <w:szCs w:val="32"/>
        </w:rPr>
      </w:pPr>
    </w:p>
    <w:p>
      <w:pPr>
        <w:jc w:val="left"/>
        <w:rPr>
          <w:rFonts w:hint="eastAsia"/>
          <w:sz w:val="32"/>
          <w:szCs w:val="32"/>
        </w:rPr>
      </w:pPr>
    </w:p>
    <w:p>
      <w:pPr>
        <w:rPr>
          <w:rFonts w:hint="eastAsia"/>
        </w:rPr>
      </w:pPr>
      <w:r>
        <w:rPr>
          <w:rFonts w:hint="eastAsia"/>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华文宋体">
    <w:altName w:val="宋体"/>
    <w:panose1 w:val="02010600040101010101"/>
    <w:charset w:val="86"/>
    <w:family w:val="auto"/>
    <w:pitch w:val="default"/>
    <w:sig w:usb0="00000000" w:usb1="0000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BatangChe">
    <w:panose1 w:val="02030609000101010101"/>
    <w:charset w:val="81"/>
    <w:family w:val="auto"/>
    <w:pitch w:val="default"/>
    <w:sig w:usb0="B00002AF" w:usb1="69D77CFB" w:usb2="00000030" w:usb3="00000000" w:csb0="4008009F" w:csb1="DFD70000"/>
  </w:font>
  <w:font w:name="Microsoft JhengHei">
    <w:panose1 w:val="020B0604030504040204"/>
    <w:charset w:val="88"/>
    <w:family w:val="auto"/>
    <w:pitch w:val="default"/>
    <w:sig w:usb0="00000087" w:usb1="28AF4000" w:usb2="00000016" w:usb3="00000000" w:csb0="00100009" w:csb1="00000000"/>
  </w:font>
  <w:font w:name="Meiryo">
    <w:panose1 w:val="020B0604030504040204"/>
    <w:charset w:val="80"/>
    <w:family w:val="auto"/>
    <w:pitch w:val="default"/>
    <w:sig w:usb0="E10102FF" w:usb1="EAC7FFFF" w:usb2="00010012" w:usb3="00000000" w:csb0="6002009F" w:csb1="DFD70000"/>
  </w:font>
  <w:font w:name="Malgun Gothic">
    <w:panose1 w:val="020B0503020000020004"/>
    <w:charset w:val="81"/>
    <w:family w:val="auto"/>
    <w:pitch w:val="default"/>
    <w:sig w:usb0="900002AF" w:usb1="01D77CFB" w:usb2="00000012" w:usb3="00000000" w:csb0="00080001"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Batang">
    <w:panose1 w:val="02030600000101010101"/>
    <w:charset w:val="81"/>
    <w:family w:val="auto"/>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方正小标宋_GBK">
    <w:altName w:val="黑体"/>
    <w:panose1 w:val="03000509000000000000"/>
    <w:charset w:val="86"/>
    <w:family w:val="script"/>
    <w:pitch w:val="default"/>
    <w:sig w:usb0="00000000" w:usb1="00000000" w:usb2="00000010" w:usb3="00000000" w:csb0="00040000" w:csb1="00000000"/>
  </w:font>
  <w:font w:name="方正小标宋_GBK">
    <w:altName w:val="宋体"/>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Lucida Sans Unicode">
    <w:panose1 w:val="020B0602030504020204"/>
    <w:charset w:val="00"/>
    <w:family w:val="auto"/>
    <w:pitch w:val="default"/>
    <w:sig w:usb0="80001AFF" w:usb1="0000396B" w:usb2="00000000" w:usb3="00000000" w:csb0="200000BF" w:csb1="D7F70000"/>
  </w:font>
  <w:font w:name="Palatino Linotype">
    <w:panose1 w:val="02040502050505030304"/>
    <w:charset w:val="00"/>
    <w:family w:val="auto"/>
    <w:pitch w:val="default"/>
    <w:sig w:usb0="E0000287" w:usb1="40000013" w:usb2="00000000" w:usb3="00000000" w:csb0="2000019F" w:csb1="00000000"/>
  </w:font>
  <w:font w:name="PMingLiU">
    <w:panose1 w:val="02020500000000000000"/>
    <w:charset w:val="88"/>
    <w:family w:val="auto"/>
    <w:pitch w:val="default"/>
    <w:sig w:usb0="A00002FF" w:usb1="28CFFCFA" w:usb2="00000016" w:usb3="00000000" w:csb0="00100001" w:csb1="00000000"/>
  </w:font>
  <w:font w:name="楷体_GB2312">
    <w:altName w:val="楷体"/>
    <w:panose1 w:val="02010609030101010101"/>
    <w:charset w:val="86"/>
    <w:family w:val="auto"/>
    <w:pitch w:val="default"/>
    <w:sig w:usb0="00000000" w:usb1="00000000" w:usb2="00000000" w:usb3="00000000" w:csb0="00040000" w:csb1="00000000"/>
  </w:font>
  <w:font w:name="GulimChe">
    <w:panose1 w:val="020B0609000101010101"/>
    <w:charset w:val="81"/>
    <w:family w:val="auto"/>
    <w:pitch w:val="default"/>
    <w:sig w:usb0="B00002AF" w:usb1="69D77CFB" w:usb2="00000030" w:usb3="00000000" w:csb0="4008009F" w:csb1="DFD70000"/>
  </w:font>
  <w:font w:name="MS UI Gothic">
    <w:panose1 w:val="020B0600070205080204"/>
    <w:charset w:val="80"/>
    <w:family w:val="auto"/>
    <w:pitch w:val="default"/>
    <w:sig w:usb0="E00002FF" w:usb1="6AC7FDFB" w:usb2="00000012" w:usb3="00000000" w:csb0="4002009F" w:csb1="DFD70000"/>
  </w:font>
  <w:font w:name="Gulim">
    <w:panose1 w:val="020B0600000101010101"/>
    <w:charset w:val="81"/>
    <w:family w:val="auto"/>
    <w:pitch w:val="default"/>
    <w:sig w:usb0="B00002AF" w:usb1="69D77CFB" w:usb2="00000030" w:usb3="00000000" w:csb0="4008009F" w:csb1="DFD70000"/>
  </w:font>
  <w:font w:name="MingLiU">
    <w:panose1 w:val="02020509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7ECF2"/>
    <w:multiLevelType w:val="singleLevel"/>
    <w:tmpl w:val="59B7ECF2"/>
    <w:lvl w:ilvl="0" w:tentative="0">
      <w:start w:val="1"/>
      <w:numFmt w:val="chineseCounting"/>
      <w:suff w:val="nothing"/>
      <w:lvlText w:val="%1、"/>
      <w:lvlJc w:val="left"/>
    </w:lvl>
  </w:abstractNum>
  <w:abstractNum w:abstractNumId="1">
    <w:nsid w:val="59B91E21"/>
    <w:multiLevelType w:val="singleLevel"/>
    <w:tmpl w:val="59B91E21"/>
    <w:lvl w:ilvl="0" w:tentative="0">
      <w:start w:val="1"/>
      <w:numFmt w:val="chineseCounting"/>
      <w:suff w:val="nothing"/>
      <w:lvlText w:val="（%1）"/>
      <w:lvlJc w:val="left"/>
    </w:lvl>
  </w:abstractNum>
  <w:abstractNum w:abstractNumId="2">
    <w:nsid w:val="59B91F81"/>
    <w:multiLevelType w:val="singleLevel"/>
    <w:tmpl w:val="59B91F81"/>
    <w:lvl w:ilvl="0" w:tentative="0">
      <w:start w:val="4"/>
      <w:numFmt w:val="chineseCounting"/>
      <w:suff w:val="nothing"/>
      <w:lvlText w:val="（%1）"/>
      <w:lvlJc w:val="left"/>
    </w:lvl>
  </w:abstractNum>
  <w:abstractNum w:abstractNumId="3">
    <w:nsid w:val="59B92169"/>
    <w:multiLevelType w:val="singleLevel"/>
    <w:tmpl w:val="59B92169"/>
    <w:lvl w:ilvl="0" w:tentative="0">
      <w:start w:val="7"/>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0B4614"/>
    <w:rsid w:val="17410300"/>
    <w:rsid w:val="27675907"/>
    <w:rsid w:val="277F652C"/>
    <w:rsid w:val="3AFD7B42"/>
    <w:rsid w:val="41D10B44"/>
    <w:rsid w:val="426E7F77"/>
    <w:rsid w:val="46140844"/>
    <w:rsid w:val="46FE6200"/>
    <w:rsid w:val="528E363C"/>
    <w:rsid w:val="57937009"/>
    <w:rsid w:val="69D83000"/>
    <w:rsid w:val="736C3E28"/>
    <w:rsid w:val="7E0B46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2017-09-13T03:42:00Z</dcterms:created>
  <dc:creator>Administrator</dc:creator>
  <cp:lastModifiedBy>lenovo</cp:lastModifiedBy>
  <dcterms:modified xsi:type="dcterms:W3CDTF">2017-09-15T10:27:15Z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