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05AA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EA8DC0C">
      <w:pPr>
        <w:spacing w:line="540" w:lineRule="exact"/>
        <w:jc w:val="center"/>
        <w:rPr>
          <w:rFonts w:ascii="华文中宋" w:hAnsi="华文中宋" w:eastAsia="华文中宋" w:cs="宋体"/>
          <w:b/>
          <w:kern w:val="0"/>
          <w:sz w:val="52"/>
          <w:szCs w:val="52"/>
        </w:rPr>
      </w:pPr>
    </w:p>
    <w:p w14:paraId="50A04521">
      <w:pPr>
        <w:spacing w:line="540" w:lineRule="exact"/>
        <w:jc w:val="center"/>
        <w:rPr>
          <w:rFonts w:ascii="华文中宋" w:hAnsi="华文中宋" w:eastAsia="华文中宋" w:cs="宋体"/>
          <w:b/>
          <w:kern w:val="0"/>
          <w:sz w:val="52"/>
          <w:szCs w:val="52"/>
        </w:rPr>
      </w:pPr>
    </w:p>
    <w:p w14:paraId="64DE21DB">
      <w:pPr>
        <w:spacing w:line="540" w:lineRule="exact"/>
        <w:jc w:val="center"/>
        <w:rPr>
          <w:rFonts w:ascii="华文中宋" w:hAnsi="华文中宋" w:eastAsia="华文中宋" w:cs="宋体"/>
          <w:b/>
          <w:kern w:val="0"/>
          <w:sz w:val="52"/>
          <w:szCs w:val="52"/>
        </w:rPr>
      </w:pPr>
    </w:p>
    <w:p w14:paraId="0F9ABFDE">
      <w:pPr>
        <w:spacing w:line="540" w:lineRule="exact"/>
        <w:jc w:val="center"/>
        <w:rPr>
          <w:rFonts w:ascii="华文中宋" w:hAnsi="华文中宋" w:eastAsia="华文中宋" w:cs="宋体"/>
          <w:b/>
          <w:kern w:val="0"/>
          <w:sz w:val="52"/>
          <w:szCs w:val="52"/>
        </w:rPr>
      </w:pPr>
    </w:p>
    <w:p w14:paraId="2CCF94A3">
      <w:pPr>
        <w:spacing w:line="540" w:lineRule="exact"/>
        <w:jc w:val="center"/>
        <w:rPr>
          <w:rFonts w:ascii="华文中宋" w:hAnsi="华文中宋" w:eastAsia="华文中宋" w:cs="宋体"/>
          <w:b/>
          <w:kern w:val="0"/>
          <w:sz w:val="52"/>
          <w:szCs w:val="52"/>
        </w:rPr>
      </w:pPr>
    </w:p>
    <w:p w14:paraId="50DD7EC7">
      <w:pPr>
        <w:spacing w:line="540" w:lineRule="exact"/>
        <w:jc w:val="center"/>
        <w:rPr>
          <w:rFonts w:ascii="华文中宋" w:hAnsi="华文中宋" w:eastAsia="华文中宋" w:cs="宋体"/>
          <w:b/>
          <w:kern w:val="0"/>
          <w:sz w:val="52"/>
          <w:szCs w:val="52"/>
        </w:rPr>
      </w:pPr>
    </w:p>
    <w:p w14:paraId="46F8972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2CEBFFC">
      <w:pPr>
        <w:spacing w:line="540" w:lineRule="exact"/>
        <w:jc w:val="center"/>
        <w:rPr>
          <w:rFonts w:ascii="华文中宋" w:hAnsi="华文中宋" w:eastAsia="华文中宋" w:cs="宋体"/>
          <w:b/>
          <w:kern w:val="0"/>
          <w:sz w:val="52"/>
          <w:szCs w:val="52"/>
        </w:rPr>
      </w:pPr>
    </w:p>
    <w:p w14:paraId="4825D13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69CCE73">
      <w:pPr>
        <w:spacing w:line="540" w:lineRule="exact"/>
        <w:jc w:val="center"/>
        <w:rPr>
          <w:rFonts w:hAnsi="宋体" w:eastAsia="仿宋_GB2312" w:cs="宋体"/>
          <w:kern w:val="0"/>
          <w:sz w:val="30"/>
          <w:szCs w:val="30"/>
        </w:rPr>
      </w:pPr>
    </w:p>
    <w:p w14:paraId="1481A875">
      <w:pPr>
        <w:spacing w:line="540" w:lineRule="exact"/>
        <w:jc w:val="center"/>
        <w:rPr>
          <w:rFonts w:hAnsi="宋体" w:eastAsia="仿宋_GB2312" w:cs="宋体"/>
          <w:kern w:val="0"/>
          <w:sz w:val="30"/>
          <w:szCs w:val="30"/>
        </w:rPr>
      </w:pPr>
    </w:p>
    <w:p w14:paraId="6A020720">
      <w:pPr>
        <w:spacing w:line="540" w:lineRule="exact"/>
        <w:jc w:val="center"/>
        <w:rPr>
          <w:rFonts w:hAnsi="宋体" w:eastAsia="仿宋_GB2312" w:cs="宋体"/>
          <w:kern w:val="0"/>
          <w:sz w:val="30"/>
          <w:szCs w:val="30"/>
        </w:rPr>
      </w:pPr>
    </w:p>
    <w:p w14:paraId="57C3E9CB">
      <w:pPr>
        <w:spacing w:line="540" w:lineRule="exact"/>
        <w:jc w:val="center"/>
        <w:rPr>
          <w:rFonts w:hAnsi="宋体" w:eastAsia="仿宋_GB2312" w:cs="宋体"/>
          <w:kern w:val="0"/>
          <w:sz w:val="30"/>
          <w:szCs w:val="30"/>
        </w:rPr>
      </w:pPr>
    </w:p>
    <w:p w14:paraId="02E91A0C">
      <w:pPr>
        <w:spacing w:line="540" w:lineRule="exact"/>
        <w:jc w:val="center"/>
        <w:rPr>
          <w:rFonts w:hAnsi="宋体" w:eastAsia="仿宋_GB2312" w:cs="宋体"/>
          <w:kern w:val="0"/>
          <w:sz w:val="30"/>
          <w:szCs w:val="30"/>
        </w:rPr>
      </w:pPr>
    </w:p>
    <w:p w14:paraId="36F7EC5A">
      <w:pPr>
        <w:spacing w:line="540" w:lineRule="exact"/>
        <w:jc w:val="center"/>
        <w:rPr>
          <w:rFonts w:hAnsi="宋体" w:eastAsia="仿宋_GB2312" w:cs="宋体"/>
          <w:kern w:val="0"/>
          <w:sz w:val="30"/>
          <w:szCs w:val="30"/>
        </w:rPr>
      </w:pPr>
    </w:p>
    <w:p w14:paraId="361378AE">
      <w:pPr>
        <w:spacing w:line="540" w:lineRule="exact"/>
        <w:rPr>
          <w:rFonts w:hAnsi="宋体" w:eastAsia="仿宋_GB2312" w:cs="宋体"/>
          <w:kern w:val="0"/>
          <w:sz w:val="30"/>
          <w:szCs w:val="30"/>
        </w:rPr>
      </w:pPr>
    </w:p>
    <w:p w14:paraId="4B5510D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762301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政协工作经费</w:t>
      </w:r>
    </w:p>
    <w:p w14:paraId="03643DB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中国人民政治协商会议新疆维吾尔自治区呼图壁县委员会</w:t>
      </w:r>
    </w:p>
    <w:p w14:paraId="5072C18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中国人民政治协商会议新疆维吾尔自治区呼图壁县委员会</w:t>
      </w:r>
    </w:p>
    <w:p w14:paraId="47DF076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黄静</w:t>
      </w:r>
    </w:p>
    <w:p w14:paraId="7373BEE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14:paraId="5BEF26D2">
      <w:pPr>
        <w:spacing w:line="700" w:lineRule="exact"/>
        <w:ind w:firstLine="708" w:firstLineChars="236"/>
        <w:jc w:val="left"/>
        <w:rPr>
          <w:rFonts w:hAnsi="宋体" w:eastAsia="仿宋_GB2312" w:cs="宋体"/>
          <w:kern w:val="0"/>
          <w:sz w:val="30"/>
          <w:szCs w:val="30"/>
        </w:rPr>
      </w:pPr>
    </w:p>
    <w:p w14:paraId="26360E28">
      <w:pPr>
        <w:spacing w:line="540" w:lineRule="exact"/>
        <w:rPr>
          <w:rStyle w:val="18"/>
          <w:rFonts w:ascii="黑体" w:hAnsi="黑体" w:eastAsia="黑体"/>
          <w:b w:val="0"/>
          <w:spacing w:val="-4"/>
          <w:sz w:val="32"/>
          <w:szCs w:val="32"/>
        </w:rPr>
      </w:pPr>
    </w:p>
    <w:p w14:paraId="161FE4A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5CFD82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9BBDBD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财预字【2023】6号文件要求，政协是多党合作和政治协商的重要机构。每年年初召开一次政协全委会，每季度召开一次常委会。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本项目主要内容为：每年年初召开一次政协全委会，每季度召开一次常委会。保障机关正常运转，日常办公、车辆运行等费用，调动干部职工积极性，达到预期绩效目标要求。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本项目于2023年1月开始实施，截止2023年12月已全部完成，通过本项目的实施，确保单位各项工作顺利开展。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政协会会议费项目的实施主体为呼图壁县政协办公室，该单位编制人数为16人，其中：行政人员编制12人、工勤1人、事业编制4人。实有在职人数21人，其中：行政在职12人、工勤1人、事业在职4人、同工同酬4人。离退休人员15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根据预算文件，下达2023年工作经费项目资金，预算安排资金总额30万元，其中财政资金30万元、其他资金0万元，2023年实际收到预算资金25.51万元，预算资金到位率为85.03%。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25.51万元，预算执行率100%。每年年初召开一次政协全委会，每季度召开一次常委会。保障机关正常运转，日常办公、车辆运行等费用，调动干部职工积极性，达到预期绩效目标要求。</w:t>
      </w:r>
    </w:p>
    <w:p w14:paraId="163F84E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EAB43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每年年初召开一次政协全委会，每季度召开一次常委会。保障机关正常运转，日常办公、车辆运行等费用，调动干部职工积极性，达到预期绩效目标要求。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“调研视察活动次数”指标，预期指标值为“≥6次”；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“召开常委会会议次数”指标，预期指标值为“≥4次”；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“调研视察报告采纳率”指标，预期指标值为“≥95%”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“全力保障单位正常运转资金”指标，预期指标值为“&lt;=300000元”。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“保障工作延续性开展”指标，预期指标值为“有效保障”。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“政协委员满意度”指标，预期指标值为“≧95%”。</w:t>
      </w:r>
    </w:p>
    <w:p w14:paraId="4AA0E2C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64AC8F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9B1A7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工作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2D451C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172529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工作经费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E3334B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9AC52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黄静（呼图壁县政协办公室主任）任评价组组长，绩效评价工作职责为检查项目绩效指标完成情况、审定项目支出绩效评价结果及项目支出绩效评价报告。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刘建新（呼图壁县政协办公室副主任）任评价组副组长，绩效评价工作职责为组织和协调项目工作人员采取实地调查、资料检查等方式，核实项目绩效指标完成情况；组织受益对象对项目工作进行评价等。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许瑛（政协委员联络中心干部）任评价组成员，绩效评价工作职责为做好项目支出绩效评价工作的沟通协调工作，对项目实施情况进行实地调查，编写项目支出绩效评价报告。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70309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E342F9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通过工作经费项目的实施，解决了政协工作经费的困难，提高了工作水平，提升了办事能力，该项目预算执行率达85.03%，项目预期绩效目标及各项具体指标均已全部达成。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工作经费项目的绩效目标和各项具体绩效指标实现情况进行了客观评价，最终评分为96.8分。绩效评级为“优秀”，具体得分情况为：项目决策20分、项目过程19.25分、项目产出27.55分、项目效益30分。</w:t>
      </w:r>
    </w:p>
    <w:p w14:paraId="587DB39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FE4476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2AC64D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454EEA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7774FB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分，本项目实际得分19.25分，得分率为96.25%。具体各项指标得分如下：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2.预算执行率：本项目预算较为详细，预算资金30万元，实际执行25.51万元，预算执行率为85.03%，项目资金支出总体能够按照预算执行，根据评分标准，该指标5分，得4.25分。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3.资金使用合规性：项目任务下达后，我单位制定了《项目资金管理办法》制度和管理规定对经费使用进行规范管理，财务制度健全、执行严格，根据评分标准，该指标5分，得5分。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2E24C1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F4EB1B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项目产出类指标包括产出数量、产出质量、产出时效、产出成本共四方面的内容，由6个三级指标构成，权重分为30分，本项目实际得分27.55分，得分率为91.83%。具体各项指标得分如下：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“调研视察活动次数”指标，预期指标值为“6”，根据（政协工作总结）可知，实际完成5，与预期目标不一致，根据评分标准，该指标3分，得2.5分。（调研视察课题不符合要求，报告最终未成形及上报）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“召开常委会会议次数”指标，预期指标值为“≥4次”；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实际完成3次，与预期目标不一致，根据评分标准，该指标3分，得2.25分。（第四季度常委会于2024年全委会前进行召开）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“调研视察报告采纳率”指标，预期指标值为“≥95%”，实际完成95%，与预期目标一致，根据评分标准，该指标8分，得8分。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“经费拨付及时率”指标，预期指标值为“=100%”；实际完成100%，效果显著，与预期目标一致，根据评分标准，该指标8分，得8分。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“全力保障单位正常运转资金”指标，预期指标值为“≤30万元”，实际完成25.51万元，与预期目标不一致，完成85.03%，根据评分标准，该指标8分，得6.8分。</w:t>
      </w:r>
    </w:p>
    <w:p w14:paraId="67968DE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3DB6C9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“保障工作延续性开展”指标，预期指标值为“有效保障”。实际完成值为“有效保障”，根据评分标准，该指标20分，得20分。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“政协委员满意度”指标，预期指标值为“≧95%”，受益对象满意度达95%，根据评分标准，该指标10分,得10分。</w:t>
      </w:r>
    </w:p>
    <w:p w14:paraId="1D57BAB1">
      <w:pPr>
        <w:spacing w:line="540" w:lineRule="exact"/>
        <w:ind w:firstLine="567"/>
        <w:rPr>
          <w:rStyle w:val="18"/>
          <w:rFonts w:ascii="楷体" w:hAnsi="楷体" w:eastAsia="楷体"/>
          <w:spacing w:val="-4"/>
          <w:sz w:val="32"/>
          <w:szCs w:val="32"/>
        </w:rPr>
      </w:pPr>
    </w:p>
    <w:p w14:paraId="115C6BC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E0E59B4">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工作经费项目预算金额30万元，实际到位25.51万元，实际支出25.51万元，预算执行率为85.03%。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该项目预算执行偏差率为14.97%，原因为2个数量指标没有达到预期目标。</w:t>
      </w:r>
    </w:p>
    <w:p w14:paraId="480C2E7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414BF3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一是对档案工作重视程度不高，意识淡薄。二是单位人员对档案管理工作缺少针对性和目的性,使绩效档案管理与实际业务存在一定偏差，未发挥其综合价值。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项目支出绩效评价工作还存在自我审定的局限性，项目支出绩效工作有较大弹性，评价报告多局限于描述项目实施情况，对问题避重就轻会影响评价质量，在客观性和公正性上说服力不强。</w:t>
      </w:r>
    </w:p>
    <w:p w14:paraId="46E8D5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67329B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31C3DB5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08194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6286D26A">
      <w:pPr>
        <w:spacing w:line="540" w:lineRule="exact"/>
        <w:ind w:firstLine="567"/>
        <w:rPr>
          <w:rStyle w:val="18"/>
          <w:rFonts w:ascii="仿宋" w:hAnsi="仿宋" w:eastAsia="仿宋"/>
          <w:b w:val="0"/>
          <w:spacing w:val="-4"/>
          <w:sz w:val="32"/>
          <w:szCs w:val="32"/>
        </w:rPr>
      </w:pPr>
    </w:p>
    <w:p w14:paraId="32355F1F">
      <w:pPr>
        <w:spacing w:line="540" w:lineRule="exact"/>
        <w:ind w:firstLine="567"/>
        <w:rPr>
          <w:rStyle w:val="18"/>
          <w:rFonts w:ascii="仿宋" w:hAnsi="仿宋" w:eastAsia="仿宋"/>
          <w:b w:val="0"/>
          <w:spacing w:val="-4"/>
          <w:sz w:val="32"/>
          <w:szCs w:val="32"/>
        </w:rPr>
      </w:pPr>
    </w:p>
    <w:p w14:paraId="280F9F14">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B1C5FDA">
        <w:pPr>
          <w:pStyle w:val="12"/>
          <w:jc w:val="center"/>
        </w:pPr>
        <w:r>
          <w:fldChar w:fldCharType="begin"/>
        </w:r>
        <w:r>
          <w:instrText xml:space="preserve">PAGE   \* MERGEFORMAT</w:instrText>
        </w:r>
        <w:r>
          <w:fldChar w:fldCharType="separate"/>
        </w:r>
        <w:r>
          <w:rPr>
            <w:lang w:val="zh-CN"/>
          </w:rPr>
          <w:t>2</w:t>
        </w:r>
        <w:r>
          <w:fldChar w:fldCharType="end"/>
        </w:r>
      </w:p>
    </w:sdtContent>
  </w:sdt>
  <w:p w14:paraId="5768361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BD42474"/>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6097</Words>
  <Characters>6364</Characters>
  <Lines>4</Lines>
  <Paragraphs>1</Paragraphs>
  <TotalTime>7</TotalTime>
  <ScaleCrop>false</ScaleCrop>
  <LinksUpToDate>false</LinksUpToDate>
  <CharactersWithSpaces>6393</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2024-08-14T09:31:09Z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