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14C5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C6E7931">
      <w:pPr>
        <w:spacing w:line="540" w:lineRule="exact"/>
        <w:jc w:val="center"/>
        <w:rPr>
          <w:rFonts w:ascii="华文中宋" w:hAnsi="华文中宋" w:eastAsia="华文中宋" w:cs="宋体"/>
          <w:b/>
          <w:kern w:val="0"/>
          <w:sz w:val="52"/>
          <w:szCs w:val="52"/>
        </w:rPr>
      </w:pPr>
    </w:p>
    <w:p w14:paraId="61AD86AE">
      <w:pPr>
        <w:spacing w:line="540" w:lineRule="exact"/>
        <w:jc w:val="center"/>
        <w:rPr>
          <w:rFonts w:ascii="华文中宋" w:hAnsi="华文中宋" w:eastAsia="华文中宋" w:cs="宋体"/>
          <w:b/>
          <w:kern w:val="0"/>
          <w:sz w:val="52"/>
          <w:szCs w:val="52"/>
        </w:rPr>
      </w:pPr>
    </w:p>
    <w:p w14:paraId="5625E9B3">
      <w:pPr>
        <w:spacing w:line="540" w:lineRule="exact"/>
        <w:jc w:val="center"/>
        <w:rPr>
          <w:rFonts w:ascii="华文中宋" w:hAnsi="华文中宋" w:eastAsia="华文中宋" w:cs="宋体"/>
          <w:b/>
          <w:kern w:val="0"/>
          <w:sz w:val="52"/>
          <w:szCs w:val="52"/>
        </w:rPr>
      </w:pPr>
    </w:p>
    <w:p w14:paraId="60EFAB9A">
      <w:pPr>
        <w:spacing w:line="540" w:lineRule="exact"/>
        <w:jc w:val="center"/>
        <w:rPr>
          <w:rFonts w:ascii="华文中宋" w:hAnsi="华文中宋" w:eastAsia="华文中宋" w:cs="宋体"/>
          <w:b/>
          <w:kern w:val="0"/>
          <w:sz w:val="52"/>
          <w:szCs w:val="52"/>
        </w:rPr>
      </w:pPr>
    </w:p>
    <w:p w14:paraId="7F18F6DE">
      <w:pPr>
        <w:spacing w:line="540" w:lineRule="exact"/>
        <w:jc w:val="center"/>
        <w:rPr>
          <w:rFonts w:ascii="华文中宋" w:hAnsi="华文中宋" w:eastAsia="华文中宋" w:cs="宋体"/>
          <w:b/>
          <w:kern w:val="0"/>
          <w:sz w:val="52"/>
          <w:szCs w:val="52"/>
        </w:rPr>
      </w:pPr>
    </w:p>
    <w:p w14:paraId="7338F718">
      <w:pPr>
        <w:spacing w:line="540" w:lineRule="exact"/>
        <w:jc w:val="center"/>
        <w:rPr>
          <w:rFonts w:ascii="华文中宋" w:hAnsi="华文中宋" w:eastAsia="华文中宋" w:cs="宋体"/>
          <w:b/>
          <w:kern w:val="0"/>
          <w:sz w:val="52"/>
          <w:szCs w:val="52"/>
        </w:rPr>
      </w:pPr>
    </w:p>
    <w:p w14:paraId="186F794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D390B0E">
      <w:pPr>
        <w:spacing w:line="540" w:lineRule="exact"/>
        <w:jc w:val="center"/>
        <w:rPr>
          <w:rFonts w:ascii="华文中宋" w:hAnsi="华文中宋" w:eastAsia="华文中宋" w:cs="宋体"/>
          <w:b/>
          <w:kern w:val="0"/>
          <w:sz w:val="52"/>
          <w:szCs w:val="52"/>
        </w:rPr>
      </w:pPr>
    </w:p>
    <w:p w14:paraId="1967E87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D875B6D">
      <w:pPr>
        <w:spacing w:line="540" w:lineRule="exact"/>
        <w:jc w:val="center"/>
        <w:rPr>
          <w:rFonts w:hAnsi="宋体" w:eastAsia="仿宋_GB2312" w:cs="宋体"/>
          <w:kern w:val="0"/>
          <w:sz w:val="30"/>
          <w:szCs w:val="30"/>
        </w:rPr>
      </w:pPr>
    </w:p>
    <w:p w14:paraId="165559A3">
      <w:pPr>
        <w:spacing w:line="540" w:lineRule="exact"/>
        <w:jc w:val="center"/>
        <w:rPr>
          <w:rFonts w:hAnsi="宋体" w:eastAsia="仿宋_GB2312" w:cs="宋体"/>
          <w:kern w:val="0"/>
          <w:sz w:val="30"/>
          <w:szCs w:val="30"/>
        </w:rPr>
      </w:pPr>
    </w:p>
    <w:p w14:paraId="4EB0AA23">
      <w:pPr>
        <w:spacing w:line="540" w:lineRule="exact"/>
        <w:jc w:val="center"/>
        <w:rPr>
          <w:rFonts w:hAnsi="宋体" w:eastAsia="仿宋_GB2312" w:cs="宋体"/>
          <w:kern w:val="0"/>
          <w:sz w:val="30"/>
          <w:szCs w:val="30"/>
        </w:rPr>
      </w:pPr>
    </w:p>
    <w:p w14:paraId="0DC34221">
      <w:pPr>
        <w:spacing w:line="540" w:lineRule="exact"/>
        <w:jc w:val="center"/>
        <w:rPr>
          <w:rFonts w:hAnsi="宋体" w:eastAsia="仿宋_GB2312" w:cs="宋体"/>
          <w:kern w:val="0"/>
          <w:sz w:val="30"/>
          <w:szCs w:val="30"/>
        </w:rPr>
      </w:pPr>
    </w:p>
    <w:p w14:paraId="02A91B96">
      <w:pPr>
        <w:spacing w:line="540" w:lineRule="exact"/>
        <w:jc w:val="center"/>
        <w:rPr>
          <w:rFonts w:hAnsi="宋体" w:eastAsia="仿宋_GB2312" w:cs="宋体"/>
          <w:kern w:val="0"/>
          <w:sz w:val="30"/>
          <w:szCs w:val="30"/>
        </w:rPr>
      </w:pPr>
    </w:p>
    <w:p w14:paraId="0F6C36C9">
      <w:pPr>
        <w:spacing w:line="540" w:lineRule="exact"/>
        <w:jc w:val="center"/>
        <w:rPr>
          <w:rFonts w:hAnsi="宋体" w:eastAsia="仿宋_GB2312" w:cs="宋体"/>
          <w:kern w:val="0"/>
          <w:sz w:val="30"/>
          <w:szCs w:val="30"/>
        </w:rPr>
      </w:pPr>
    </w:p>
    <w:p w14:paraId="7BEC4D51">
      <w:pPr>
        <w:spacing w:line="540" w:lineRule="exact"/>
        <w:rPr>
          <w:rFonts w:hAnsi="宋体" w:eastAsia="仿宋_GB2312" w:cs="宋体"/>
          <w:kern w:val="0"/>
          <w:sz w:val="30"/>
          <w:szCs w:val="30"/>
        </w:rPr>
      </w:pPr>
    </w:p>
    <w:p w14:paraId="41D7331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C3A472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党校迁址新建及附属设施建设项目债务化解</w:t>
      </w:r>
    </w:p>
    <w:p w14:paraId="536D704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中国共产党呼图壁县委员会党校</w:t>
      </w:r>
    </w:p>
    <w:p w14:paraId="1930958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中国共产党呼图壁县委员会党校</w:t>
      </w:r>
    </w:p>
    <w:p w14:paraId="0A9299BD">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贾超群</w:t>
      </w:r>
    </w:p>
    <w:p w14:paraId="4526C91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14:paraId="10D28069">
      <w:pPr>
        <w:spacing w:line="700" w:lineRule="exact"/>
        <w:ind w:firstLine="708" w:firstLineChars="236"/>
        <w:jc w:val="left"/>
        <w:rPr>
          <w:rFonts w:hAnsi="宋体" w:eastAsia="仿宋_GB2312" w:cs="宋体"/>
          <w:kern w:val="0"/>
          <w:sz w:val="30"/>
          <w:szCs w:val="30"/>
        </w:rPr>
      </w:pPr>
    </w:p>
    <w:p w14:paraId="1D1C1A97">
      <w:pPr>
        <w:spacing w:line="540" w:lineRule="exact"/>
        <w:rPr>
          <w:rStyle w:val="18"/>
          <w:rFonts w:ascii="黑体" w:hAnsi="黑体" w:eastAsia="黑体"/>
          <w:b w:val="0"/>
          <w:spacing w:val="-4"/>
          <w:sz w:val="32"/>
          <w:szCs w:val="32"/>
        </w:rPr>
      </w:pPr>
    </w:p>
    <w:p w14:paraId="134F0CB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1D32D8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9DBDA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党校有综合教学楼一幢，集教学、办公为一体，面积1600平方米，包括：50人听课的多媒体教室两间，50人听课的教室一间，办公室8间，另设有会议室、阅览室、图书室，没有操场、学员宿舍和大教室，受教学场地的客观限制，难于承担过多的培训任务，活动场所狭窄、教学场地不规范，大教室、讨论室、报告厅、学员宿舍食堂、运动设施等硬件急需提升，为进一步提高党校及党员干部远程教育管理中心教育管理培训质量，改善办学条件，提升马克思主义民族宗教的理论教育培训工作，2013年2月5日，新疆维吾尔自治区发展和改革委员会向昌吉州发改委作出了《关于呼图壁县委党校迁址新建项目可行性研究报告（代项目建议书）的批复》（新发改投资【2013】492号），2013年4月2日，县发改委作出了《关于呼图壁县委党校迁址新建及远程教育管理中心业务用房项目的批复》（呼发改字【2013】70号），批复内容：项目占地面积15.24亩，总建筑面积6568.30平方米，框架结构4层，其中党校行政学校5369平方米（其中学员宿舍楼（含学员餐厅）3110平方米），远程教育管理中心业务用房932平方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新建党校占地面积15.24亩，总建筑面积6568.30平方米，框架结构4层，其中党校行政学校5369平方米（其中学员宿舍楼（含学员餐厅）3110平方米），远程教育管理中心业务用房932平方米。党校迁址新建并建设远程教育管理中心业务用房资金投入1709.80万元，室外文化体育基础设施建设资金投入608.04万元，楼宇亮化工程资金投入39.88万元，安装电梯资金投入53.85万元。2014年12月，综合教学楼（包括教室、计算机教学中心、会议室、图书室、阅览室、档案室）、学术报告厅、学员公寓楼及餐厅已完工并交付使用、2014年12月电梯安装工程竣工验收并交付使用；2015年12月楼宇亮化工程竣工验收交付使用、2016年室外文化体育基础设施建设验收交付使用。项目的实施改善干部轮培训环境，强化保障，更好地为教学、科研服务，让学员和群众有更好地获得感，达到示范性党校硬件要求本项目于2023年6月开始实施，截止2023年12月已全部完成，通过本项目的实施，改善全县党员及干部教育培训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2023年党校迁址新建远程教育中心及室外文化基础设施建设项目的实施主体为呼图壁县委党校，该单位纳入2023年部门决算编制范围的有3个科室，分别是：行政办公室，教务处，科研处。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编制人数为13人，其中：事业编制13人。实有在职人数12人，其中：事业在职12人。离退休人员10人，其中：行政退休人员2人、事业退休8人。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根据县财政2023年预算安排，下达2023年党校迁址新建远程教育中心及室外文化基础设</w:t>
      </w:r>
      <w:bookmarkStart w:id="0" w:name="_GoBack"/>
      <w:bookmarkEnd w:id="0"/>
      <w:r>
        <w:rPr>
          <w:rStyle w:val="18"/>
          <w:rFonts w:hint="eastAsia" w:ascii="楷体" w:hAnsi="楷体" w:eastAsia="楷体"/>
          <w:b w:val="0"/>
          <w:bCs w:val="0"/>
          <w:spacing w:val="-4"/>
          <w:sz w:val="32"/>
          <w:szCs w:val="32"/>
        </w:rPr>
        <w:t>施建设项目资金</w:t>
      </w:r>
      <w:r>
        <w:rPr>
          <w:rStyle w:val="18"/>
          <w:rFonts w:hint="eastAsia" w:ascii="楷体" w:hAnsi="楷体" w:eastAsia="楷体"/>
          <w:b w:val="0"/>
          <w:bCs w:val="0"/>
          <w:spacing w:val="-4"/>
          <w:sz w:val="32"/>
          <w:szCs w:val="32"/>
          <w:lang w:eastAsia="zh-CN"/>
        </w:rPr>
        <w:t>129.79</w:t>
      </w:r>
      <w:r>
        <w:rPr>
          <w:rStyle w:val="18"/>
          <w:rFonts w:hint="eastAsia" w:ascii="楷体" w:hAnsi="楷体" w:eastAsia="楷体"/>
          <w:b w:val="0"/>
          <w:bCs w:val="0"/>
          <w:spacing w:val="-4"/>
          <w:sz w:val="32"/>
          <w:szCs w:val="32"/>
        </w:rPr>
        <w:t>万元，资金全部为财政预算内资金，2023年实际收到预算资金</w:t>
      </w:r>
      <w:r>
        <w:rPr>
          <w:rStyle w:val="18"/>
          <w:rFonts w:hint="eastAsia" w:ascii="楷体" w:hAnsi="楷体" w:eastAsia="楷体"/>
          <w:b w:val="0"/>
          <w:bCs w:val="0"/>
          <w:spacing w:val="-4"/>
          <w:sz w:val="32"/>
          <w:szCs w:val="32"/>
          <w:lang w:eastAsia="zh-CN"/>
        </w:rPr>
        <w:t>129.79</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w:t>
      </w:r>
      <w:r>
        <w:rPr>
          <w:rStyle w:val="18"/>
          <w:rFonts w:hint="eastAsia" w:ascii="楷体" w:hAnsi="楷体" w:eastAsia="楷体"/>
          <w:b w:val="0"/>
          <w:bCs w:val="0"/>
          <w:spacing w:val="-4"/>
          <w:sz w:val="32"/>
          <w:szCs w:val="32"/>
          <w:lang w:eastAsia="zh-CN"/>
        </w:rPr>
        <w:t>129.79</w:t>
      </w:r>
      <w:r>
        <w:rPr>
          <w:rStyle w:val="18"/>
          <w:rFonts w:hint="eastAsia" w:ascii="楷体" w:hAnsi="楷体" w:eastAsia="楷体"/>
          <w:b w:val="0"/>
          <w:bCs w:val="0"/>
          <w:spacing w:val="-4"/>
          <w:sz w:val="32"/>
          <w:szCs w:val="32"/>
        </w:rPr>
        <w:t>万元，预算执行率100.0%。项目资金主要用于支付党校迁址新建远程教育中心及室外文化基础设施建设项目费用</w:t>
      </w:r>
      <w:r>
        <w:rPr>
          <w:rStyle w:val="18"/>
          <w:rFonts w:hint="eastAsia" w:ascii="楷体" w:hAnsi="楷体" w:eastAsia="楷体"/>
          <w:b w:val="0"/>
          <w:bCs w:val="0"/>
          <w:spacing w:val="-4"/>
          <w:sz w:val="32"/>
          <w:szCs w:val="32"/>
          <w:lang w:eastAsia="zh-CN"/>
        </w:rPr>
        <w:t>129.79</w:t>
      </w:r>
      <w:r>
        <w:rPr>
          <w:rStyle w:val="18"/>
          <w:rFonts w:hint="eastAsia" w:ascii="楷体" w:hAnsi="楷体" w:eastAsia="楷体"/>
          <w:b w:val="0"/>
          <w:bCs w:val="0"/>
          <w:spacing w:val="-4"/>
          <w:sz w:val="32"/>
          <w:szCs w:val="32"/>
        </w:rPr>
        <w:t>万元。</w:t>
      </w:r>
    </w:p>
    <w:p w14:paraId="4E90EBA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3DEEE8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完成化解党校迁址新建并建设远程教育管理中心业务用房项目61.42万元债务，室外文化体育基础设施建设项目61.06万元债务，安装电梯项目7.31万元债务，共计129.79万元。切实缓解基层单位债务压力。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“化解债务数量”指标，预期指标值为“1个”；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“党校迁址新建”指标，预期指标值为“1栋”；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“债务清欠项目完成率”指标，预期指标值为“100%”；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“党校迁址新建完成率”指标，预期指标值为“100%”；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“债务还款时间”指标，预期指标值为“2023年1-12月”；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“化解债务成本”指标，预期指标值为“≥129.79万元”；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“改善教学环境，提高工作效率”指标，预期指标值为“有效缓解”；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“缓解基层单位债务压力”指标，预期指标值为“100%”；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“债权方满意度”指标，预期指标值为“≥95%”；</w:t>
      </w:r>
    </w:p>
    <w:p w14:paraId="5D338EA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9546CB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11444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党校迁址新建远程教育中心及室外文化基础设施建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13522E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FEE47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党校迁址新建远程教育中心及室外文化基础设施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263E1B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46E2B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党校党组书记，常务副校长杨素玲同志任评价组组长，绩效评价工作职责为检查项目绩效指标完成情况、审定项目支出绩效评价结果及项目支出绩效评价报告。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党校副校长杨天智同志任评价组副组长，绩效评价工作职责为组织和协调项目工作人员采取实地调查、资料检查等方式，核实项目绩效指标完成情况；组织受益对象对项目工作进行评价等。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党校教务处主任李鹏霞同志任评价组成员，绩效评价工作职责为做好项目支出绩效评价工作的沟通协调工作，对项目实施情况进行实地调查，编写项目支出绩效评价报告。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836C27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EDD836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通过党校迁址新建远程教育中心及室外文化基础设施建设项目的实施，改善了全县党员及干部教育培训环境，提高了教学水平，该项目预算执行率达100%，项目预期绩效目标及各项具体指标均已全部达成。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党校迁址新建远程教育中心及室外文化基础设施建设项目的绩效目标和各项具体绩效指标实现情况进行了客观评价，最终评分为100分。绩效评级为“优秀”，具体得分情况为：项目决策20分、项目过程20分、项目产出30分、项目效益30分。</w:t>
      </w:r>
    </w:p>
    <w:p w14:paraId="4004FEB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F83082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811B71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574F117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0F680D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2.预算执行率：本项目预算较为详细，预算资金129.79万元，实际执行129.79万元，预算执行率为100%，项目资金支出总体能够按照预算执行，根据评分标准，该指标5分，得5分。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3.资金使用合规性：项目任务下达后，我单位制定了《基本建设项目》制度和管理规定对经费使用进行规范管理，财务制度健全、执行严格，根据评分标准，该指标5分，得5分。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4.管理制度健全性：我单位制定了《建设项目资金管理办法》等相关项目管理办法，同时对财政专项资金进行严格管理，基本做到了专款专用，根据评分标准，该指标2分，得2分。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D34F90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84FA46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“党校迁址新建项目数量”指标，预期指标值为“1栋”，根据审计报告可知，实际完成1个，与预期目标一致，根据评分标准，该指标5分，得5分。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“化解债务数量”指标，预期指标值为“1个”，根据债务完结确认书可知，实际完成1个，与预期目标一致，根据评分标准，该指标5分，得5分。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“债务清欠项目完成率”指标，预期指标值为“100%”，根据债务完结确认书可知，实际完成100%，与预期目标一致，根据评分标准，该指标5分，得5分。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“党校迁址新建完成率”指标，预期指标值为“100%”，根据债务完结确认书可知，实际完成100%，与预期目标一致，根据评分标准，该指标5分，得5分。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“债务还款时间”指标，预期指标值为“2023年12月”，根据债务完结确认书可知，实际完成100%，与预期目标一致，根据评分标准，该指标5分，得5分。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“化解债务成本”指标，预期指标值为“≥129.79万元”，根据债务完结确认书可知，实际完成129.79万元，与预期目标一致，根据评分标准，该指标5分，得5分。</w:t>
      </w:r>
    </w:p>
    <w:p w14:paraId="704C651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F129B5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“改善教学环境，提高工作效率”指标，预期指标值为“有效缓解”，根据项目审计报告可知，实际完成值为“100%”，根据评分标准，该指标10分，得10分。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“缓解基层单位债务压力”指标，预期指标值为“有效缓解”，根据债务完结确认书可知，实际完成值为“100%”，根据评分标准，该指标10分，得10分。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“债权方满意度”指标，预期指标值为“100%”，收益对象满意度满意度达100%，根据评分标准，该指标10分,得10分。</w:t>
      </w:r>
    </w:p>
    <w:p w14:paraId="3A3D3E80">
      <w:pPr>
        <w:spacing w:line="540" w:lineRule="exact"/>
        <w:ind w:firstLine="567"/>
        <w:rPr>
          <w:rStyle w:val="18"/>
          <w:rFonts w:ascii="楷体" w:hAnsi="楷体" w:eastAsia="楷体"/>
          <w:spacing w:val="-4"/>
          <w:sz w:val="32"/>
          <w:szCs w:val="32"/>
        </w:rPr>
      </w:pPr>
    </w:p>
    <w:p w14:paraId="1790BB95">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0FFAE1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党校迁址新建远程教育中心及室外文化基础设施建设项目预算金额129.79万元，实际到位129.79万元，实际支出129.79万元，预算执行率为100%。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66ADC35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A1E2EB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43C43F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126188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一是进一步完善项目评价资料。项目启动时同步做好档案的归纳与整理，及时整理、收集、汇总，健全档案资料。二是严格落实县档案馆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主要领导高度重视，精心组织，对绩效评价工作进行指导、监督、检查，确保项目绩效评价反映项目完成真实情况。严格执行项目绩效评价工作要求，切实提高项目绩效报告的客观性和公正性。</w:t>
      </w:r>
    </w:p>
    <w:p w14:paraId="384E16C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9910F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DD556BD">
      <w:pPr>
        <w:spacing w:line="540" w:lineRule="exact"/>
        <w:ind w:firstLine="567"/>
        <w:rPr>
          <w:rStyle w:val="18"/>
          <w:rFonts w:ascii="仿宋" w:hAnsi="仿宋" w:eastAsia="仿宋"/>
          <w:b w:val="0"/>
          <w:spacing w:val="-4"/>
          <w:sz w:val="32"/>
          <w:szCs w:val="32"/>
        </w:rPr>
      </w:pPr>
    </w:p>
    <w:p w14:paraId="66D5B8FC">
      <w:pPr>
        <w:spacing w:line="540" w:lineRule="exact"/>
        <w:ind w:firstLine="567"/>
        <w:rPr>
          <w:rStyle w:val="18"/>
          <w:rFonts w:ascii="仿宋" w:hAnsi="仿宋" w:eastAsia="仿宋"/>
          <w:b w:val="0"/>
          <w:spacing w:val="-4"/>
          <w:sz w:val="32"/>
          <w:szCs w:val="32"/>
        </w:rPr>
      </w:pPr>
    </w:p>
    <w:p w14:paraId="785E5EEA">
      <w:pPr>
        <w:spacing w:line="540" w:lineRule="exact"/>
        <w:ind w:firstLine="567"/>
        <w:rPr>
          <w:rStyle w:val="18"/>
          <w:rFonts w:ascii="仿宋" w:hAnsi="仿宋" w:eastAsia="仿宋"/>
          <w:b w:val="0"/>
          <w:spacing w:val="-4"/>
          <w:sz w:val="32"/>
          <w:szCs w:val="32"/>
        </w:rPr>
      </w:pPr>
    </w:p>
    <w:p w14:paraId="4FC4EE0E">
      <w:pPr>
        <w:spacing w:line="540" w:lineRule="exact"/>
        <w:ind w:firstLine="567"/>
        <w:rPr>
          <w:rStyle w:val="18"/>
          <w:rFonts w:ascii="仿宋" w:hAnsi="仿宋" w:eastAsia="仿宋"/>
          <w:b w:val="0"/>
          <w:spacing w:val="-4"/>
          <w:sz w:val="32"/>
          <w:szCs w:val="32"/>
        </w:rPr>
      </w:pPr>
    </w:p>
    <w:p w14:paraId="48507158">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5610AF1">
        <w:pPr>
          <w:pStyle w:val="12"/>
          <w:jc w:val="center"/>
        </w:pPr>
        <w:r>
          <w:fldChar w:fldCharType="begin"/>
        </w:r>
        <w:r>
          <w:instrText xml:space="preserve">PAGE   \* MERGEFORMAT</w:instrText>
        </w:r>
        <w:r>
          <w:fldChar w:fldCharType="separate"/>
        </w:r>
        <w:r>
          <w:rPr>
            <w:lang w:val="zh-CN"/>
          </w:rPr>
          <w:t>2</w:t>
        </w:r>
        <w:r>
          <w:fldChar w:fldCharType="end"/>
        </w:r>
      </w:p>
    </w:sdtContent>
  </w:sdt>
  <w:p w14:paraId="4F4EF3E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C7F48C0"/>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7361</Words>
  <Characters>7760</Characters>
  <Lines>4</Lines>
  <Paragraphs>1</Paragraphs>
  <TotalTime>4</TotalTime>
  <ScaleCrop>false</ScaleCrop>
  <LinksUpToDate>false</LinksUpToDate>
  <CharactersWithSpaces>7788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2024-08-14T08:57:35Z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