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597A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278F516">
      <w:pPr>
        <w:spacing w:line="540" w:lineRule="exact"/>
        <w:jc w:val="center"/>
        <w:rPr>
          <w:rFonts w:ascii="华文中宋" w:hAnsi="华文中宋" w:eastAsia="华文中宋" w:cs="宋体"/>
          <w:b/>
          <w:kern w:val="0"/>
          <w:sz w:val="52"/>
          <w:szCs w:val="52"/>
        </w:rPr>
      </w:pPr>
    </w:p>
    <w:p w14:paraId="5E0C1A1D">
      <w:pPr>
        <w:spacing w:line="540" w:lineRule="exact"/>
        <w:jc w:val="center"/>
        <w:rPr>
          <w:rFonts w:ascii="华文中宋" w:hAnsi="华文中宋" w:eastAsia="华文中宋" w:cs="宋体"/>
          <w:b/>
          <w:kern w:val="0"/>
          <w:sz w:val="52"/>
          <w:szCs w:val="52"/>
        </w:rPr>
      </w:pPr>
    </w:p>
    <w:p w14:paraId="55F2C97E">
      <w:pPr>
        <w:spacing w:line="540" w:lineRule="exact"/>
        <w:jc w:val="center"/>
        <w:rPr>
          <w:rFonts w:ascii="华文中宋" w:hAnsi="华文中宋" w:eastAsia="华文中宋" w:cs="宋体"/>
          <w:b/>
          <w:kern w:val="0"/>
          <w:sz w:val="52"/>
          <w:szCs w:val="52"/>
        </w:rPr>
      </w:pPr>
    </w:p>
    <w:p w14:paraId="3DD08357">
      <w:pPr>
        <w:spacing w:line="540" w:lineRule="exact"/>
        <w:jc w:val="center"/>
        <w:rPr>
          <w:rFonts w:ascii="华文中宋" w:hAnsi="华文中宋" w:eastAsia="华文中宋" w:cs="宋体"/>
          <w:b/>
          <w:kern w:val="0"/>
          <w:sz w:val="52"/>
          <w:szCs w:val="52"/>
        </w:rPr>
      </w:pPr>
    </w:p>
    <w:p w14:paraId="74208337">
      <w:pPr>
        <w:spacing w:line="540" w:lineRule="exact"/>
        <w:jc w:val="center"/>
        <w:rPr>
          <w:rFonts w:ascii="华文中宋" w:hAnsi="华文中宋" w:eastAsia="华文中宋" w:cs="宋体"/>
          <w:b/>
          <w:kern w:val="0"/>
          <w:sz w:val="52"/>
          <w:szCs w:val="52"/>
        </w:rPr>
      </w:pPr>
    </w:p>
    <w:p w14:paraId="4D494378">
      <w:pPr>
        <w:spacing w:line="540" w:lineRule="exact"/>
        <w:jc w:val="center"/>
        <w:rPr>
          <w:rFonts w:ascii="华文中宋" w:hAnsi="华文中宋" w:eastAsia="华文中宋" w:cs="宋体"/>
          <w:b/>
          <w:kern w:val="0"/>
          <w:sz w:val="52"/>
          <w:szCs w:val="52"/>
        </w:rPr>
      </w:pPr>
    </w:p>
    <w:p w14:paraId="1408BF9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5FF6E7A">
      <w:pPr>
        <w:spacing w:line="540" w:lineRule="exact"/>
        <w:jc w:val="center"/>
        <w:rPr>
          <w:rFonts w:ascii="华文中宋" w:hAnsi="华文中宋" w:eastAsia="华文中宋" w:cs="宋体"/>
          <w:b/>
          <w:kern w:val="0"/>
          <w:sz w:val="52"/>
          <w:szCs w:val="52"/>
        </w:rPr>
      </w:pPr>
    </w:p>
    <w:p w14:paraId="50F25AB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3E87071">
      <w:pPr>
        <w:spacing w:line="540" w:lineRule="exact"/>
        <w:jc w:val="center"/>
        <w:rPr>
          <w:rFonts w:hAnsi="宋体" w:eastAsia="仿宋_GB2312" w:cs="宋体"/>
          <w:kern w:val="0"/>
          <w:sz w:val="30"/>
          <w:szCs w:val="30"/>
        </w:rPr>
      </w:pPr>
    </w:p>
    <w:p w14:paraId="4732C5B1">
      <w:pPr>
        <w:spacing w:line="540" w:lineRule="exact"/>
        <w:jc w:val="center"/>
        <w:rPr>
          <w:rFonts w:hAnsi="宋体" w:eastAsia="仿宋_GB2312" w:cs="宋体"/>
          <w:kern w:val="0"/>
          <w:sz w:val="30"/>
          <w:szCs w:val="30"/>
        </w:rPr>
      </w:pPr>
    </w:p>
    <w:p w14:paraId="18284528">
      <w:pPr>
        <w:spacing w:line="540" w:lineRule="exact"/>
        <w:jc w:val="center"/>
        <w:rPr>
          <w:rFonts w:hAnsi="宋体" w:eastAsia="仿宋_GB2312" w:cs="宋体"/>
          <w:kern w:val="0"/>
          <w:sz w:val="30"/>
          <w:szCs w:val="30"/>
        </w:rPr>
      </w:pPr>
    </w:p>
    <w:p w14:paraId="4409F317">
      <w:pPr>
        <w:spacing w:line="540" w:lineRule="exact"/>
        <w:jc w:val="center"/>
        <w:rPr>
          <w:rFonts w:hAnsi="宋体" w:eastAsia="仿宋_GB2312" w:cs="宋体"/>
          <w:kern w:val="0"/>
          <w:sz w:val="30"/>
          <w:szCs w:val="30"/>
        </w:rPr>
      </w:pPr>
    </w:p>
    <w:p w14:paraId="21497508">
      <w:pPr>
        <w:spacing w:line="540" w:lineRule="exact"/>
        <w:jc w:val="center"/>
        <w:rPr>
          <w:rFonts w:hAnsi="宋体" w:eastAsia="仿宋_GB2312" w:cs="宋体"/>
          <w:kern w:val="0"/>
          <w:sz w:val="30"/>
          <w:szCs w:val="30"/>
        </w:rPr>
      </w:pPr>
    </w:p>
    <w:p w14:paraId="7A08CC4E">
      <w:pPr>
        <w:spacing w:line="540" w:lineRule="exact"/>
        <w:jc w:val="center"/>
        <w:rPr>
          <w:rFonts w:hAnsi="宋体" w:eastAsia="仿宋_GB2312" w:cs="宋体"/>
          <w:kern w:val="0"/>
          <w:sz w:val="30"/>
          <w:szCs w:val="30"/>
        </w:rPr>
      </w:pPr>
    </w:p>
    <w:p w14:paraId="15DEEB6B">
      <w:pPr>
        <w:spacing w:line="540" w:lineRule="exact"/>
        <w:rPr>
          <w:rFonts w:hAnsi="宋体" w:eastAsia="仿宋_GB2312" w:cs="宋体"/>
          <w:kern w:val="0"/>
          <w:sz w:val="30"/>
          <w:szCs w:val="30"/>
        </w:rPr>
      </w:pPr>
    </w:p>
    <w:p w14:paraId="2648481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14C518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2023年自治区第一批地方政府债券（中医医院病房综合楼建设项目）</w:t>
      </w:r>
    </w:p>
    <w:p w14:paraId="72E3F0F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呼图壁县中医医院</w:t>
      </w:r>
    </w:p>
    <w:p w14:paraId="035E29C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呼图壁县中医医院</w:t>
      </w:r>
    </w:p>
    <w:p w14:paraId="2E53B70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黄革军</w:t>
      </w:r>
    </w:p>
    <w:p w14:paraId="608036F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2024年03月27日</w:t>
      </w:r>
    </w:p>
    <w:p w14:paraId="4B72D721">
      <w:pPr>
        <w:spacing w:line="700" w:lineRule="exact"/>
        <w:ind w:firstLine="708" w:firstLineChars="236"/>
        <w:jc w:val="left"/>
        <w:rPr>
          <w:rFonts w:hAnsi="宋体" w:eastAsia="仿宋_GB2312" w:cs="宋体"/>
          <w:kern w:val="0"/>
          <w:sz w:val="30"/>
          <w:szCs w:val="30"/>
        </w:rPr>
      </w:pPr>
    </w:p>
    <w:p w14:paraId="5AB35B4B">
      <w:pPr>
        <w:spacing w:line="540" w:lineRule="exact"/>
        <w:rPr>
          <w:rStyle w:val="18"/>
          <w:rFonts w:ascii="黑体" w:hAnsi="黑体" w:eastAsia="黑体"/>
          <w:b w:val="0"/>
          <w:spacing w:val="-4"/>
          <w:sz w:val="32"/>
          <w:szCs w:val="32"/>
        </w:rPr>
      </w:pPr>
    </w:p>
    <w:p w14:paraId="70A4C9C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352358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FB892C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根据昌州财预[2023]9号--2023年自治区第一批地方政府债券（中医医院病房综合楼建设项目）文件要求，对项目实施背景进行分析：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根据昌州财预[2023]9号--2023年自治区第一批地方政府债券（中医医院病房综合楼建设项目）文件要求，对项目实施背景进行分析：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提高我县医疗水平，提升中医药传承服务的能力与服务质量，坚持以社会主义核心价值观为引领，大力弘扬中华中医药传统文化。坚持以中医为主的办院方向、保持中医药特色优势，完善并落实各项制度，通过不断优化中医院环境形象建设，进一步改进各方面工作，坚持开展师承、新员工培训、业务学习交流培训以及全院行为规范教育等增强员工凝聚力，提升中医医疗服务水平，提高中医院创造力和核心竞争力。需要医院扩大建设，新建病房综合楼，保障居民健康及就医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中医医疗服务水平，提升了我县居民就医环境。此项目的实施，扩大了我县居民就诊人次，增加了床位数，从根本解决了居民看病难的问题。并且大力发展弘扬了我国中医传统文化，持续推进病房综合楼建设项目，同时提高信息化水平，加强信息化建设，实现医疗数据的共享和整合，提高管理效率和质量等措施，有效提高医院内部管理水平，为人民群众提供更加优质高效的医疗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本项目于2023年3月31日进行公开招标，5月22日办理完开工许可证开始正式施工，截止2023年12月底，总体工程进度已完成78%。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自治区第一批地方政府债券（中医医院病房综合楼建设项目）实施主体为呼图壁县中医医院，无下属预算单位，下设18个处室，分别是：内科、外科、疼痛科、康复针灸推拿科、妇科、皮肤科、口腔科、眼科、功能科、放射科、检验科、治未病科、院行政办、财务科、护理部、医务处、总务科、急诊科、综合治疗区、供应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2023年单位编制数32，实有在编人数 31人，其中：在职31人； 退休 1人，我院实人员总人数为193人，其中在编31人，聘用人员162人。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根据昌州财预[2023]9号文件，下达2023年自治区第一批地方政府债券（中医医院病房综合楼建设项目）</w:t>
      </w:r>
      <w:bookmarkStart w:id="0" w:name="_GoBack"/>
      <w:bookmarkEnd w:id="0"/>
      <w:r>
        <w:rPr>
          <w:rStyle w:val="18"/>
          <w:rFonts w:hint="eastAsia" w:ascii="楷体" w:hAnsi="楷体" w:eastAsia="楷体"/>
          <w:b w:val="0"/>
          <w:bCs w:val="0"/>
          <w:spacing w:val="-4"/>
          <w:sz w:val="32"/>
          <w:szCs w:val="32"/>
        </w:rPr>
        <w:t>资金，预算安排资金总额4131万元，其中财政资金4131万元、其他资金0万元，2023年实际收到预算资金4131万元，预算资金到位率为100%。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截至2023年12月31日，本项目实际支付资金3469.96万元，预算执行率84%。项目资金主要用于支付中医医院病房综合楼建设项目费用3469.96万元。</w:t>
      </w:r>
    </w:p>
    <w:p w14:paraId="57D8913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C8BD1A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新建病房综合楼，建筑面积8079.98平米，钢精混凝土基础，框架结构地下1层，地上7层；配套附属公共设施（包括病房综合楼室内外供暖、给排水管网、供配电系统、装饰装修等）；新建371.46平方米框架结构消防水池。通过该项目实施，保障医疗质量和安全，提高我县居民就医环境，以中医药事业发展新成效更好服务高质量发展、增加民生福祉、维护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“新建建筑面积（平方米）”指标，预期指标值为“8000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“项目计划完成率（%）”指标，预期指标值为“100%”；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“项目资金执行率（%）”指标，预期指标值为“100%”；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“完工及时率（%）”指标，预期指标值为“100%”；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“项目付款及时率（%）”指标，预期指标值为“100%”；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“提升中医药传承服务的能力与服务质量”指标，预期指标值为“不断提升”；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14:paraId="59D5189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B67DA6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61B556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2023年自治区第一批地方政府债券（中医医院病房综合楼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18EB94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4076C0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自治区第一批地方政府债券（中医医院病房综合楼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提升中医药传承服务的能力与服务质量、项目成本控制率、新建建筑面积（平方米）、项目计划完成率、项目资金执行率、工程付款及时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631EB9E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18707B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黄革军（呼图壁县中医医院党支部副书记、院长）任评价组组长，绩效评价工作职责为检查项目绩效指标完成情况、审定项目支出绩效评价结果及项目支出绩效评价报告。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王云江（呼图壁县中医医院党支部党组成员）任评价组副组长，绩效评价工作职责为组织和协调项目工作人员采取实地调查、资料检查等方式，核实项目绩效指标完成情况；组织受益对象对项目工作进行评价等。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马小艳（呼图壁县中医医院财务科主任）任评价组成员，绩效评价工作职责为做好项目支出绩效评价工作的沟通协调工作，对项目实施情况进行实地调查，编写项目支出绩效评价报告。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53F742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B4F174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自治区第一批地方政府债券（中医医院病房综合楼建设项目）项目的实施，缓解了我县居民就医压力，增加了床位数，从根本解决了居民看病难的问题。大力发展弘扬了我国中医传统文化，持续推进病房综合楼建设项目，实现医疗数据的共享和整合，提高医院内部管理水平，为人民群众提供更加优质高效的医疗服务。该项目预算执行率达84%，时效指标中工程完工及时率达86.67%，其他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自治区第一批地方政府债券（中医医院病房综合楼建设项目）项目的绩效目标和各项具体绩效指标实现情况进行了客观评价，最终评分为98.5分。绩效评级为“优秀”，具体得分情况为：项目决策20分、项目过程19.2分、项目产出29.3分、项目效益30分。</w:t>
      </w:r>
    </w:p>
    <w:p w14:paraId="6AAB96F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9B6360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FCEE2C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A32267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597964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分，本项目实际得分19.2分，得分率为96.00%。具体各项指标得分如下：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2.预算执行率：本项目预算较为详细，预算资金4131万元，实际执行3469.96万元，预算执行率为84%，项目资金支出总体能够按照预算执行，根据评分标准，该指标5分，得4.2分。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33628BC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CB1D2E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项目产出类指标包括产出数量、产出质量、产出时效、产出成本共四方面的内容，由6个三级指标构成，权重分为30分，本项目实际得分29.3分，得分率为97.67%。具体各项指标得分如下：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“新建建筑面积（平方米）”指标，预期指标值为“8000平方米”，根据工程进度说明可知，实际完成“8079.98平方米”，与预期目标一致，根据评分标准，该指标5分，得5分。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（1）“项目计划完成率（%）”指标，预期指标值为“100%”，根据工程进度说明可知，实际完成100%，与预期目标一致，根据评分标准，该指标5分，得5分。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（2）“项目资金执行率（%）”指标，预期指标值为“100%”，根据工程进度说明可知，实际完成“100%”，与预期目标一致，根据评分标准，该指标5分，得5分。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（1）“完工及时率（%）”指标，预期指标值为“100%”，根据工程进度说明可知，实际完成“86.67%”，与预期目标一致，根据评分标准，该指标5分，得4.3分。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（2）“项目付款及时率（%）”指标，预期指标值为“100%”，根据工程进度说明可知，实际完成“100%”，与预期目标一致，根据评分标准，该指标5分，得5分。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“项目成本控制率（%）”指标，预期指标值为“100%”，根据工程进度说明可知，实际完成“100%”，与预期目标一致，根据评分标准，该指标5分，得5分。</w:t>
      </w:r>
    </w:p>
    <w:p w14:paraId="6188711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E686F6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“提升中医药传承服务的能力与服务质量”指标，预期指标值为“不断提升”，根据工作资料可知，实际完成值为“不断提升”，根据评分标准，该指标30分，得30分。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14:paraId="2ECDFB4F">
      <w:pPr>
        <w:spacing w:line="540" w:lineRule="exact"/>
        <w:ind w:firstLine="567"/>
        <w:rPr>
          <w:rStyle w:val="18"/>
          <w:rFonts w:ascii="楷体" w:hAnsi="楷体" w:eastAsia="楷体"/>
          <w:spacing w:val="-4"/>
          <w:sz w:val="32"/>
          <w:szCs w:val="32"/>
        </w:rPr>
      </w:pPr>
    </w:p>
    <w:p w14:paraId="6C5022D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2CA3C3D">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预算执行进度与绩效指标偏差情况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本项目预算资金4131万元，实际执行3469.96万元，预算执行率为84%。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此工程施工单位工人较少，造成工程进度缓慢。计划与预期目标不一致，又因预算资金按照工程进度支付，所以预算资金为执行完。</w:t>
      </w:r>
    </w:p>
    <w:p w14:paraId="7C56AB8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50CA3D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4A13A32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4FFBC06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49E5A31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7BE9F9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08B40685">
      <w:pPr>
        <w:spacing w:line="540" w:lineRule="exact"/>
        <w:ind w:firstLine="567"/>
        <w:rPr>
          <w:rStyle w:val="18"/>
          <w:rFonts w:ascii="仿宋" w:hAnsi="仿宋" w:eastAsia="仿宋"/>
          <w:b w:val="0"/>
          <w:spacing w:val="-4"/>
          <w:sz w:val="32"/>
          <w:szCs w:val="32"/>
        </w:rPr>
      </w:pPr>
    </w:p>
    <w:p w14:paraId="4AD558DA">
      <w:pPr>
        <w:spacing w:line="540" w:lineRule="exact"/>
        <w:ind w:firstLine="567"/>
        <w:rPr>
          <w:rStyle w:val="18"/>
          <w:rFonts w:ascii="仿宋" w:hAnsi="仿宋" w:eastAsia="仿宋"/>
          <w:b w:val="0"/>
          <w:spacing w:val="-4"/>
          <w:sz w:val="32"/>
          <w:szCs w:val="32"/>
        </w:rPr>
      </w:pPr>
    </w:p>
    <w:p w14:paraId="646A4F5F">
      <w:pPr>
        <w:spacing w:line="540" w:lineRule="exact"/>
        <w:ind w:firstLine="567"/>
        <w:rPr>
          <w:rStyle w:val="18"/>
          <w:rFonts w:ascii="仿宋" w:hAnsi="仿宋" w:eastAsia="仿宋"/>
          <w:b w:val="0"/>
          <w:spacing w:val="-4"/>
          <w:sz w:val="32"/>
          <w:szCs w:val="32"/>
        </w:rPr>
      </w:pPr>
    </w:p>
    <w:p w14:paraId="3FFA2C67">
      <w:pPr>
        <w:spacing w:line="540" w:lineRule="exact"/>
        <w:ind w:firstLine="567"/>
        <w:rPr>
          <w:rStyle w:val="18"/>
          <w:rFonts w:ascii="仿宋" w:hAnsi="仿宋" w:eastAsia="仿宋"/>
          <w:b w:val="0"/>
          <w:spacing w:val="-4"/>
          <w:sz w:val="32"/>
          <w:szCs w:val="32"/>
        </w:rPr>
      </w:pPr>
    </w:p>
    <w:p w14:paraId="1E98854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433C1D4">
        <w:pPr>
          <w:pStyle w:val="12"/>
          <w:jc w:val="center"/>
        </w:pPr>
        <w:r>
          <w:fldChar w:fldCharType="begin"/>
        </w:r>
        <w:r>
          <w:instrText xml:space="preserve">PAGE   \* MERGEFORMAT</w:instrText>
        </w:r>
        <w:r>
          <w:fldChar w:fldCharType="separate"/>
        </w:r>
        <w:r>
          <w:rPr>
            <w:lang w:val="zh-CN"/>
          </w:rPr>
          <w:t>2</w:t>
        </w:r>
        <w:r>
          <w:fldChar w:fldCharType="end"/>
        </w:r>
      </w:p>
    </w:sdtContent>
  </w:sdt>
  <w:p w14:paraId="20DE53A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3E520923"/>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7368</Words>
  <Characters>7706</Characters>
  <Lines>4</Lines>
  <Paragraphs>1</Paragraphs>
  <TotalTime>5</TotalTime>
  <ScaleCrop>false</ScaleCrop>
  <LinksUpToDate>false</LinksUpToDate>
  <CharactersWithSpaces>7739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2024-08-14T08:50:35Z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