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C863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55EB9D9">
      <w:pPr>
        <w:spacing w:line="540" w:lineRule="exact"/>
        <w:jc w:val="center"/>
        <w:rPr>
          <w:rFonts w:ascii="华文中宋" w:hAnsi="华文中宋" w:eastAsia="华文中宋" w:cs="宋体"/>
          <w:b/>
          <w:kern w:val="0"/>
          <w:sz w:val="52"/>
          <w:szCs w:val="52"/>
        </w:rPr>
      </w:pPr>
    </w:p>
    <w:p w14:paraId="7299199A">
      <w:pPr>
        <w:spacing w:line="540" w:lineRule="exact"/>
        <w:jc w:val="center"/>
        <w:rPr>
          <w:rFonts w:ascii="华文中宋" w:hAnsi="华文中宋" w:eastAsia="华文中宋" w:cs="宋体"/>
          <w:b/>
          <w:kern w:val="0"/>
          <w:sz w:val="52"/>
          <w:szCs w:val="52"/>
        </w:rPr>
      </w:pPr>
    </w:p>
    <w:p w14:paraId="48AA50E5">
      <w:pPr>
        <w:spacing w:line="540" w:lineRule="exact"/>
        <w:jc w:val="center"/>
        <w:rPr>
          <w:rFonts w:ascii="华文中宋" w:hAnsi="华文中宋" w:eastAsia="华文中宋" w:cs="宋体"/>
          <w:b/>
          <w:kern w:val="0"/>
          <w:sz w:val="52"/>
          <w:szCs w:val="52"/>
        </w:rPr>
      </w:pPr>
    </w:p>
    <w:p w14:paraId="637EAE9E">
      <w:pPr>
        <w:spacing w:line="540" w:lineRule="exact"/>
        <w:jc w:val="center"/>
        <w:rPr>
          <w:rFonts w:ascii="华文中宋" w:hAnsi="华文中宋" w:eastAsia="华文中宋" w:cs="宋体"/>
          <w:b/>
          <w:kern w:val="0"/>
          <w:sz w:val="52"/>
          <w:szCs w:val="52"/>
        </w:rPr>
      </w:pPr>
    </w:p>
    <w:p w14:paraId="12A777ED">
      <w:pPr>
        <w:spacing w:line="540" w:lineRule="exact"/>
        <w:jc w:val="center"/>
        <w:rPr>
          <w:rFonts w:ascii="华文中宋" w:hAnsi="华文中宋" w:eastAsia="华文中宋" w:cs="宋体"/>
          <w:b/>
          <w:kern w:val="0"/>
          <w:sz w:val="52"/>
          <w:szCs w:val="52"/>
        </w:rPr>
      </w:pPr>
    </w:p>
    <w:p w14:paraId="344C2CCA">
      <w:pPr>
        <w:spacing w:line="540" w:lineRule="exact"/>
        <w:jc w:val="center"/>
        <w:rPr>
          <w:rFonts w:ascii="华文中宋" w:hAnsi="华文中宋" w:eastAsia="华文中宋" w:cs="宋体"/>
          <w:b/>
          <w:kern w:val="0"/>
          <w:sz w:val="52"/>
          <w:szCs w:val="52"/>
        </w:rPr>
      </w:pPr>
    </w:p>
    <w:p w14:paraId="7A37860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8CB3B2">
      <w:pPr>
        <w:spacing w:line="540" w:lineRule="exact"/>
        <w:jc w:val="center"/>
        <w:rPr>
          <w:rFonts w:ascii="华文中宋" w:hAnsi="华文中宋" w:eastAsia="华文中宋" w:cs="宋体"/>
          <w:b/>
          <w:kern w:val="0"/>
          <w:sz w:val="52"/>
          <w:szCs w:val="52"/>
        </w:rPr>
      </w:pPr>
    </w:p>
    <w:p w14:paraId="5440CAB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40D5E84">
      <w:pPr>
        <w:spacing w:line="540" w:lineRule="exact"/>
        <w:jc w:val="center"/>
        <w:rPr>
          <w:rFonts w:hAnsi="宋体" w:eastAsia="仿宋_GB2312" w:cs="宋体"/>
          <w:kern w:val="0"/>
          <w:sz w:val="30"/>
          <w:szCs w:val="30"/>
        </w:rPr>
      </w:pPr>
    </w:p>
    <w:p w14:paraId="5EFF72E3">
      <w:pPr>
        <w:spacing w:line="540" w:lineRule="exact"/>
        <w:jc w:val="center"/>
        <w:rPr>
          <w:rFonts w:hAnsi="宋体" w:eastAsia="仿宋_GB2312" w:cs="宋体"/>
          <w:kern w:val="0"/>
          <w:sz w:val="30"/>
          <w:szCs w:val="30"/>
        </w:rPr>
      </w:pPr>
    </w:p>
    <w:p w14:paraId="5EC0D847">
      <w:pPr>
        <w:spacing w:line="540" w:lineRule="exact"/>
        <w:jc w:val="center"/>
        <w:rPr>
          <w:rFonts w:hAnsi="宋体" w:eastAsia="仿宋_GB2312" w:cs="宋体"/>
          <w:kern w:val="0"/>
          <w:sz w:val="30"/>
          <w:szCs w:val="30"/>
        </w:rPr>
      </w:pPr>
    </w:p>
    <w:p w14:paraId="747460B4">
      <w:pPr>
        <w:spacing w:line="540" w:lineRule="exact"/>
        <w:jc w:val="center"/>
        <w:rPr>
          <w:rFonts w:hAnsi="宋体" w:eastAsia="仿宋_GB2312" w:cs="宋体"/>
          <w:kern w:val="0"/>
          <w:sz w:val="30"/>
          <w:szCs w:val="30"/>
        </w:rPr>
      </w:pPr>
    </w:p>
    <w:p w14:paraId="07D7414F">
      <w:pPr>
        <w:spacing w:line="540" w:lineRule="exact"/>
        <w:jc w:val="center"/>
        <w:rPr>
          <w:rFonts w:hAnsi="宋体" w:eastAsia="仿宋_GB2312" w:cs="宋体"/>
          <w:kern w:val="0"/>
          <w:sz w:val="30"/>
          <w:szCs w:val="30"/>
        </w:rPr>
      </w:pPr>
    </w:p>
    <w:p w14:paraId="68B7A0F2">
      <w:pPr>
        <w:spacing w:line="540" w:lineRule="exact"/>
        <w:jc w:val="center"/>
        <w:rPr>
          <w:rFonts w:hAnsi="宋体" w:eastAsia="仿宋_GB2312" w:cs="宋体"/>
          <w:kern w:val="0"/>
          <w:sz w:val="30"/>
          <w:szCs w:val="30"/>
        </w:rPr>
      </w:pPr>
    </w:p>
    <w:p w14:paraId="26C08532">
      <w:pPr>
        <w:spacing w:line="540" w:lineRule="exact"/>
        <w:rPr>
          <w:rFonts w:hAnsi="宋体" w:eastAsia="仿宋_GB2312" w:cs="宋体"/>
          <w:kern w:val="0"/>
          <w:sz w:val="30"/>
          <w:szCs w:val="30"/>
        </w:rPr>
      </w:pPr>
    </w:p>
    <w:p w14:paraId="69594CD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1F4F31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特定目标类运转工作经费</w:t>
      </w:r>
    </w:p>
    <w:p w14:paraId="25BE939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呼图壁县人民政府办公室</w:t>
      </w:r>
    </w:p>
    <w:p w14:paraId="21A4FAE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呼图壁县人民政府办公室</w:t>
      </w:r>
    </w:p>
    <w:p w14:paraId="5E7910F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张伟</w:t>
      </w:r>
    </w:p>
    <w:p w14:paraId="56AE2B8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2024年03月29日</w:t>
      </w:r>
    </w:p>
    <w:p w14:paraId="7A75342A">
      <w:pPr>
        <w:spacing w:line="700" w:lineRule="exact"/>
        <w:ind w:firstLine="708" w:firstLineChars="236"/>
        <w:jc w:val="left"/>
        <w:rPr>
          <w:rFonts w:hAnsi="宋体" w:eastAsia="仿宋_GB2312" w:cs="宋体"/>
          <w:kern w:val="0"/>
          <w:sz w:val="30"/>
          <w:szCs w:val="30"/>
        </w:rPr>
      </w:pPr>
    </w:p>
    <w:p w14:paraId="5BFA95FE">
      <w:pPr>
        <w:spacing w:line="540" w:lineRule="exact"/>
        <w:rPr>
          <w:rStyle w:val="18"/>
          <w:rFonts w:ascii="黑体" w:hAnsi="黑体" w:eastAsia="黑体"/>
          <w:b w:val="0"/>
          <w:spacing w:val="-4"/>
          <w:sz w:val="32"/>
          <w:szCs w:val="32"/>
        </w:rPr>
      </w:pPr>
    </w:p>
    <w:p w14:paraId="51D8905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F7ED08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C67362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要求，督促检查贯彻执行中央、国务院和自治区、自治州、县党委、政府重要文件、县人民政府会议决定事项及重要批示的落实情况并跟踪调研，及时向县人民政府领导同志报告；负责督查落实上级及本级人民政府重大决策和重要工作部署；负责县人民政府领导督促检查的服务工作和组织协调工作；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预算下达文件要求，督促检查贯彻执行中央、国务院和自治区、自治州、县党委、政府重要文件、县人民政府会议决定事项及重要批示的落实情况并跟踪调研，及时向县人民政府领导同志报告；负责督查落实上级及本级人民政府重大决策和重要工作部署；负责县人民政府领导督促检查的服务工作和组织协调工作；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本项目于2023年1月开始实施，截止2023年12月已全部完成，通过本项目的实施，确保单位各项工作顺利开展。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2023年工作经费项目的实施主体为呼图壁县人民政府办公室，该单位纳入2023年部门决算编制范围的有7个科室，分别是：文书科、行政管理科、综合科、政务信息科、政务服务科、督查科、外事科。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编制数51人，实有人数73人，其中：在职人数55人，增加2人；退休18人，增加1人；离休0人，减少1人。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根据预算下达文件，下达2023年工作经费项目资金，预算安排资金总额</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万元，其中财政资金</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万元、其他资金0万元，2023年实际收到预算资金</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万元，预算执行率</w:t>
      </w:r>
      <w:bookmarkStart w:id="0" w:name="_GoBack"/>
      <w:bookmarkEnd w:id="0"/>
      <w:r>
        <w:rPr>
          <w:rStyle w:val="18"/>
          <w:rFonts w:hint="eastAsia" w:ascii="楷体" w:hAnsi="楷体" w:eastAsia="楷体"/>
          <w:b w:val="0"/>
          <w:bCs w:val="0"/>
          <w:spacing w:val="-4"/>
          <w:sz w:val="32"/>
          <w:szCs w:val="32"/>
          <w:lang w:eastAsia="zh-CN"/>
        </w:rPr>
        <w:t>100</w:t>
      </w:r>
      <w:r>
        <w:rPr>
          <w:rStyle w:val="18"/>
          <w:rFonts w:hint="eastAsia" w:ascii="楷体" w:hAnsi="楷体" w:eastAsia="楷体"/>
          <w:b w:val="0"/>
          <w:bCs w:val="0"/>
          <w:spacing w:val="-4"/>
          <w:sz w:val="32"/>
          <w:szCs w:val="32"/>
        </w:rPr>
        <w:t>%。项目资金主要用于保障单位机关正常运转，日常办公、车辆运行等费用。</w:t>
      </w:r>
    </w:p>
    <w:p w14:paraId="59A6829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7CD8E9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总体目标为根据预算下达文件要求，督促检查贯彻执行中央、国务院和自治区、自治州、县党委、政府重要文件、县人民政府会议决定事项及重要批示的落实情况并跟踪调研，及时向县人民政府领导同志报告；负责督查落实上级及本级人民政府重大决策和重要工作部署；负责县人民政府领导督促检查的服务工作和组织协调工作；保障机关正常运转，日常办公、车辆运行等费用，调动干部职工积极性，达到预期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“完成信息发布数量”指标，预期指标值为“≥2500条”；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“保障车辆数量”指标，预期指标值为“≥11辆”；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“各项工作完成及时率”指标，预期指标值为“=100%”；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“工作经费”指标，预期指标值为“≤120万元”；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“增强综合服务意识”指标，预期指标值为“显著增强”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“干部职工满意度”指标：预期指标值为≥95%。</w:t>
      </w:r>
    </w:p>
    <w:p w14:paraId="79302D2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B7F492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8A85F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工作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EB435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3FE7E6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工作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B28D4A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F3195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张伟（县政府办主任）任评价组组长，绩效评价工作职责为检查项目绩效指标完成情况、审定项目支出绩效评价结果及项目支出绩效评价报告。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蔡建勇（县政府办副主任）任评价组副组长，绩效评价工作职责为组织和协调项目工作人员采取实地调查、资料检查等方式，核实项目绩效指标完成情况；组织受益对象对项目工作进行评价等。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孙殿萍（县政府办干部）任评价组成员，绩效评价工作职责为做好项目支出绩效评价工作的沟通协调工作，对项目实施情况进行实地调查，编写项目支出绩效评价报告。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7DF1D9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9FE91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通过工作经费项目的实施，解决了县政府办工作经费困难，提高了工作水平，提升了办事能力，该项目预算执行率达87%，项目预期绩效目标及各项具体指标均已全部达成。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工作经费项目的绩效目标和各项具体绩效指标实现情况进行了客观评价，最终评分为99.54分。绩效评级为“良好”，具体得分情况为：项目决策20分、项目过程19.8分、项目产出29.74分、项目效益30分。</w:t>
      </w:r>
    </w:p>
    <w:p w14:paraId="228D892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3350EC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7D00F8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项目决策类指标从项目立项、绩效目标和资金投入三个方面评价项目前期准备工作，权重分值为20分，本项目实际得分20分，得分率为100%。具体各项指标得分如下：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F5F612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37BFB4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项目过程类指标包括资金管理和组织实施两方面的内容，由5个三级指标构成，权重分值为20分，本项目实际得分19.8分，得分率为99.00%。具体各项指标得分如下：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1.资金到位率：该项目所需财政资金能够足额拨付到位，根据评分标准，该指标5分，得5分。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万元，实际执行</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eastAsia="zh-CN"/>
        </w:rPr>
        <w:t>100</w:t>
      </w:r>
      <w:r>
        <w:rPr>
          <w:rStyle w:val="18"/>
          <w:rFonts w:hint="eastAsia" w:ascii="楷体" w:hAnsi="楷体" w:eastAsia="楷体"/>
          <w:b w:val="0"/>
          <w:bCs w:val="0"/>
          <w:spacing w:val="-4"/>
          <w:sz w:val="32"/>
          <w:szCs w:val="32"/>
        </w:rPr>
        <w:t>%，项目资金支出总体能够按照预算执行，根据评分标准，该指标5分，得4.8分。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3.资金使用合规性：项目任务下达后，我单位制定了《呼图壁县人民政府办公室条块化管理分工方案》制度和管理规定对经费使用进行规范管理，财务制度健全、执行严格，根据评分标准，该指标5分，得5分。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4.管理制度健全性：我单位制定了《呼图壁县人民政府办公室条块化管理分工方案》等相关项目管理办法，同时对财政专项资金进行严格管理，基本做到了专款专用，根据评分标准，该指标2分，得2分。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ECF453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91A0E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项目产出类指标包括产出数量、产出质量、产出时效、产出成本共四方面的内容，由6个三级指标构成，权重分为30分，本项目实际得分29.74分，得分率为99.13%。具体各项指标得分如下：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“完成信息发布数量”指标，预期指标值为“≥2500条”，实际完成2530条，与预期目标一致，根据评分标准，该指标2分，得2分。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“保障车辆数量”指标，预期指标值为“≥11辆”，实际完成11辆，与预期目标一致，根据评分标准，该指标2分，得2分。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“工作质量达标率”指标，预期指标值为“≥95%”，实际完成100%，与预期目标一致，根据评分标准，该指标1分，得1分。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“各项工作完成及时率”指标，预期指标值为“=100%”，实际完成100%，与预期目标一致，根据评分标准，该指标2分，得2分。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“工作经费”指标，预期指标值为“≤120万元”，实际完成104万元，与预期目标一致，根据评分标准，完成87%，该指标2分，得1.74分。因财政资金紧张，资金未拨付到位。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“项目成本控制率”预期指标值为“=100%”，实际完成100万元，与预期目标一致，根据评分标准，完成100%，该指标1分，得1分。</w:t>
      </w:r>
    </w:p>
    <w:p w14:paraId="7812B99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C90ADF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“增强综合服务意识”指标，预期指标值为“显著增强”，实际完成值为“显著增强”，根据评分标准，该指标15分，得15分。</w:t>
      </w:r>
    </w:p>
    <w:p w14:paraId="7C7A9AA1">
      <w:pPr>
        <w:spacing w:line="540" w:lineRule="exact"/>
        <w:ind w:firstLine="567"/>
        <w:rPr>
          <w:rStyle w:val="18"/>
          <w:rFonts w:ascii="楷体" w:hAnsi="楷体" w:eastAsia="楷体"/>
          <w:spacing w:val="-4"/>
          <w:sz w:val="32"/>
          <w:szCs w:val="32"/>
        </w:rPr>
      </w:pPr>
    </w:p>
    <w:p w14:paraId="212B40B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CD2A57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县政府办工作经费项目预算金额</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万元，实际到位</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万元，实际支出</w:t>
      </w:r>
      <w:r>
        <w:rPr>
          <w:rStyle w:val="18"/>
          <w:rFonts w:hint="eastAsia" w:ascii="楷体" w:hAnsi="楷体" w:eastAsia="楷体"/>
          <w:b w:val="0"/>
          <w:bCs w:val="0"/>
          <w:spacing w:val="-4"/>
          <w:sz w:val="32"/>
          <w:szCs w:val="32"/>
          <w:lang w:eastAsia="zh-CN"/>
        </w:rPr>
        <w:t>120</w:t>
      </w:r>
      <w:r>
        <w:rPr>
          <w:rStyle w:val="18"/>
          <w:rFonts w:hint="eastAsia" w:ascii="楷体" w:hAnsi="楷体" w:eastAsia="楷体"/>
          <w:b w:val="0"/>
          <w:bCs w:val="0"/>
          <w:spacing w:val="-4"/>
          <w:sz w:val="32"/>
          <w:szCs w:val="32"/>
        </w:rPr>
        <w:t>万元，预算执行率为</w:t>
      </w:r>
      <w:r>
        <w:rPr>
          <w:rStyle w:val="18"/>
          <w:rFonts w:hint="eastAsia" w:ascii="楷体" w:hAnsi="楷体" w:eastAsia="楷体"/>
          <w:b w:val="0"/>
          <w:bCs w:val="0"/>
          <w:spacing w:val="-4"/>
          <w:sz w:val="32"/>
          <w:szCs w:val="32"/>
          <w:lang w:eastAsia="zh-CN"/>
        </w:rPr>
        <w:t>100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该项目预算执行偏差率为4.72%，原因为预算资金未足额拨付。</w:t>
      </w:r>
    </w:p>
    <w:p w14:paraId="23FC45C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51CBB4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严格按照年初预算以及单位年度工作计划执行预算，做到专款专用、科学管理，每笔开支都有相关经办人员签字，做到程序规范，开支合理，勤俭节约，最大限度的提高项目经费的使用效率，保证了项目的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内部预算绩效职责不清，工作安排不到位，部分部门是财务科室独自完成项目的绩效申报、监控、自评。由于有些财务科室缺乏专业人员，缺少业务科室的协调配合，承担了本该由业务部门承担的绩效工作，简单地将绩效目标制定、跟踪监控等专业性工作归口于财务人员，没有专人承担绩效管理职责，导致业务管理与绩效管理脱节，弱化了实施预算绩效管理的最基本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2.绩效管理不到位，对预算单位绩效评价审核不严，预算单位绩效目标存在填报内容不规范、不完整，个性指标设置不够细化、项目资金执行率较低。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3.预算编制不全面。工作中缺乏积极主动性，年初预算时只预算人员经费及定额公用经费未将弹性支出纳入预算，导致预算准确率不高。</w:t>
      </w:r>
    </w:p>
    <w:p w14:paraId="46FD11E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8BC8BA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完善预算绩效管理制度。建立健全各环节管理办法，制定预算绩效管理工作流程和实施细则，增强实用性和可操作性。建立专家咨询机制，积极探索引人第三方机构参与预算绩效管理的办法，严格执业质量监督管理。创新绩效评估评价方法，提高绩效评价结果的客观性和准确性。利用现代科学技术手段，将内部控制制度嵌入到预算绩效管理全过程，加强风险管理，优化指标体系，促进预算绩效管理的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强化全面预算绩效理念培养。应将预算绩效理念贯穿于全面预算管理的全过程；实施全面预算绩效管理，不仅要关注当年预算资金支出效果，还应当将当年预算资金与跨年度预算资金、财政的中长期规划和年度目标结合起来；实施全面预算绩效管理，要明确资金使用单位和部门职责，强化责任意识。让“花钱必问效，无效必问责”的理念深入人心，让各预算部门、单位主动自觉参与到预算绩效管理的工作中来，并在各预算部门、单位中形成预算绩效文化，真正实现全面预算绩效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健全完善绩效管理指标体系。制定科学合理的统一指标体系，制定个性指标体系。绩效管理指标体系的建立是一项复杂的工程，财政部门和预算单位要加强协作配合，结合单位实际情况，准确抓住核心指标，要针对不同项目的特点，设计出科学适用的个性指标体系。</w:t>
      </w:r>
    </w:p>
    <w:p w14:paraId="03BFF8B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59FE72E">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63BEE88">
        <w:pPr>
          <w:pStyle w:val="12"/>
          <w:jc w:val="center"/>
        </w:pPr>
        <w:r>
          <w:fldChar w:fldCharType="begin"/>
        </w:r>
        <w:r>
          <w:instrText xml:space="preserve">PAGE   \* MERGEFORMAT</w:instrText>
        </w:r>
        <w:r>
          <w:fldChar w:fldCharType="separate"/>
        </w:r>
        <w:r>
          <w:rPr>
            <w:lang w:val="zh-CN"/>
          </w:rPr>
          <w:t>2</w:t>
        </w:r>
        <w:r>
          <w:fldChar w:fldCharType="end"/>
        </w:r>
      </w:p>
    </w:sdtContent>
  </w:sdt>
  <w:p w14:paraId="0C68579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2454C9C"/>
    <w:rsid w:val="53A616BE"/>
    <w:rsid w:val="54662BFB"/>
    <w:rsid w:val="5834153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6508</Words>
  <Characters>6787</Characters>
  <Lines>4</Lines>
  <Paragraphs>1</Paragraphs>
  <TotalTime>4</TotalTime>
  <ScaleCrop>false</ScaleCrop>
  <LinksUpToDate>false</LinksUpToDate>
  <CharactersWithSpaces>6804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2024-08-15T08:33:15Z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