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B3C6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E48A009">
      <w:pPr>
        <w:spacing w:line="540" w:lineRule="exact"/>
        <w:jc w:val="center"/>
        <w:rPr>
          <w:rFonts w:ascii="华文中宋" w:hAnsi="华文中宋" w:eastAsia="华文中宋" w:cs="宋体"/>
          <w:b/>
          <w:kern w:val="0"/>
          <w:sz w:val="52"/>
          <w:szCs w:val="52"/>
        </w:rPr>
      </w:pPr>
    </w:p>
    <w:p w14:paraId="7828DCA6">
      <w:pPr>
        <w:spacing w:line="540" w:lineRule="exact"/>
        <w:jc w:val="center"/>
        <w:rPr>
          <w:rFonts w:ascii="华文中宋" w:hAnsi="华文中宋" w:eastAsia="华文中宋" w:cs="宋体"/>
          <w:b/>
          <w:kern w:val="0"/>
          <w:sz w:val="52"/>
          <w:szCs w:val="52"/>
        </w:rPr>
      </w:pPr>
    </w:p>
    <w:p w14:paraId="7058B456">
      <w:pPr>
        <w:spacing w:line="540" w:lineRule="exact"/>
        <w:jc w:val="center"/>
        <w:rPr>
          <w:rFonts w:ascii="华文中宋" w:hAnsi="华文中宋" w:eastAsia="华文中宋" w:cs="宋体"/>
          <w:b/>
          <w:kern w:val="0"/>
          <w:sz w:val="52"/>
          <w:szCs w:val="52"/>
        </w:rPr>
      </w:pPr>
    </w:p>
    <w:p w14:paraId="00D37896">
      <w:pPr>
        <w:spacing w:line="540" w:lineRule="exact"/>
        <w:jc w:val="center"/>
        <w:rPr>
          <w:rFonts w:ascii="华文中宋" w:hAnsi="华文中宋" w:eastAsia="华文中宋" w:cs="宋体"/>
          <w:b/>
          <w:kern w:val="0"/>
          <w:sz w:val="52"/>
          <w:szCs w:val="52"/>
        </w:rPr>
      </w:pPr>
    </w:p>
    <w:p w14:paraId="0C94AFAB">
      <w:pPr>
        <w:spacing w:line="540" w:lineRule="exact"/>
        <w:jc w:val="center"/>
        <w:rPr>
          <w:rFonts w:ascii="华文中宋" w:hAnsi="华文中宋" w:eastAsia="华文中宋" w:cs="宋体"/>
          <w:b/>
          <w:kern w:val="0"/>
          <w:sz w:val="52"/>
          <w:szCs w:val="52"/>
        </w:rPr>
      </w:pPr>
    </w:p>
    <w:p w14:paraId="78A68DFE">
      <w:pPr>
        <w:spacing w:line="540" w:lineRule="exact"/>
        <w:jc w:val="center"/>
        <w:rPr>
          <w:rFonts w:ascii="华文中宋" w:hAnsi="华文中宋" w:eastAsia="华文中宋" w:cs="宋体"/>
          <w:b/>
          <w:kern w:val="0"/>
          <w:sz w:val="52"/>
          <w:szCs w:val="52"/>
        </w:rPr>
      </w:pPr>
    </w:p>
    <w:p w14:paraId="2E2B2E7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F1417A9">
      <w:pPr>
        <w:spacing w:line="540" w:lineRule="exact"/>
        <w:jc w:val="center"/>
        <w:rPr>
          <w:rFonts w:ascii="华文中宋" w:hAnsi="华文中宋" w:eastAsia="华文中宋" w:cs="宋体"/>
          <w:b/>
          <w:kern w:val="0"/>
          <w:sz w:val="52"/>
          <w:szCs w:val="52"/>
        </w:rPr>
      </w:pPr>
    </w:p>
    <w:p w14:paraId="2050DD7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0882C2D">
      <w:pPr>
        <w:spacing w:line="540" w:lineRule="exact"/>
        <w:jc w:val="center"/>
        <w:rPr>
          <w:rFonts w:hAnsi="宋体" w:eastAsia="仿宋_GB2312" w:cs="宋体"/>
          <w:kern w:val="0"/>
          <w:sz w:val="30"/>
          <w:szCs w:val="30"/>
        </w:rPr>
      </w:pPr>
    </w:p>
    <w:p w14:paraId="424AFAEC">
      <w:pPr>
        <w:spacing w:line="540" w:lineRule="exact"/>
        <w:jc w:val="center"/>
        <w:rPr>
          <w:rFonts w:hAnsi="宋体" w:eastAsia="仿宋_GB2312" w:cs="宋体"/>
          <w:kern w:val="0"/>
          <w:sz w:val="30"/>
          <w:szCs w:val="30"/>
        </w:rPr>
      </w:pPr>
    </w:p>
    <w:p w14:paraId="3B046A30">
      <w:pPr>
        <w:spacing w:line="540" w:lineRule="exact"/>
        <w:jc w:val="center"/>
        <w:rPr>
          <w:rFonts w:hAnsi="宋体" w:eastAsia="仿宋_GB2312" w:cs="宋体"/>
          <w:kern w:val="0"/>
          <w:sz w:val="30"/>
          <w:szCs w:val="30"/>
        </w:rPr>
      </w:pPr>
    </w:p>
    <w:p w14:paraId="5F3F8D33">
      <w:pPr>
        <w:spacing w:line="540" w:lineRule="exact"/>
        <w:jc w:val="center"/>
        <w:rPr>
          <w:rFonts w:hAnsi="宋体" w:eastAsia="仿宋_GB2312" w:cs="宋体"/>
          <w:kern w:val="0"/>
          <w:sz w:val="30"/>
          <w:szCs w:val="30"/>
        </w:rPr>
      </w:pPr>
    </w:p>
    <w:p w14:paraId="6D9F83F2">
      <w:pPr>
        <w:spacing w:line="540" w:lineRule="exact"/>
        <w:jc w:val="center"/>
        <w:rPr>
          <w:rFonts w:hAnsi="宋体" w:eastAsia="仿宋_GB2312" w:cs="宋体"/>
          <w:kern w:val="0"/>
          <w:sz w:val="30"/>
          <w:szCs w:val="30"/>
        </w:rPr>
      </w:pPr>
    </w:p>
    <w:p w14:paraId="5CFF6F30">
      <w:pPr>
        <w:spacing w:line="540" w:lineRule="exact"/>
        <w:jc w:val="center"/>
        <w:rPr>
          <w:rFonts w:hAnsi="宋体" w:eastAsia="仿宋_GB2312" w:cs="宋体"/>
          <w:kern w:val="0"/>
          <w:sz w:val="30"/>
          <w:szCs w:val="30"/>
        </w:rPr>
      </w:pPr>
    </w:p>
    <w:p w14:paraId="1E166412">
      <w:pPr>
        <w:spacing w:line="540" w:lineRule="exact"/>
        <w:rPr>
          <w:rFonts w:hAnsi="宋体" w:eastAsia="仿宋_GB2312" w:cs="宋体"/>
          <w:kern w:val="0"/>
          <w:sz w:val="30"/>
          <w:szCs w:val="30"/>
        </w:rPr>
      </w:pPr>
    </w:p>
    <w:p w14:paraId="3885480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5F0891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2023年中央农业经营主体能力提升资金</w:t>
      </w:r>
    </w:p>
    <w:p w14:paraId="33DBF4E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呼图壁县农业技术推广站</w:t>
      </w:r>
    </w:p>
    <w:p w14:paraId="277CEE3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呼图壁县农业技术推广站</w:t>
      </w:r>
    </w:p>
    <w:p w14:paraId="435CF0D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买力开</w:t>
      </w:r>
    </w:p>
    <w:p w14:paraId="13D3155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2024年03月29日</w:t>
      </w:r>
    </w:p>
    <w:p w14:paraId="3A862433">
      <w:pPr>
        <w:spacing w:line="700" w:lineRule="exact"/>
        <w:ind w:firstLine="708" w:firstLineChars="236"/>
        <w:jc w:val="left"/>
        <w:rPr>
          <w:rFonts w:hAnsi="宋体" w:eastAsia="仿宋_GB2312" w:cs="宋体"/>
          <w:kern w:val="0"/>
          <w:sz w:val="30"/>
          <w:szCs w:val="30"/>
        </w:rPr>
      </w:pPr>
    </w:p>
    <w:p w14:paraId="6AB88FA9">
      <w:pPr>
        <w:spacing w:line="540" w:lineRule="exact"/>
        <w:rPr>
          <w:rStyle w:val="18"/>
          <w:rFonts w:ascii="黑体" w:hAnsi="黑体" w:eastAsia="黑体"/>
          <w:b w:val="0"/>
          <w:spacing w:val="-4"/>
          <w:sz w:val="32"/>
          <w:szCs w:val="32"/>
        </w:rPr>
      </w:pPr>
    </w:p>
    <w:p w14:paraId="71F239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596AAB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79BC0E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按照《昌州财农【2023】22号-2023年中央农业经营主体能力提升资金》要求，认真组织开展了2023年度基层农技推广体系改革与建设项目资金项目评价。根据（昌州财农〔2023〕22号）文件，下达2023年基层农技推广体系改革与建设项目补助资金总额</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按照下达的总体目标全部完成。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收到资金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下达预算情况   项目资金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 xml:space="preserve"> 万元，全部为中央下达资金。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下达绩效目标情况  村级特聘计划2.88万元；村级农业技术综合服务站建设15万元；提升基层农技推广队伍素质能力5万元；培育农业科技示范主体5万元；农业科技示范基地建设40万元；农技推广信息化工作0.14万元；农业先进技术推广应用0.8</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2023年基层农技推广体系改革与建设项目资金项目的实施主体为呼图壁县农业技术推广站，该单位纳入2023年部门决算编制范围的有4个科室，分别是：行政办公室，栽培室，土肥室，植保室，财务室，园艺室室等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编制人数为17人，其中：管理岗3人、工勤1人、专业技术岗13人。实有在职人数17人，其中：管理岗3人、工勤1人、推广研究员4人、高级农艺师7人。中级农艺师2人。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根据（昌州财农〔2023〕22号）文件，下达2023年基层农技推广体系改革与建设项目资金总额</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万元，2023年实际收到资金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截至2023年11月20日，本项目实际支付资金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万元，预算执行率100 %。（1）2023年计划特聘农技员3名，村级特聘员计划补助2.88万元。（2）建设1个村级农业技术服务站15万元。（3）提升基层农技推广队伍素质能力补助5万元。（4）培育农业科技示范主体补助</w:t>
      </w:r>
      <w:bookmarkStart w:id="0" w:name="_GoBack"/>
      <w:bookmarkEnd w:id="0"/>
      <w:r>
        <w:rPr>
          <w:rStyle w:val="18"/>
          <w:rFonts w:hint="eastAsia" w:ascii="楷体" w:hAnsi="楷体" w:eastAsia="楷体"/>
          <w:b w:val="0"/>
          <w:bCs w:val="0"/>
          <w:spacing w:val="-4"/>
          <w:sz w:val="32"/>
          <w:szCs w:val="32"/>
        </w:rPr>
        <w:t>5万元。（5）增强农业科技示范基地建设补助40万元。（6）加强农技推广服务信息化建设、大力推进农技推广在线服务补助</w:t>
      </w:r>
      <w:r>
        <w:rPr>
          <w:rStyle w:val="18"/>
          <w:rFonts w:hint="eastAsia" w:ascii="楷体" w:hAnsi="楷体" w:eastAsia="楷体"/>
          <w:b w:val="0"/>
          <w:bCs w:val="0"/>
          <w:spacing w:val="-4"/>
          <w:sz w:val="32"/>
          <w:szCs w:val="32"/>
          <w:lang w:eastAsia="zh-CN"/>
        </w:rPr>
        <w:t>0.14</w:t>
      </w:r>
      <w:r>
        <w:rPr>
          <w:rStyle w:val="18"/>
          <w:rFonts w:hint="eastAsia" w:ascii="楷体" w:hAnsi="楷体" w:eastAsia="楷体"/>
          <w:b w:val="0"/>
          <w:bCs w:val="0"/>
          <w:spacing w:val="-4"/>
          <w:sz w:val="32"/>
          <w:szCs w:val="32"/>
        </w:rPr>
        <w:t>万元。（7）大力推动农业先进技术推广应用补助</w:t>
      </w:r>
      <w:r>
        <w:rPr>
          <w:rStyle w:val="18"/>
          <w:rFonts w:hint="eastAsia" w:ascii="楷体" w:hAnsi="楷体" w:eastAsia="楷体"/>
          <w:b w:val="0"/>
          <w:bCs w:val="0"/>
          <w:spacing w:val="-4"/>
          <w:sz w:val="32"/>
          <w:szCs w:val="32"/>
          <w:lang w:eastAsia="zh-CN"/>
        </w:rPr>
        <w:t>0.83</w:t>
      </w:r>
      <w:r>
        <w:rPr>
          <w:rStyle w:val="18"/>
          <w:rFonts w:hint="eastAsia" w:ascii="楷体" w:hAnsi="楷体" w:eastAsia="楷体"/>
          <w:b w:val="0"/>
          <w:bCs w:val="0"/>
          <w:spacing w:val="-4"/>
          <w:sz w:val="32"/>
          <w:szCs w:val="32"/>
        </w:rPr>
        <w:t>万元。</w:t>
      </w:r>
    </w:p>
    <w:p w14:paraId="5332A31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868E6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用特聘农技员3名，已聘用及发放每人万元工资。现有技术指导员19名，已完成线上5天的培训。建设农业科技示范基地1个，示范面积1200亩，示范推广了“一主两辅”棉花品种中棉113、新陆早77号，示范基地推品种覆盖率达到100%，示范推广了水肥一体化、棉花高产优质栽培技术、无人机飞防、化学打顶、机械采收等先进技术，农业主推技术达到率97%，良法覆盖率达到100%。建立村级服务站1个，已完成仪器设备，完善村级服务站建设。培育科技示范主体10户，提升基层农技人员能力，培训108人次，遴选科技示范户50户，带动周边农户450户，加强“互联网+农技服务方式”，中国农技推广手机APP使用率达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按照下达的总体目标全部完成。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　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1.下达村级特聘计划指标，指标值为3人，实际完成3人，完成率100%、偏差率0%。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2.下达村级农业技术综合服务站指标，指标值为1个，实际完成1个，完成率100%、偏差率0%。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3.下达提升基层农技推广队伍素质能力指标，指标值为50人，实际完成50人，完成率100%、偏差率0%。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4.下达培育农业科技示范主体指标，指标值为10人，实际完成10人，完成率100%、偏差率0%。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5、下达农业科技示范基地指标，指标值为2个，实际完成2个，完成率100%、偏差率0%。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6、下达农技推广信息化工作指标，指标值为</w:t>
      </w:r>
      <w:r>
        <w:rPr>
          <w:rStyle w:val="18"/>
          <w:rFonts w:hint="eastAsia" w:ascii="楷体" w:hAnsi="楷体" w:eastAsia="楷体"/>
          <w:b w:val="0"/>
          <w:bCs w:val="0"/>
          <w:spacing w:val="-4"/>
          <w:sz w:val="32"/>
          <w:szCs w:val="32"/>
          <w:lang w:eastAsia="zh-CN"/>
        </w:rPr>
        <w:t>0.14</w:t>
      </w:r>
      <w:r>
        <w:rPr>
          <w:rStyle w:val="18"/>
          <w:rFonts w:hint="eastAsia" w:ascii="楷体" w:hAnsi="楷体" w:eastAsia="楷体"/>
          <w:b w:val="0"/>
          <w:bCs w:val="0"/>
          <w:spacing w:val="-4"/>
          <w:sz w:val="32"/>
          <w:szCs w:val="32"/>
        </w:rPr>
        <w:t>万元，实际完成</w:t>
      </w:r>
      <w:r>
        <w:rPr>
          <w:rStyle w:val="18"/>
          <w:rFonts w:hint="eastAsia" w:ascii="楷体" w:hAnsi="楷体" w:eastAsia="楷体"/>
          <w:b w:val="0"/>
          <w:bCs w:val="0"/>
          <w:spacing w:val="-4"/>
          <w:sz w:val="32"/>
          <w:szCs w:val="32"/>
          <w:lang w:eastAsia="zh-CN"/>
        </w:rPr>
        <w:t>0.14</w:t>
      </w:r>
      <w:r>
        <w:rPr>
          <w:rStyle w:val="18"/>
          <w:rFonts w:hint="eastAsia" w:ascii="楷体" w:hAnsi="楷体" w:eastAsia="楷体"/>
          <w:b w:val="0"/>
          <w:bCs w:val="0"/>
          <w:spacing w:val="-4"/>
          <w:sz w:val="32"/>
          <w:szCs w:val="32"/>
        </w:rPr>
        <w:t>万元，完成率100%、偏差率0%。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7、下达农业先进技术推广应用指标，指标值为</w:t>
      </w:r>
      <w:r>
        <w:rPr>
          <w:rStyle w:val="18"/>
          <w:rFonts w:hint="eastAsia" w:ascii="楷体" w:hAnsi="楷体" w:eastAsia="楷体"/>
          <w:b w:val="0"/>
          <w:bCs w:val="0"/>
          <w:spacing w:val="-4"/>
          <w:sz w:val="32"/>
          <w:szCs w:val="32"/>
          <w:lang w:eastAsia="zh-CN"/>
        </w:rPr>
        <w:t>0.83</w:t>
      </w:r>
      <w:r>
        <w:rPr>
          <w:rStyle w:val="18"/>
          <w:rFonts w:hint="eastAsia" w:ascii="楷体" w:hAnsi="楷体" w:eastAsia="楷体"/>
          <w:b w:val="0"/>
          <w:bCs w:val="0"/>
          <w:spacing w:val="-4"/>
          <w:sz w:val="32"/>
          <w:szCs w:val="32"/>
        </w:rPr>
        <w:t>万元，实际完成</w:t>
      </w:r>
      <w:r>
        <w:rPr>
          <w:rStyle w:val="18"/>
          <w:rFonts w:hint="eastAsia" w:ascii="楷体" w:hAnsi="楷体" w:eastAsia="楷体"/>
          <w:b w:val="0"/>
          <w:bCs w:val="0"/>
          <w:spacing w:val="-4"/>
          <w:sz w:val="32"/>
          <w:szCs w:val="32"/>
          <w:lang w:eastAsia="zh-CN"/>
        </w:rPr>
        <w:t>0.83</w:t>
      </w:r>
      <w:r>
        <w:rPr>
          <w:rStyle w:val="18"/>
          <w:rFonts w:hint="eastAsia" w:ascii="楷体" w:hAnsi="楷体" w:eastAsia="楷体"/>
          <w:b w:val="0"/>
          <w:bCs w:val="0"/>
          <w:spacing w:val="-4"/>
          <w:sz w:val="32"/>
          <w:szCs w:val="32"/>
        </w:rPr>
        <w:t>万元，完成率100%、偏差率0%。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（2）质量指标。各项补贴发放准确率100%、到位率100%。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（3）时效指标。补贴发放及时率100%。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补贴村级特聘计划的成本2.88万元；补贴村级农业技术综合服务站建设的成本15万元；补贴提升基层农技推广队伍素质能力的成本5万元；补贴培育农业科技示范主体的成本5万元；补贴农业科技示范基地建设的成本40万元；补贴农技推广信息化工作的成本</w:t>
      </w:r>
      <w:r>
        <w:rPr>
          <w:rStyle w:val="18"/>
          <w:rFonts w:hint="eastAsia" w:ascii="楷体" w:hAnsi="楷体" w:eastAsia="楷体"/>
          <w:b w:val="0"/>
          <w:bCs w:val="0"/>
          <w:spacing w:val="-4"/>
          <w:sz w:val="32"/>
          <w:szCs w:val="32"/>
          <w:lang w:eastAsia="zh-CN"/>
        </w:rPr>
        <w:t>0.14</w:t>
      </w:r>
      <w:r>
        <w:rPr>
          <w:rStyle w:val="18"/>
          <w:rFonts w:hint="eastAsia" w:ascii="楷体" w:hAnsi="楷体" w:eastAsia="楷体"/>
          <w:b w:val="0"/>
          <w:bCs w:val="0"/>
          <w:spacing w:val="-4"/>
          <w:sz w:val="32"/>
          <w:szCs w:val="32"/>
        </w:rPr>
        <w:t>万元；补贴农业先进技术推广应用的成本</w:t>
      </w:r>
      <w:r>
        <w:rPr>
          <w:rStyle w:val="18"/>
          <w:rFonts w:hint="eastAsia" w:ascii="楷体" w:hAnsi="楷体" w:eastAsia="楷体"/>
          <w:b w:val="0"/>
          <w:bCs w:val="0"/>
          <w:spacing w:val="-4"/>
          <w:sz w:val="32"/>
          <w:szCs w:val="32"/>
          <w:lang w:eastAsia="zh-CN"/>
        </w:rPr>
        <w:t>0.83</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①经济效益指标：全县小麦产量536.3公斤，较上年增加 62.2公斤。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社会效益：指标坚持深化改革增活力、创新机制提效能，培育精干专业推广队伍，打造科技示范服务平台，推广优质绿色高效技术模式，为实施乡村振兴战略、加快农业农村现代化步伐、建设一支技术水平过硬、助力脱贫攻坚的特聘农技员队伍。在公益性与经营性农技推广服务融合发展、农技人员创新创业等方面形成一批行之有效的做法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满意度指标随文下达满意度指标，指标值为≥98%，实际完成98%，完成率100%。</w:t>
      </w:r>
    </w:p>
    <w:p w14:paraId="3D4367A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C044CF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06893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基层农技推广体系改革与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FEDCF4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6EFAA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基层农技推广体系改革与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100%、质量达标率、完成及时性、成本节约率、社会效益、生态效益、可持续影响、服务对象满意度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2D17F5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52387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王忠海（呼图壁县党组副书记，局长）任评价组组长，绩效评价工作职责为检查项目绩效指标完成情况、审定项目支出绩效评价结果及项目支出绩效评价报告。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侯立华（呼图壁县农业农村党组成员、呼图壁县农业技术推广站党支部书记）任评价组副组长，绩效评价工作职责为组织和协调项目工作人员采取实地调查、资料检查等方式，核实项目绩效指标完成情况；组织受益对象对项目工作进行评价等。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郭斌（呼图壁县农业技术推广站办公室主任）任评价组成员，绩效评价工作职责为做好项目支出绩效评价工作的沟通协调工作，对项目实施情况进行实地调查，编写项目支出绩效评价报告。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0490AE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82AF9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通过基层农技推广体系改革与建设项目的实施，解决了乡土专家及种植大户技术难题，提高了专业水平 ，该项目预算执行率达100%，项目预期绩效目标及各项具体指标均已全部达成。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基层农技推广体系改革与建设项目的绩效目标和各项具体绩效指标实现情况进行了客观评价，最终评分为100分。绩效评级为“优秀”，具体得分情况为：项目决策20分、项目过程20分、项目产出30分、项目效益30分。</w:t>
      </w:r>
    </w:p>
    <w:p w14:paraId="27CB404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FA419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C00710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57AF84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6F346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4.管理制度健全性：我单位制定了《基层农技推广体系改革与建设项目管理办法》等相关项目管理办法，同时对财政专项资金进行严格管理，基本做到了专款专用，根据评分标准，该指标2分，得2分。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175B18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F4737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“基层农技人员培训数量”指标，预期指标值为“50人”，根据</w:t>
      </w:r>
      <w:r>
        <w:rPr>
          <w:rStyle w:val="18"/>
          <w:rFonts w:hint="eastAsia" w:ascii="楷体" w:hAnsi="楷体" w:eastAsia="楷体"/>
          <w:b w:val="0"/>
          <w:bCs w:val="0"/>
          <w:spacing w:val="-4"/>
          <w:sz w:val="32"/>
          <w:szCs w:val="32"/>
        </w:rPr>
        <w:tab/>
        <w:t>呼图壁县 2023 年基层农技推广体系改革与建设工作总结可知，实际完成67人，与预期目标一致，根据评分标准，该指标6分，得6分。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“农业科技示范展示基地数量”指标，预期指标值为“1个”，根据呼图壁县 2023 年基层农技推广体系改革与建设工作总结可知，实际完成1个，与预期目标一致，根据评分标准，该指标6分，得6分。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“农业主推技术到位率（%）”指标，预期指标值为“95%”，根据呼图壁县 2023 年基层农技推广体系改革与建设工作总结可知，实际完成95%，与预期目标一致，根据评分标准，该指标6分，得6分。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tab/>
        <w:t>项目完成及时率”指标，预期指标值为“100%”，根据呼图壁县 2023 年基层农技推广体系改革与建设工作总结可知，实际完成100%，与预期目标一致，根据评分标准，该指标3分，得3分。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“成本控制率”指标，预期指标值为“100%”，根据呼图壁县 2023 年基层农技推广体系改革与建设工作总结可知，实际完成100%，与预期目标一致，根据评分标准，该指标6分，得6分。</w:t>
      </w:r>
    </w:p>
    <w:p w14:paraId="3FE0E0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F8597E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“提高新技术推广应用率”指标，预期指标值为“100%”，根据呼图壁县 2023 年基层农技推广体系改革与建设工作总结可知，实际完成值为“100%”，根据评分标准，该指标20分，得20分。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“服务群众满意度”指标，预期指标值为“100%”，收益对象满意度满意度达100%，根据评分标准，该指标10分,得10分。</w:t>
      </w:r>
    </w:p>
    <w:p w14:paraId="6C5A7BC1">
      <w:pPr>
        <w:spacing w:line="540" w:lineRule="exact"/>
        <w:ind w:firstLine="567"/>
        <w:rPr>
          <w:rStyle w:val="18"/>
          <w:rFonts w:ascii="楷体" w:hAnsi="楷体" w:eastAsia="楷体"/>
          <w:spacing w:val="-4"/>
          <w:sz w:val="32"/>
          <w:szCs w:val="32"/>
        </w:rPr>
      </w:pPr>
    </w:p>
    <w:p w14:paraId="3A9C40B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D2EB3D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下达预算情况：项目资金</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 xml:space="preserve"> 万元，全部为中央下达资金。实际到位</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68.85</w:t>
      </w:r>
      <w:r>
        <w:rPr>
          <w:rStyle w:val="18"/>
          <w:rFonts w:hint="eastAsia" w:ascii="楷体" w:hAnsi="楷体" w:eastAsia="楷体"/>
          <w:b w:val="0"/>
          <w:bCs w:val="0"/>
          <w:spacing w:val="-4"/>
          <w:sz w:val="32"/>
          <w:szCs w:val="32"/>
        </w:rPr>
        <w:t>万元，预算执行率为100%。</w:t>
      </w:r>
    </w:p>
    <w:p w14:paraId="170A958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7A2DB3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（1）县乡两级工作专业技术人员严重不足，县乡级农技人员年龄偏大，乡镇技术人员都是身兼数职，分身乏术，对农业新品种、新产品、新技术关注度不高，没有时间和精力去试验、示范、推广。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（2）耕地质量提升是一个循序渐进的过程，面对高价土地流转费用，种植户往往偏向于追求土地经济效益最大化，且土地流转年限在1-3年之间，大多数种植户制种不养，造成恶性循环。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（3）示范基地建设遴选合作社、种植大户对施肥新农具、新技术、尤其是新机不敢大胆尝试，尤其是新机具投入资金较多，种植户不敢贸然投资，怕投入和产出不能成正比关系。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7932F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6E6640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1、加强培训，提高专业技术人员的专业工作水平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业技术人员专业知识老化，不能适宜用现代农业发展需要。每年按时选派专业技术人员参加区、州各类专业技术培训，提高专业技术人员的专业水平和业务能力。选派和组织专业技术人员参加省外培训，开阔眼界，更新知识。将线上培训全部变更为线下培训，提高专业技术人员的培训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大人才引进，加强专业技术人员的队伍建设。县乡两级专业技术人员年龄偏大，此项目只有1个专业技术人员负责实施，并兼顾着栽培组工作，无法胜任繁重的工作任务，可以通过绿色通道等方式引进专业技术人才。</w:t>
      </w:r>
    </w:p>
    <w:p w14:paraId="7F8CF1F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673A8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32057BEB">
      <w:pPr>
        <w:spacing w:line="540" w:lineRule="exact"/>
        <w:ind w:firstLine="567"/>
        <w:rPr>
          <w:rStyle w:val="18"/>
          <w:rFonts w:ascii="仿宋" w:hAnsi="仿宋" w:eastAsia="仿宋"/>
          <w:b w:val="0"/>
          <w:spacing w:val="-4"/>
          <w:sz w:val="32"/>
          <w:szCs w:val="32"/>
        </w:rPr>
      </w:pPr>
    </w:p>
    <w:p w14:paraId="235C1743">
      <w:pPr>
        <w:spacing w:line="540" w:lineRule="exact"/>
        <w:ind w:firstLine="567"/>
        <w:rPr>
          <w:rStyle w:val="18"/>
          <w:rFonts w:ascii="仿宋" w:hAnsi="仿宋" w:eastAsia="仿宋"/>
          <w:b w:val="0"/>
          <w:spacing w:val="-4"/>
          <w:sz w:val="32"/>
          <w:szCs w:val="32"/>
        </w:rPr>
      </w:pPr>
    </w:p>
    <w:p w14:paraId="2AF8B52A">
      <w:pPr>
        <w:spacing w:line="540" w:lineRule="exact"/>
        <w:ind w:firstLine="567"/>
        <w:rPr>
          <w:rStyle w:val="18"/>
          <w:rFonts w:ascii="仿宋" w:hAnsi="仿宋" w:eastAsia="仿宋"/>
          <w:b w:val="0"/>
          <w:spacing w:val="-4"/>
          <w:sz w:val="32"/>
          <w:szCs w:val="32"/>
        </w:rPr>
      </w:pPr>
    </w:p>
    <w:p w14:paraId="2C531A64">
      <w:pPr>
        <w:spacing w:line="540" w:lineRule="exact"/>
        <w:ind w:firstLine="567"/>
        <w:rPr>
          <w:rStyle w:val="18"/>
          <w:rFonts w:ascii="仿宋" w:hAnsi="仿宋" w:eastAsia="仿宋"/>
          <w:b w:val="0"/>
          <w:spacing w:val="-4"/>
          <w:sz w:val="32"/>
          <w:szCs w:val="32"/>
        </w:rPr>
      </w:pPr>
    </w:p>
    <w:p w14:paraId="41B37D7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32F1091">
        <w:pPr>
          <w:pStyle w:val="12"/>
          <w:jc w:val="center"/>
        </w:pPr>
        <w:r>
          <w:fldChar w:fldCharType="begin"/>
        </w:r>
        <w:r>
          <w:instrText xml:space="preserve">PAGE   \* MERGEFORMAT</w:instrText>
        </w:r>
        <w:r>
          <w:fldChar w:fldCharType="separate"/>
        </w:r>
        <w:r>
          <w:rPr>
            <w:lang w:val="zh-CN"/>
          </w:rPr>
          <w:t>2</w:t>
        </w:r>
        <w:r>
          <w:fldChar w:fldCharType="end"/>
        </w:r>
      </w:p>
    </w:sdtContent>
  </w:sdt>
  <w:p w14:paraId="50EAD65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A9E6C64"/>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7598</Words>
  <Characters>8046</Characters>
  <Lines>4</Lines>
  <Paragraphs>1</Paragraphs>
  <TotalTime>8</TotalTime>
  <ScaleCrop>false</ScaleCrop>
  <LinksUpToDate>false</LinksUpToDate>
  <CharactersWithSpaces>8099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2024-08-14T10:39:42Z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