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190C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9D1E683">
      <w:pPr>
        <w:spacing w:line="540" w:lineRule="exact"/>
        <w:jc w:val="center"/>
        <w:rPr>
          <w:rFonts w:ascii="华文中宋" w:hAnsi="华文中宋" w:eastAsia="华文中宋" w:cs="宋体"/>
          <w:b/>
          <w:kern w:val="0"/>
          <w:sz w:val="52"/>
          <w:szCs w:val="52"/>
        </w:rPr>
      </w:pPr>
    </w:p>
    <w:p w14:paraId="1F7F0213">
      <w:pPr>
        <w:spacing w:line="540" w:lineRule="exact"/>
        <w:jc w:val="center"/>
        <w:rPr>
          <w:rFonts w:ascii="华文中宋" w:hAnsi="华文中宋" w:eastAsia="华文中宋" w:cs="宋体"/>
          <w:b/>
          <w:kern w:val="0"/>
          <w:sz w:val="52"/>
          <w:szCs w:val="52"/>
        </w:rPr>
      </w:pPr>
    </w:p>
    <w:p w14:paraId="3B85ADB0">
      <w:pPr>
        <w:spacing w:line="540" w:lineRule="exact"/>
        <w:jc w:val="center"/>
        <w:rPr>
          <w:rFonts w:ascii="华文中宋" w:hAnsi="华文中宋" w:eastAsia="华文中宋" w:cs="宋体"/>
          <w:b/>
          <w:kern w:val="0"/>
          <w:sz w:val="52"/>
          <w:szCs w:val="52"/>
        </w:rPr>
      </w:pPr>
    </w:p>
    <w:p w14:paraId="2252DD98">
      <w:pPr>
        <w:spacing w:line="540" w:lineRule="exact"/>
        <w:jc w:val="center"/>
        <w:rPr>
          <w:rFonts w:ascii="华文中宋" w:hAnsi="华文中宋" w:eastAsia="华文中宋" w:cs="宋体"/>
          <w:b/>
          <w:kern w:val="0"/>
          <w:sz w:val="52"/>
          <w:szCs w:val="52"/>
        </w:rPr>
      </w:pPr>
    </w:p>
    <w:p w14:paraId="31BE98C4">
      <w:pPr>
        <w:spacing w:line="540" w:lineRule="exact"/>
        <w:jc w:val="center"/>
        <w:rPr>
          <w:rFonts w:ascii="华文中宋" w:hAnsi="华文中宋" w:eastAsia="华文中宋" w:cs="宋体"/>
          <w:b/>
          <w:kern w:val="0"/>
          <w:sz w:val="52"/>
          <w:szCs w:val="52"/>
        </w:rPr>
      </w:pPr>
    </w:p>
    <w:p w14:paraId="7912C070">
      <w:pPr>
        <w:spacing w:line="540" w:lineRule="exact"/>
        <w:jc w:val="center"/>
        <w:rPr>
          <w:rFonts w:ascii="华文中宋" w:hAnsi="华文中宋" w:eastAsia="华文中宋" w:cs="宋体"/>
          <w:b/>
          <w:kern w:val="0"/>
          <w:sz w:val="52"/>
          <w:szCs w:val="52"/>
        </w:rPr>
      </w:pPr>
    </w:p>
    <w:p w14:paraId="5DA86E4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71DB697">
      <w:pPr>
        <w:spacing w:line="540" w:lineRule="exact"/>
        <w:jc w:val="center"/>
        <w:rPr>
          <w:rFonts w:ascii="华文中宋" w:hAnsi="华文中宋" w:eastAsia="华文中宋" w:cs="宋体"/>
          <w:b/>
          <w:kern w:val="0"/>
          <w:sz w:val="52"/>
          <w:szCs w:val="52"/>
        </w:rPr>
      </w:pPr>
    </w:p>
    <w:p w14:paraId="77E3DD9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0402AA18">
      <w:pPr>
        <w:spacing w:line="540" w:lineRule="exact"/>
        <w:jc w:val="center"/>
        <w:rPr>
          <w:rFonts w:hAnsi="宋体" w:eastAsia="仿宋_GB2312" w:cs="宋体"/>
          <w:kern w:val="0"/>
          <w:sz w:val="30"/>
          <w:szCs w:val="30"/>
        </w:rPr>
      </w:pPr>
    </w:p>
    <w:p w14:paraId="76944156">
      <w:pPr>
        <w:spacing w:line="540" w:lineRule="exact"/>
        <w:jc w:val="center"/>
        <w:rPr>
          <w:rFonts w:hAnsi="宋体" w:eastAsia="仿宋_GB2312" w:cs="宋体"/>
          <w:kern w:val="0"/>
          <w:sz w:val="30"/>
          <w:szCs w:val="30"/>
        </w:rPr>
      </w:pPr>
    </w:p>
    <w:p w14:paraId="2783F419">
      <w:pPr>
        <w:spacing w:line="540" w:lineRule="exact"/>
        <w:jc w:val="center"/>
        <w:rPr>
          <w:rFonts w:hAnsi="宋体" w:eastAsia="仿宋_GB2312" w:cs="宋体"/>
          <w:kern w:val="0"/>
          <w:sz w:val="30"/>
          <w:szCs w:val="30"/>
        </w:rPr>
      </w:pPr>
    </w:p>
    <w:p w14:paraId="18AC3A33">
      <w:pPr>
        <w:spacing w:line="540" w:lineRule="exact"/>
        <w:jc w:val="center"/>
        <w:rPr>
          <w:rFonts w:hAnsi="宋体" w:eastAsia="仿宋_GB2312" w:cs="宋体"/>
          <w:kern w:val="0"/>
          <w:sz w:val="30"/>
          <w:szCs w:val="30"/>
        </w:rPr>
      </w:pPr>
    </w:p>
    <w:p w14:paraId="7F1F0D1A">
      <w:pPr>
        <w:spacing w:line="540" w:lineRule="exact"/>
        <w:jc w:val="center"/>
        <w:rPr>
          <w:rFonts w:hAnsi="宋体" w:eastAsia="仿宋_GB2312" w:cs="宋体"/>
          <w:kern w:val="0"/>
          <w:sz w:val="30"/>
          <w:szCs w:val="30"/>
        </w:rPr>
      </w:pPr>
    </w:p>
    <w:p w14:paraId="684E997B">
      <w:pPr>
        <w:spacing w:line="540" w:lineRule="exact"/>
        <w:jc w:val="center"/>
        <w:rPr>
          <w:rFonts w:hAnsi="宋体" w:eastAsia="仿宋_GB2312" w:cs="宋体"/>
          <w:kern w:val="0"/>
          <w:sz w:val="30"/>
          <w:szCs w:val="30"/>
        </w:rPr>
      </w:pPr>
    </w:p>
    <w:p w14:paraId="7420B893">
      <w:pPr>
        <w:spacing w:line="540" w:lineRule="exact"/>
        <w:rPr>
          <w:rFonts w:hAnsi="宋体" w:eastAsia="仿宋_GB2312" w:cs="宋体"/>
          <w:kern w:val="0"/>
          <w:sz w:val="30"/>
          <w:szCs w:val="30"/>
        </w:rPr>
      </w:pPr>
    </w:p>
    <w:p w14:paraId="78AA4ABA">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DEFFBC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传染病预防资金</w:t>
      </w:r>
    </w:p>
    <w:p w14:paraId="71361B9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呼图壁县卫生健康委员会</w:t>
      </w:r>
    </w:p>
    <w:p w14:paraId="5EA63A2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呼图壁县卫生健康委员会</w:t>
      </w:r>
    </w:p>
    <w:p w14:paraId="29C4294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尚凌峰</w:t>
      </w:r>
    </w:p>
    <w:p w14:paraId="57E642D8">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14:paraId="6B508DD9">
      <w:pPr>
        <w:spacing w:line="700" w:lineRule="exact"/>
        <w:ind w:firstLine="708" w:firstLineChars="236"/>
        <w:jc w:val="left"/>
        <w:rPr>
          <w:rFonts w:hAnsi="宋体" w:eastAsia="仿宋_GB2312" w:cs="宋体"/>
          <w:kern w:val="0"/>
          <w:sz w:val="30"/>
          <w:szCs w:val="30"/>
        </w:rPr>
      </w:pPr>
    </w:p>
    <w:p w14:paraId="1334E202">
      <w:pPr>
        <w:spacing w:line="540" w:lineRule="exact"/>
        <w:rPr>
          <w:rStyle w:val="18"/>
          <w:rFonts w:ascii="黑体" w:hAnsi="黑体" w:eastAsia="黑体"/>
          <w:b w:val="0"/>
          <w:spacing w:val="-4"/>
          <w:sz w:val="32"/>
          <w:szCs w:val="32"/>
        </w:rPr>
      </w:pPr>
    </w:p>
    <w:p w14:paraId="17C2389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1798C1F">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3B721AC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根据【2023】23号文件要求，对项目实施背景进行分析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国家、自治区、自治州</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工作部署和要求完成包括医疗机构工作人员在内的八类重点人群新冠肺炎病毒核酸检测工作，及社会群众的新冠肺炎病毒核酸检测工作。完成新冠疫苗接种任务。完成以新冠肺炎为主的病毒性传染病监测任务。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本项目主要内容为：新冠病毒防治属于二类传染病按一类传染病防治要求处置，传染性强，变化快、感染结果较严重，及时对疫情进行处置，能够有效保障人民群众身体健康和社会稳定。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项目的实施主体为呼图壁县卫生健康委员会，该单位纳入2023年部门决算编制范围的有4个科室，分别是：办公室（组织人事科）、妇幼与计生健康科、疾病预防控制科、医政药政科教科（行政审批科）。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编制人数为16人，其中：行政人员编制14人、事业编制2人。实有在职人数27人，其中：行政在职14人、事业在职2人。退休人员16人，其中：行政退休人员16人、事业退休0人。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根据【2023】23号文件，下达2023年</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项目资金，预算安排资金总额20006.7万元，其中财政资金20006.7万元、其他资金0万元，2023年实际收到预算资金20006.7万元，预算资金到位率为100%。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截至2023年12月31日，本项目实际支付资金18645.87</w:t>
      </w:r>
      <w:bookmarkStart w:id="0" w:name="_GoBack"/>
      <w:bookmarkEnd w:id="0"/>
      <w:r>
        <w:rPr>
          <w:rStyle w:val="18"/>
          <w:rFonts w:hint="eastAsia" w:ascii="楷体" w:hAnsi="楷体" w:eastAsia="楷体"/>
          <w:b w:val="0"/>
          <w:bCs w:val="0"/>
          <w:spacing w:val="-4"/>
          <w:sz w:val="32"/>
          <w:szCs w:val="32"/>
        </w:rPr>
        <w:t>万元，预算执行率93.2%。项目资金主要用于支付</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项目费用18645.87万元。</w:t>
      </w:r>
    </w:p>
    <w:p w14:paraId="3F30FDE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39E8524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该项目计划完成全县</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工作正常运行费发放，通过该项目实施，保障全县</w:t>
      </w:r>
      <w:r>
        <w:rPr>
          <w:rStyle w:val="18"/>
          <w:rFonts w:hint="eastAsia" w:ascii="楷体" w:hAnsi="楷体" w:eastAsia="楷体"/>
          <w:b w:val="0"/>
          <w:bCs w:val="0"/>
          <w:spacing w:val="-4"/>
          <w:sz w:val="32"/>
          <w:szCs w:val="32"/>
          <w:lang w:eastAsia="zh-CN"/>
        </w:rPr>
        <w:t>预防</w:t>
      </w:r>
      <w:r>
        <w:rPr>
          <w:rStyle w:val="18"/>
          <w:rFonts w:hint="eastAsia" w:ascii="楷体" w:hAnsi="楷体" w:eastAsia="楷体"/>
          <w:b w:val="0"/>
          <w:bCs w:val="0"/>
          <w:spacing w:val="-4"/>
          <w:sz w:val="32"/>
          <w:szCs w:val="32"/>
        </w:rPr>
        <w:t>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“核酸检测点数量”指标，预期指标值为“30个”。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“检测结果准确率”指标，预期指标值为“100%”；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“环境采样覆盖率”指标，预期指标值为“100%”。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“检测结果处理的及时性”指标，预期指标值为“100%”。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“有效控制疫情扩散范围”指标，预期指标值为“100%”。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“服务群众满意度”指标，预期指标值为“100%”。</w:t>
      </w:r>
    </w:p>
    <w:p w14:paraId="029D87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EC12220">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A9B198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18884FE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60FDF1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1329DF71">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BC180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尚凌峰（呼图壁县卫生健康委员会单位党组副书记，主任）任评价组组长，绩效评价工作职责为检查项目绩效指标完成情况、审定项目支出绩效评价结果及项目支出绩效评价报告。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周婧（呼图壁县卫生健康委员会党组成员）任评价组副组长，绩效评价工作职责为组织和协调项目工作人员采取实地调查、资料检查等方式，核实项目绩效指标完成情况；组织受益对象对项目工作进行评价等。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买尔吾叶提（呼图壁县卫生健康委员会干部）任评价组成员，绩效评价工作职责为做好项目支出绩效评价工作的沟通协调工作，对项目实施情况进行实地调查，编写项目支出绩效评价报告。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C818CC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331C1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项目的实施，解决了全县</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，提高了</w:t>
      </w:r>
      <w:r>
        <w:rPr>
          <w:rStyle w:val="18"/>
          <w:rFonts w:hint="eastAsia" w:ascii="楷体" w:hAnsi="楷体" w:eastAsia="楷体"/>
          <w:b w:val="0"/>
          <w:bCs w:val="0"/>
          <w:spacing w:val="-4"/>
          <w:sz w:val="32"/>
          <w:szCs w:val="32"/>
          <w:lang w:eastAsia="zh-CN"/>
        </w:rPr>
        <w:t>预防</w:t>
      </w:r>
      <w:r>
        <w:rPr>
          <w:rStyle w:val="18"/>
          <w:rFonts w:hint="eastAsia" w:ascii="楷体" w:hAnsi="楷体" w:eastAsia="楷体"/>
          <w:b w:val="0"/>
          <w:bCs w:val="0"/>
          <w:spacing w:val="-4"/>
          <w:sz w:val="32"/>
          <w:szCs w:val="32"/>
        </w:rPr>
        <w:t>工作水平，该项目预算执行率达100%，项目预期绩效目标及各项具体指标均已全部达成。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项目的绩效目标和各项具体绩效指标实现情况进行了客观评价，最终评分为99.7分。绩效评级为“优秀”，具体得分情况为：项目决策20分、项目过程19.7分、项目产出30分、项目效益30分。</w:t>
      </w:r>
    </w:p>
    <w:p w14:paraId="54761C63">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F2539A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E9D905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642820EC">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26EC60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2.预算执行率：本项目预算较为详细，预算资金20006.7万元，实际执行18645.87万元，预算执行率为93.2%，项目资金支出总体能够按照预算执行，根据评分标准，该指标5分，得4.7分。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C85301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0B590C1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w:t>
      </w:r>
      <w:r>
        <w:rPr>
          <w:rStyle w:val="18"/>
          <w:rFonts w:hint="eastAsia" w:ascii="楷体" w:hAnsi="楷体" w:eastAsia="楷体"/>
          <w:b w:val="0"/>
          <w:bCs w:val="0"/>
          <w:spacing w:val="-4"/>
          <w:sz w:val="32"/>
          <w:szCs w:val="32"/>
          <w:lang w:eastAsia="zh-CN"/>
        </w:rPr>
        <w:t>传染病预防</w:t>
      </w:r>
      <w:r>
        <w:rPr>
          <w:rStyle w:val="18"/>
          <w:rFonts w:hint="eastAsia" w:ascii="楷体" w:hAnsi="楷体" w:eastAsia="楷体"/>
          <w:b w:val="0"/>
          <w:bCs w:val="0"/>
          <w:spacing w:val="-4"/>
          <w:sz w:val="32"/>
          <w:szCs w:val="32"/>
        </w:rPr>
        <w:t>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“核酸检测点数量”指标，预期指标值为“30个”，实际完成30个，与预期目标一致，根据评分标准，该指标6分，得6分。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“检测结果准确率”指标，预期指标值为“100%”，根据检测结果记录可知，实际完成100%，与预期目标一致，根据评分标准，该指标6分，得6分。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“环境采样覆盖率”指标，预期指标值为“100%”，根据环境采样记录可知，实际完成100%，与预期目标一致，根据评分标准，该指标6分，得6分。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“检测结果处理的及时性”指标，预期指标值为“逐步提高”，根据工作完成情况可知，实际完成100%，与预期目标一致，根据评分标准，该指标6分，得6分。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“项目投资比例”指标，预期指标值为“100%”，根据工作完成情况可知，实际完成100%，与预期目标一致，与预期目标一致，根据评分标准，该指标6分，得6分。</w:t>
      </w:r>
    </w:p>
    <w:p w14:paraId="2BEB660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BDC60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“有效控制疫情扩散范围”指标，预期指标值为“100%”，根据工作完成情况可知，实际完成值为“100%”，根据评分标准，该指标20分，得20分。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“服务群众满意度”指标，预期指标值为“100%”，收益对象满意度满意度达100%，根据评分标准，该指标10分,得10分。</w:t>
      </w:r>
    </w:p>
    <w:p w14:paraId="542E2E5C">
      <w:pPr>
        <w:spacing w:line="540" w:lineRule="exact"/>
        <w:ind w:firstLine="567"/>
        <w:rPr>
          <w:rStyle w:val="18"/>
          <w:rFonts w:ascii="楷体" w:hAnsi="楷体" w:eastAsia="楷体"/>
          <w:spacing w:val="-4"/>
          <w:sz w:val="32"/>
          <w:szCs w:val="32"/>
        </w:rPr>
      </w:pPr>
    </w:p>
    <w:p w14:paraId="129BAB57">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481D2BDD">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五、预算执行进度与绩效指标偏差情况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计划生育奖励政策项目预算金额20006.7万元，实际到位20006.7万元，实际支出18645.87万元，预算执行率为93.2%。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绩效指标偏差原因为财政资金尚未拨付完毕。</w:t>
      </w:r>
    </w:p>
    <w:p w14:paraId="4E68CB3D">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B1589BE">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六、主要经验及做法、存在的问题及原因分析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2A999AF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1D8C632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3E8F62A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7BBBA3C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八、其他需要说明的问题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6AFD9443">
      <w:pPr>
        <w:spacing w:line="540" w:lineRule="exact"/>
        <w:ind w:firstLine="567"/>
        <w:rPr>
          <w:rStyle w:val="18"/>
          <w:rFonts w:ascii="仿宋" w:hAnsi="仿宋" w:eastAsia="仿宋"/>
          <w:b w:val="0"/>
          <w:spacing w:val="-4"/>
          <w:sz w:val="32"/>
          <w:szCs w:val="32"/>
        </w:rPr>
      </w:pPr>
    </w:p>
    <w:p w14:paraId="346B7852">
      <w:pPr>
        <w:spacing w:line="540" w:lineRule="exact"/>
        <w:ind w:firstLine="567"/>
        <w:rPr>
          <w:rStyle w:val="18"/>
          <w:rFonts w:ascii="仿宋" w:hAnsi="仿宋" w:eastAsia="仿宋"/>
          <w:b w:val="0"/>
          <w:spacing w:val="-4"/>
          <w:sz w:val="32"/>
          <w:szCs w:val="32"/>
        </w:rPr>
      </w:pPr>
    </w:p>
    <w:p w14:paraId="135F59D1">
      <w:pPr>
        <w:spacing w:line="540" w:lineRule="exact"/>
        <w:ind w:firstLine="567"/>
        <w:rPr>
          <w:rStyle w:val="18"/>
          <w:rFonts w:ascii="仿宋" w:hAnsi="仿宋" w:eastAsia="仿宋"/>
          <w:b w:val="0"/>
          <w:spacing w:val="-4"/>
          <w:sz w:val="32"/>
          <w:szCs w:val="32"/>
        </w:rPr>
      </w:pPr>
    </w:p>
    <w:p w14:paraId="771F3DDE">
      <w:pPr>
        <w:spacing w:line="540" w:lineRule="exact"/>
        <w:ind w:firstLine="567"/>
        <w:rPr>
          <w:rStyle w:val="18"/>
          <w:rFonts w:ascii="仿宋" w:hAnsi="仿宋" w:eastAsia="仿宋"/>
          <w:b w:val="0"/>
          <w:spacing w:val="-4"/>
          <w:sz w:val="32"/>
          <w:szCs w:val="32"/>
        </w:rPr>
      </w:pPr>
    </w:p>
    <w:p w14:paraId="55BA316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74F3ECF">
        <w:pPr>
          <w:pStyle w:val="12"/>
          <w:jc w:val="center"/>
        </w:pPr>
        <w:r>
          <w:fldChar w:fldCharType="begin"/>
        </w:r>
        <w:r>
          <w:instrText xml:space="preserve">PAGE   \* MERGEFORMAT</w:instrText>
        </w:r>
        <w:r>
          <w:fldChar w:fldCharType="separate"/>
        </w:r>
        <w:r>
          <w:rPr>
            <w:lang w:val="zh-CN"/>
          </w:rPr>
          <w:t>2</w:t>
        </w:r>
        <w:r>
          <w:fldChar w:fldCharType="end"/>
        </w:r>
      </w:p>
    </w:sdtContent>
  </w:sdt>
  <w:p w14:paraId="6DBCD112">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283230A2"/>
    <w:rsid w:val="3029612C"/>
    <w:rsid w:val="32A221C5"/>
    <w:rsid w:val="33F20F2A"/>
    <w:rsid w:val="34C44675"/>
    <w:rsid w:val="3B5B5607"/>
    <w:rsid w:val="3CE21B3C"/>
    <w:rsid w:val="4D2606A1"/>
    <w:rsid w:val="51830480"/>
    <w:rsid w:val="53A616BE"/>
    <w:rsid w:val="54662BFB"/>
    <w:rsid w:val="62051CA5"/>
    <w:rsid w:val="6C3A69EF"/>
    <w:rsid w:val="77CB78A1"/>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6445</Words>
  <Characters>6735</Characters>
  <Lines>4</Lines>
  <Paragraphs>1</Paragraphs>
  <TotalTime>6</TotalTime>
  <ScaleCrop>false</ScaleCrop>
  <LinksUpToDate>false</LinksUpToDate>
  <CharactersWithSpaces>6762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2024-08-15T08:15:48Z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