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B6A62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F683EE3">
      <w:pPr>
        <w:spacing w:line="540" w:lineRule="exact"/>
        <w:jc w:val="center"/>
        <w:rPr>
          <w:rFonts w:ascii="华文中宋" w:hAnsi="华文中宋" w:eastAsia="华文中宋" w:cs="宋体"/>
          <w:b/>
          <w:kern w:val="0"/>
          <w:sz w:val="52"/>
          <w:szCs w:val="52"/>
        </w:rPr>
      </w:pPr>
    </w:p>
    <w:p w14:paraId="422F4A71">
      <w:pPr>
        <w:spacing w:line="540" w:lineRule="exact"/>
        <w:jc w:val="center"/>
        <w:rPr>
          <w:rFonts w:ascii="华文中宋" w:hAnsi="华文中宋" w:eastAsia="华文中宋" w:cs="宋体"/>
          <w:b/>
          <w:kern w:val="0"/>
          <w:sz w:val="52"/>
          <w:szCs w:val="52"/>
        </w:rPr>
      </w:pPr>
    </w:p>
    <w:p w14:paraId="3F7A6B82">
      <w:pPr>
        <w:spacing w:line="540" w:lineRule="exact"/>
        <w:jc w:val="center"/>
        <w:rPr>
          <w:rFonts w:ascii="华文中宋" w:hAnsi="华文中宋" w:eastAsia="华文中宋" w:cs="宋体"/>
          <w:b/>
          <w:kern w:val="0"/>
          <w:sz w:val="52"/>
          <w:szCs w:val="52"/>
        </w:rPr>
      </w:pPr>
    </w:p>
    <w:p w14:paraId="6D72509C">
      <w:pPr>
        <w:spacing w:line="540" w:lineRule="exact"/>
        <w:jc w:val="center"/>
        <w:rPr>
          <w:rFonts w:ascii="华文中宋" w:hAnsi="华文中宋" w:eastAsia="华文中宋" w:cs="宋体"/>
          <w:b/>
          <w:kern w:val="0"/>
          <w:sz w:val="52"/>
          <w:szCs w:val="52"/>
        </w:rPr>
      </w:pPr>
    </w:p>
    <w:p w14:paraId="7250E3F2">
      <w:pPr>
        <w:spacing w:line="540" w:lineRule="exact"/>
        <w:jc w:val="center"/>
        <w:rPr>
          <w:rFonts w:ascii="华文中宋" w:hAnsi="华文中宋" w:eastAsia="华文中宋" w:cs="宋体"/>
          <w:b/>
          <w:kern w:val="0"/>
          <w:sz w:val="52"/>
          <w:szCs w:val="52"/>
        </w:rPr>
      </w:pPr>
    </w:p>
    <w:p w14:paraId="1D412F7E">
      <w:pPr>
        <w:spacing w:line="540" w:lineRule="exact"/>
        <w:jc w:val="center"/>
        <w:rPr>
          <w:rFonts w:ascii="华文中宋" w:hAnsi="华文中宋" w:eastAsia="华文中宋" w:cs="宋体"/>
          <w:b/>
          <w:kern w:val="0"/>
          <w:sz w:val="52"/>
          <w:szCs w:val="52"/>
        </w:rPr>
      </w:pPr>
    </w:p>
    <w:p w14:paraId="66361B6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E577625">
      <w:pPr>
        <w:spacing w:line="540" w:lineRule="exact"/>
        <w:jc w:val="center"/>
        <w:rPr>
          <w:rFonts w:ascii="华文中宋" w:hAnsi="华文中宋" w:eastAsia="华文中宋" w:cs="宋体"/>
          <w:b/>
          <w:kern w:val="0"/>
          <w:sz w:val="52"/>
          <w:szCs w:val="52"/>
        </w:rPr>
      </w:pPr>
    </w:p>
    <w:p w14:paraId="3FC3B35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5BBF475">
      <w:pPr>
        <w:spacing w:line="540" w:lineRule="exact"/>
        <w:jc w:val="center"/>
        <w:rPr>
          <w:rFonts w:hAnsi="宋体" w:eastAsia="仿宋_GB2312" w:cs="宋体"/>
          <w:kern w:val="0"/>
          <w:sz w:val="30"/>
          <w:szCs w:val="30"/>
        </w:rPr>
      </w:pPr>
    </w:p>
    <w:p w14:paraId="2F644EDC">
      <w:pPr>
        <w:spacing w:line="540" w:lineRule="exact"/>
        <w:jc w:val="center"/>
        <w:rPr>
          <w:rFonts w:hAnsi="宋体" w:eastAsia="仿宋_GB2312" w:cs="宋体"/>
          <w:kern w:val="0"/>
          <w:sz w:val="30"/>
          <w:szCs w:val="30"/>
        </w:rPr>
      </w:pPr>
    </w:p>
    <w:p w14:paraId="767EE685">
      <w:pPr>
        <w:spacing w:line="540" w:lineRule="exact"/>
        <w:jc w:val="center"/>
        <w:rPr>
          <w:rFonts w:hAnsi="宋体" w:eastAsia="仿宋_GB2312" w:cs="宋体"/>
          <w:kern w:val="0"/>
          <w:sz w:val="30"/>
          <w:szCs w:val="30"/>
        </w:rPr>
      </w:pPr>
    </w:p>
    <w:p w14:paraId="4F7CFDA7">
      <w:pPr>
        <w:spacing w:line="540" w:lineRule="exact"/>
        <w:jc w:val="center"/>
        <w:rPr>
          <w:rFonts w:hAnsi="宋体" w:eastAsia="仿宋_GB2312" w:cs="宋体"/>
          <w:kern w:val="0"/>
          <w:sz w:val="30"/>
          <w:szCs w:val="30"/>
        </w:rPr>
      </w:pPr>
    </w:p>
    <w:p w14:paraId="0178EDDB">
      <w:pPr>
        <w:spacing w:line="540" w:lineRule="exact"/>
        <w:jc w:val="center"/>
        <w:rPr>
          <w:rFonts w:hAnsi="宋体" w:eastAsia="仿宋_GB2312" w:cs="宋体"/>
          <w:kern w:val="0"/>
          <w:sz w:val="30"/>
          <w:szCs w:val="30"/>
        </w:rPr>
      </w:pPr>
    </w:p>
    <w:p w14:paraId="5819C1FB">
      <w:pPr>
        <w:spacing w:line="540" w:lineRule="exact"/>
        <w:jc w:val="center"/>
        <w:rPr>
          <w:rFonts w:hAnsi="宋体" w:eastAsia="仿宋_GB2312" w:cs="宋体"/>
          <w:kern w:val="0"/>
          <w:sz w:val="30"/>
          <w:szCs w:val="30"/>
        </w:rPr>
      </w:pPr>
    </w:p>
    <w:p w14:paraId="2C034AC6">
      <w:pPr>
        <w:spacing w:line="540" w:lineRule="exact"/>
        <w:rPr>
          <w:rFonts w:hAnsi="宋体" w:eastAsia="仿宋_GB2312" w:cs="宋体"/>
          <w:kern w:val="0"/>
          <w:sz w:val="30"/>
          <w:szCs w:val="30"/>
        </w:rPr>
      </w:pPr>
    </w:p>
    <w:p w14:paraId="7442341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CEAE191">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纺织服装专项补贴资金</w:t>
      </w:r>
    </w:p>
    <w:p w14:paraId="42A8972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呼图壁县商务和工业信息化局</w:t>
      </w:r>
    </w:p>
    <w:p w14:paraId="186277F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呼图壁县商务和工业信息化局</w:t>
      </w:r>
    </w:p>
    <w:p w14:paraId="5D51407A">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戴瑞清</w:t>
      </w:r>
    </w:p>
    <w:p w14:paraId="1156887C">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2024年04月23日</w:t>
      </w:r>
    </w:p>
    <w:p w14:paraId="3D450148">
      <w:pPr>
        <w:spacing w:line="700" w:lineRule="exact"/>
        <w:ind w:firstLine="708" w:firstLineChars="236"/>
        <w:jc w:val="left"/>
        <w:rPr>
          <w:rFonts w:hAnsi="宋体" w:eastAsia="仿宋_GB2312" w:cs="宋体"/>
          <w:kern w:val="0"/>
          <w:sz w:val="30"/>
          <w:szCs w:val="30"/>
        </w:rPr>
      </w:pPr>
    </w:p>
    <w:p w14:paraId="19211DC5">
      <w:pPr>
        <w:spacing w:line="540" w:lineRule="exact"/>
        <w:rPr>
          <w:rStyle w:val="18"/>
          <w:rFonts w:ascii="黑体" w:hAnsi="黑体" w:eastAsia="黑体"/>
          <w:b w:val="0"/>
          <w:spacing w:val="-4"/>
          <w:sz w:val="32"/>
          <w:szCs w:val="32"/>
        </w:rPr>
      </w:pPr>
    </w:p>
    <w:p w14:paraId="4933B94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33A6F10">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09315C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背景：呼图壁县是全国棉花生产强县、国家优质棉生产基地之一，被列入自治区纺织产业“三城七园一中心”的“七园”之一，全县现有纺织服装生产企业14家，其中：棉纺企业4家（规上企业3家）、服装企业3家（规上企业1家）、家纺企业6家、产业用纺织品企业2家（规上企业1家）。全县棉纺纱锭产能达70万锭（其中环锭纺14万锭，气流纺51540头）、针织服装310万件套、机织地毯20万平米、棉被150万条、纱布8亿平方米、无纺布0.65万吨、打包布1200万平方米。为促进纺织服装产业持续健康发展，自治区制定促进纺织服装产业发展优惠政策，我局联合财政局等单位每季度及时足额向企业兑付纺织服装产品出疆运费补贴、电费补贴、贴息贷款补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内容及实施情况：专项资金主要来自自治区纺织服装产业发展专项，主要用于纺织服装企业出疆棉纱运费、电费等补贴。纺织服装专项补贴资金累计拨付纺织服装运费补贴、电费补贴、贴息贷款补贴87415457.78元，已使用46279733.53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资金投入和使用情况：呼图壁县纺织服装企业电费、出疆棉纱运费补贴、贴息贷款补贴预算安排总额为 87415457.78元，其中财政资金 87415457.78元，2023年实际收到预算资金46279733.53元，预算资金到位率为52.94%。截至2023年12月31日，本项目实际支付资金46279733.53元，预算执行率52.94%。项目资金主要用于支付呼图壁县纺织服装企业电费、出疆棉纱运费补贴、贴息贷款补贴46279733.53元。</w:t>
      </w:r>
    </w:p>
    <w:p w14:paraId="1039BD9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AFA4D4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总体目标：截至2023年12月31日，本项目实际支付资金46279733.53元，预算执行率52.94%。项目资金主要用于支付呼图壁县纺织服装企业电费、出疆棉纱运费补贴、贴息贷款补贴46279733.53元。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阶段性目标：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惠及企业家数=7家，实际完成值为7家。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补贴种类数=3类，实际完成值为3类。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资金使用合规性=100%，实际完成值为100%。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资金拨付及时率=100%，实际完成值为100%。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项目成本控制率&lt;=100%，实际完成值为100%。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纺织服装企业发展水平持续提高。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被服务单位满意度</w:t>
      </w:r>
      <w:r>
        <w:rPr>
          <w:rStyle w:val="18"/>
          <w:rFonts w:hint="eastAsia" w:ascii="楷体" w:hAnsi="楷体" w:eastAsia="楷体"/>
          <w:b w:val="0"/>
          <w:bCs w:val="0"/>
          <w:spacing w:val="-4"/>
          <w:sz w:val="32"/>
          <w:szCs w:val="32"/>
        </w:rPr>
        <w:tab/>
        <w:t>&gt;=90%，实际完成值为95%以上。</w:t>
      </w:r>
    </w:p>
    <w:p w14:paraId="30D9A80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E87F7A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BEE64C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的目的：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象和范围：本次绩效评价遵循财政部《关于印发&lt;项目支出绩效评价管理办法&gt;的通知》（财预〔2020〕10号）以及自治区财政厅《自治区财政支出绩效评价管理暂行办法》（新财预〔2018〕189号）等文件规定，对2023年度我单位实施的自治区纺织服装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9BE652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54E160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原则：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自治区纺织服装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指标体系：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社会效益、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评价方法：本次评价采取定量与定性评价相结合的方式，采用比较法、公众评判法对项目实施过程以及预期绩效目标完成情况进行全面、系统的评价，总分由各项指标得分汇总形成。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标准：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4018369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AC43F3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张慧（商务工信局党组书记、局长）任评价组组长，绩效评价工作职责为检查项目绩副效指标完成情况、审定项目支出绩效评价结果及项目支出绩效评价报告。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张剑勇（商务工信局党组成员、副局长）任评价组副组长，绩效评价工作职责为组织和协调项目工作人员采取实地调查、资料检查等方式，核实项目绩效指标完成情况；组织受益对象对项目工作进行评价等。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郑忠红（商务工信局单位干部）任评价组成员，绩效评价工作职责为做好项目支出绩效评价工作的沟通协调工作，对项目实施情况进行实地调查，编写项目支出绩效评价报告。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ED128B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A34BF7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自治区纺织服装企业电费财政补贴资金、出疆棉纱运费补贴资金、贴息贷款补贴资金 87415457.78元，预算金额 87415457.78元，实际支付46279733.53元，预算执行率52.94%。确保纺织服装企业充分享受国家的产业政策，促进纺织服装产业及企业持续健康发展。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自治区纺织服装专项资金项目的绩效目标和各项具体绩效指标实现情况进行了客观评价，最终评分为96分。绩效评级为“优秀”，具体得分情况为：项目决策20分、项目过程16分、项目产出30分、项目效益30分。</w:t>
      </w:r>
    </w:p>
    <w:p w14:paraId="7C230EF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B243D2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F2DC28B">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7B937549">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D3A6B6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5个三级指标构成，权重分值为20分，本项目实际得分16分，得分率为80%。具体各项指标得分如下：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1.资金到位率：该项目所需财政资金能够足额拨付到位，根据评分标准，该指标5分，得3分。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2.预算执行率：本项目预算较为详细，预算金额87415457.78元，实际支付46279733.53元，预算执行率52.94%。项目资金支出总体能够按照预算执行，根据评分标准，该指标5分，得3分。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3.资金使用合规性：项目任务下达后，我单位按照专项资金使用管理规定对经费使用进行规范管理，财务制度健全、执行严格，根据评分标准，该指标5分，得5分。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4.管理制度健全性：我单位制定了财务和业务管理制度等相关项目管理办法，同时对财政专项资金进行严格管理，基本做到了专款专用，根据评分标准，该指标2分，得2分。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04B57B5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3D17C6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惠及企业家数=7家，实际完成值为7家。与预期目标一致，根据评分标准，该指标4分，得4分。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补贴种类数=3类，实际完成值为3类。与预期目标一致，根据评分标准，该指标4分，得4分。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资金使用合规性=100%，实际完成值为100%。与预期目标一致，根据评分标准，该指标8分，8分。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资金拨付及时率=100%，实际完成值为100%。资金使用合规性=100%，实际完成值为100%。与预期目标一致，根据评分标准，该指标8分，8分。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项目成本控制率&lt;=100%，实际完成值为100%。资金使用合规性=100%，实际完成值为100%。与预期目标一致，根据评分标准，该指标6分，6分。</w:t>
      </w:r>
    </w:p>
    <w:p w14:paraId="7039C27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4C72F1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纺织服装企业发展水平持续提高。根据评分标准，该指标20分，得20分。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“项目收益群众满意度”指标，预期指标值为“90%以上”，收益对象满意度满意度达95%以上，根据评分标准，该指标10分,得10分。</w:t>
      </w:r>
    </w:p>
    <w:p w14:paraId="73BD5120">
      <w:pPr>
        <w:spacing w:line="540" w:lineRule="exact"/>
        <w:ind w:firstLine="567"/>
        <w:rPr>
          <w:rStyle w:val="18"/>
          <w:rFonts w:ascii="楷体" w:hAnsi="楷体" w:eastAsia="楷体"/>
          <w:spacing w:val="-4"/>
          <w:sz w:val="32"/>
          <w:szCs w:val="32"/>
        </w:rPr>
      </w:pPr>
    </w:p>
    <w:p w14:paraId="6C96F36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2247EB2">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自治区纺织服装企业电费财政补贴资金、出疆棉纱运费补贴资金、贴息贷款补贴资金87415457.78元，预算金额87415457.78元，实际支付46279733.53元，预算执行率52.94%。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自治区纺织服装企业电费财政补贴资金、出疆棉纱运费补贴资金、贴息贷款补贴资金87415457.78元，预算金额87415457.78元，实际支付46279733.53元，结余资金41135724.25元，流转至下一批支付。</w:t>
      </w:r>
    </w:p>
    <w:p w14:paraId="3D08C69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F7A2D89">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自治区纺织服装企业电费财政补贴资金、出疆棉纱运费补贴资金、贴息贷款补贴资金项目对我县各纺织服装企业的项目申报材料、资金用途情况的检查,未发现企业有违规行为。资金到位后,各个项目单位资金做到资金专款专用,无调整和变更投资计划,无未经批准擅自变更建设地点、建设内容、建设规模的问题；无挤占、挪用、套用专项资金行为。财务管理比较规范,基本符合各项目资金管理办法的规定。所有专项资金全部用于企业,调动了企业的积极性,推动企业向前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（2）存在的问题：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合理，科学合理的预算编制对于项目实施起到了基础性的保障作用。该项目合理制定预算编制的相关流程，对呼图壁县自治区纺织服装企业电费财政补贴资金、出疆棉纱运费补贴资金、贴息贷款补贴资金项目进行科学合理的规划、建设。保障了项目的完成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（2）项目实施制度较为完善。在项目实施过程中，坚持一项目一制度，有专人对项目进行实时跟进，遇到问题及时进行协调解决，联系各相关部门一同参与，确保项目安全有效实施。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对预算绩效管理、绩效理念尚未真正贯穿于实践工作，相关工作人员经验不足，在项目实施过程中需要全面考虑影响进度的因素。</w:t>
      </w:r>
    </w:p>
    <w:p w14:paraId="1F6AA06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795F6F69">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针对呼图壁县自治区纺织服装企业电费财政补贴资金、出疆棉纱运费补贴资金、贴息贷款补贴资金项目绩效评价开展情况提出的建议：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（1）完善项目管理制度建设，重视项目前期工作的开展。制定完善的资料归档程序。严格按照归档流程，及时归档。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明确从事绩效管理工作工作人员，成立专门的工作组，确保专事专做。且部门内部要组织学习交流，部门外部要积极参加绩效培训。并强化对关于印发《自治区本级部门预算绩效目标管理暂行办法》的通知（新财预〔2018〕21号）政策的学习，学习绩效目标编制相关要求，达到绩效目标编制指向明确、细化量化、合理可行、相应匹配的目标。</w:t>
      </w:r>
    </w:p>
    <w:p w14:paraId="2600C96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42D8ECE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71C7ACB8">
      <w:pPr>
        <w:spacing w:line="540" w:lineRule="exact"/>
        <w:ind w:firstLine="567"/>
        <w:rPr>
          <w:rStyle w:val="18"/>
          <w:rFonts w:ascii="仿宋" w:hAnsi="仿宋" w:eastAsia="仿宋"/>
          <w:b w:val="0"/>
          <w:spacing w:val="-4"/>
          <w:sz w:val="32"/>
          <w:szCs w:val="32"/>
        </w:rPr>
      </w:pPr>
    </w:p>
    <w:p w14:paraId="1BE3905D">
      <w:pPr>
        <w:spacing w:line="540" w:lineRule="exact"/>
        <w:rPr>
          <w:rStyle w:val="18"/>
          <w:rFonts w:ascii="仿宋" w:hAnsi="仿宋" w:eastAsia="仿宋"/>
          <w:b w:val="0"/>
          <w:spacing w:val="-4"/>
          <w:sz w:val="32"/>
          <w:szCs w:val="32"/>
        </w:rPr>
      </w:pP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65ECEB3">
        <w:pPr>
          <w:pStyle w:val="12"/>
          <w:jc w:val="center"/>
        </w:pPr>
        <w:r>
          <w:fldChar w:fldCharType="begin"/>
        </w:r>
        <w:r>
          <w:instrText xml:space="preserve">PAGE   \* MERGEFORMAT</w:instrText>
        </w:r>
        <w:r>
          <w:fldChar w:fldCharType="separate"/>
        </w:r>
        <w:r>
          <w:rPr>
            <w:lang w:val="zh-CN"/>
          </w:rPr>
          <w:t>2</w:t>
        </w:r>
        <w:r>
          <w:fldChar w:fldCharType="end"/>
        </w:r>
      </w:p>
    </w:sdtContent>
  </w:sdt>
  <w:p w14:paraId="3AA33C7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 w:val="7F4C7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5900</Words>
  <Characters>6337</Characters>
  <Lines>4</Lines>
  <Paragraphs>1</Paragraphs>
  <TotalTime>4</TotalTime>
  <ScaleCrop>false</ScaleCrop>
  <LinksUpToDate>false</LinksUpToDate>
  <CharactersWithSpaces>6364</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2024-08-15T04:21:36Z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