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2024年基本公共卫生服务补助资金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呼图壁县城镇卫生院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呼图壁县城镇卫生院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吕晓燕</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根据昌州财社【2022】46号-2023年中央基本公共卫生服务补助资金文件要求，对项目实施背景进行分析：</w:t>
        <w:br/>
        <w:t>项目实施原因：免费向城乡居民提供基本公共卫生服务。开展职业病检测，最大程度的保护放射工作人员、患者和公众的健康权益，同时推进妇幼公卫、老年健康服务、计划生育等方面工作。</w:t>
        <w:br/>
        <w:t>2.项目主要内容及实施情况</w:t>
        <w:br/>
        <w:t>本项目主要内容为：1、居民健康档案管理；2、健康教育；3、预防接种；4、0-6岁儿童保健管理；5孕产妇健康管理；6、老年人健康管理；7、慢性病患者健康管理；8、严重精神障碍患者健康管理；9、传染病及突发公共卫生事件报告和处理；10、中医药健康管理；11、结核病患者健康管理；12、家庭医生签约服务。</w:t>
        <w:br/>
        <w:t>项目的实施提高了基本公共卫生服务水平，不断缩小城乡居民公共卫生差距。我县在实施基本公共卫生服务中，免费向城乡居民提供基本公共卫生服务，开展职业病检测，最大程度的保护放射工作人员、患者和公众的健康权益，同时推进妇幼卫生、老年服务健康、计划生育等方面工作。</w:t>
        <w:br/>
        <w:t>本项目于2023年1月开始实施，截止2023年12月已完成96.1%，偏差3.9%，主要是：①资金管理不当导致经费未能及时支出；②合同中的条款或条件未能满足导致经费未能及时支出；③财政局审批流程不畅通导致经费未能及时支出。通过本项目的实施，提升了基本公共卫生服务水平，缩小了城乡居民公共卫生差距。</w:t>
        <w:br/>
        <w:t>3.项目实施主体</w:t>
        <w:br/>
        <w:t>2023年基本公共卫生项目的实施主体为呼图壁县城镇卫生院，该单位纳入2023年部门决算编制范围的有12个科室，分别是：内儿科、中医科、公共卫生科、医技科、党政总务科、护理院感科、药械科等科室。</w:t>
        <w:br/>
        <w:t>编制人数为38人，其中：事业编制38人。实有在职人数38人，其中事业在职38人。离退休人员19人，其中：行政退休人员0人、事业退休19人。</w:t>
        <w:br/>
        <w:t>4. 资金投入和使用情况</w:t>
        <w:br/>
        <w:t>（1）项目资金安排落实、总投入情况</w:t>
        <w:br/>
        <w:t>根据昌州财社【2022】46号-2023年中央基本公共卫生服务补助资金文件，下达2023年基本公共卫生项目资金，预算安排资金总额538.87万元，其中财政资金538.87万元、其他资金0万元，2023年实际收到预算资金538.87万元，预算资金到位率为100%。</w:t>
        <w:br/>
        <w:t>（2）项目资金实际使用情况</w:t>
        <w:br/>
        <w:t>截至2023年12月31日，本项目实际支付资金517.86万元，预算执行率96.1%。项目资金主要用于支付基本公共卫生服务项目费用517.86万元。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</w:t>
        <w:br/>
        <w:t>全民健康体检人数不少于21857人，0-6岁儿童疫苗接种数量不少于7189剂次，慢病随访人次不少于8381人次，家庭医生签约管理人数不少于6950人。不断缩小城乡居民公共卫生差距。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“全民健康体检人数”指标，预期指标值为“21857人”；</w:t>
        <w:br/>
        <w:t>“孕产妇管理人数”指标，预期指标值为“379人”；</w:t>
        <w:br/>
        <w:t>“0-6岁儿童疫苗接种数量”指标，预期指标值为“7189剂次”；</w:t>
        <w:br/>
        <w:t xml:space="preserve"> “慢病随访人次”指标，预期指标值为“8381人”；</w:t>
        <w:br/>
        <w:t>“家庭医生签约管理人数”指标，预期指标值为“6950人”</w:t>
        <w:br/>
        <w:t>②质量指标</w:t>
        <w:br/>
        <w:t>“全民健康体检覆盖率”指标，预期指标值为“95%”；</w:t>
        <w:br/>
        <w:t>“孕产妇管理覆盖率”指标，预期指标值为“90%”；</w:t>
        <w:br/>
        <w:t>“0-6岁儿童疫苗接种覆盖率”指标，预期指标值为“90%”；</w:t>
        <w:br/>
        <w:t>“慢病随访覆盖率”指标，预期指标值为“80%”；</w:t>
        <w:br/>
        <w:t>“家庭医生签约成功率”指标，预期指标值为“60%”；</w:t>
        <w:br/>
        <w:t>③时效指标</w:t>
        <w:br/>
        <w:t>“项目完成及时率”指标，预期指标值为“100%”</w:t>
        <w:br/>
        <w:t>④成本指标</w:t>
        <w:br/>
        <w:t>“项目成本控制率”指标，预期指标值为“100%”</w:t>
        <w:br/>
        <w:t>（2）项目效益目标</w:t>
        <w:br/>
        <w:t>①经济效益指标</w:t>
        <w:br/>
        <w:t>无</w:t>
        <w:br/>
        <w:t>②社会效益指标</w:t>
        <w:br/>
        <w:t>“乡镇卫生院公共服务质量”指标，预期指标为“100%”</w:t>
        <w:br/>
        <w:t>③生态效益指标</w:t>
        <w:br/>
        <w:t>无</w:t>
        <w:br/>
        <w:t>④可持续影响指标</w:t>
        <w:br/>
        <w:t>无</w:t>
        <w:br/>
        <w:t>（3）相关满意度目标</w:t>
        <w:br/>
        <w:t>满意度指标</w:t>
        <w:b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基本公共卫生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基本公共卫生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吕晓燕（呼图壁县城镇卫生院院长，支委会成员）任评价组组长，绩效评价工作职责为检查项目绩效指标完成情况、审定项目支出绩效评价结果及项目支出绩效评价报告。</w:t>
        <w:br/>
        <w:t>王红琴（呼图壁县城镇卫生院副院长，支委会成员）任评价组副组长，绩效评价工作职责为组织和协调项目工作人员采取实地调查、资料检查等方式，核实项目绩效指标完成情况；组织受益对象对项目工作进行评价等。</w:t>
        <w:br/>
        <w:t>周运辉（呼图壁县城镇卫生干部）任评价组成员，绩效评价工作职责为做好项目支出绩效评价工作的沟通协调工作，对项目实施情况进行实地调查，编写项目支出绩效评价报告。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通过基本公共卫生项目的实施，缩小了城乡居民公共卫生差距，提高了基本公共卫生水平，提升了妇幼健康服务能力，该项目预算执行率达96.1%，项目预期绩效目标及各项具体指标均已全部达成。</w:t>
        <w:br/>
        <w:t>（二）综合评价结论</w:t>
        <w:br/>
        <w:t>本次评价采取定量与定性评价相结合的方式，对基本公共卫生项目的绩效目标和各项具体绩效指标实现情况进行了客观评价，最终评分为99.6分。绩效评级为“优秀”，具体得分情况为：项目决策20分、项目过程20分、项目产出29.6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2.预算执行率：本项目预算较为详细，预算资金538.87万元，实际执行517.86万元，预算执行率为96.1%，项目资金支出总体能够按照预算执行，根据评分标准，该指标5分，得4.8分。</w:t>
        <w:br/>
        <w:t>3.资金使用合规性：项目任务下达后，我单位根据上级文件制度和管理规定对经费使用进行规范管理，财务制度健全、执行严格，根据评分标准，该指标5分，得5分。</w:t>
        <w:br/>
        <w:t>4.管理制度健全性：我单位根据《基本公共卫生管理办法》等相关项目管理办法，同时对财政专项资金进行严格管理，基本做到了专款专用，根据评分标准，该指标2分，得2分。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项目产出类指标包括产出数量、产出质量、产出时效、产出成本共四方面的内容，由13个三级指标构成，权重分为30分，本项目实际得分29.5分，得分率为98.33%。具体各项指标得分如下：</w:t>
        <w:br/>
        <w:t>1. 产出数量</w:t>
        <w:br/>
        <w:t>“全民健康体检人数”指标，预期指标值为“21857人”，根据2023年工作总结可知，实际完成23440人，与预期目标一致，根据评分标准，该指标1.5分，得1.5分。</w:t>
        <w:br/>
        <w:t>“孕产妇管理人数”指标，预期指标值为“379人”，根据2023年工作总结可知，实际完成333人，与预期目标有偏差，根据评分标准，该指标1.5分，得1.3分。（主要原因是近年来晚婚晚育人数增加，生育率普遍降低，孕产妇管理人数未达标。）</w:t>
        <w:br/>
        <w:t>“0-6岁儿童疫苗接种数量”指标，预期指标值为“7189剂次”，根据2023年工作总结可知，实际完成17325剂次，与预期目标一致，根据评分标准，该指标1.5分，得1.5分。</w:t>
        <w:br/>
        <w:t>“慢性病随访人次”指标，预期指标值为“8381人”，根据2023年工作总结可知，实际完成25792人，与预期目标一致，根据评分标准，该指标1.5分，得1.5分。</w:t>
        <w:br/>
        <w:t>“家庭医生签约管理人数”指标，预期指标值为“6950人”，根据2023年工作总结可知，实际完成25792人，与预期目标一致，与预期目标一致，根据评分标准，该指标2分，得2分。</w:t>
        <w:br/>
        <w:t>2.产出质量</w:t>
        <w:br/>
        <w:t>“全民健康体检覆盖率”指标，预期指标值为“95%”，根据2023年工作总结可知，实际完成98%，与预期目标一致，根据评分标准，该指标3分，得3分。</w:t>
        <w:br/>
        <w:t>“孕产妇管理覆盖率”指标，预期指标值为“90%”，根据2023年工作总结可知，实际完成100%，与预期目标一致，根据评分标准，该指标2分，得2分。</w:t>
        <w:br/>
        <w:t>“慢病随访覆盖率”指标，预期指标值为“80%”，根据2023年工作总结可知，实际完成100%，与预期目标一致，根据评分标准，该指标3分，得3分。</w:t>
        <w:br/>
        <w:t>3.产出时效</w:t>
        <w:br/>
        <w:t>“项目完成及时率”指标，预期指标值为“100%”，根据资金支付凭证可知，实际完成96.1%，与预期目标存在偏差，根据评分标准，该指标3分，得2.8分。（主要原因是①资金管理不当导致经费未能及时支出；②合同中的条款或条件未能满足导致经费未能及时支出；③财政局审批流程不畅通导致经费未能及时支出。）</w:t>
        <w:br/>
        <w:t>“项目完成时限”指标，预期指标值为“2023年12月31日前”；根据资金支付凭证可知，项目于2023年12月31日完成96.1%，该指标3分，得2.9分。（主要原因是①资金管理不当导致经费未能及时支出；②合同中的条款或条件未能满足导致经费未能及时支出；③财政局审批流程不畅通导致经费未能及时支出。）</w:t>
        <w:br/>
        <w:t>4.产出成本</w:t>
        <w:br/>
        <w:t>“项目成本控制率”指标，预期指标值为“100%”，根据2023年工作总结可知，实际完成100，与预期目标一致，根据评分标准，该指标1.5分，得1.5分。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</w:t>
        <w:br/>
        <w:t>1.实施效益指标</w:t>
        <w:br/>
        <w:t>（1）社会效益指标</w:t>
        <w:br/>
        <w:t>“乡镇卫生院公共服务质量”指标，预期指标值为“有效提高”，根据2023年工作报告可知，实际完成值为“好”，根据评分标准，该指标30分，得30分。</w:t>
        <w:br/>
        <w:t>综上所述，社会效益指标合计得30分。</w:t>
        <w:br/>
        <w:t>（2）可持续影响指标</w:t>
        <w:br/>
        <w:t>本项目无该项指标。</w:t>
        <w:br/>
        <w:t>（3）经济效益指标</w:t>
        <w:br/>
        <w:t>本项目无该项指标。</w:t>
        <w:br/>
        <w:t>（4）生态效益指标</w:t>
        <w:br/>
        <w:t>本项目无该项指标。</w:t>
        <w:br/>
        <w:t>2.满意度指标</w:t>
        <w:br/>
        <w:t>本项目无该项指标</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基本公共卫生项目预算金额538.87万元，实际到位538.87万元，实际支出517.86万元，预算执行率为96.1%。</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