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6050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BEB29A5">
      <w:pPr>
        <w:spacing w:line="540" w:lineRule="exact"/>
        <w:jc w:val="center"/>
        <w:rPr>
          <w:rFonts w:ascii="华文中宋" w:hAnsi="华文中宋" w:eastAsia="华文中宋" w:cs="宋体"/>
          <w:b/>
          <w:kern w:val="0"/>
          <w:sz w:val="52"/>
          <w:szCs w:val="52"/>
        </w:rPr>
      </w:pPr>
    </w:p>
    <w:p w14:paraId="4BACC539">
      <w:pPr>
        <w:spacing w:line="540" w:lineRule="exact"/>
        <w:jc w:val="center"/>
        <w:rPr>
          <w:rFonts w:ascii="华文中宋" w:hAnsi="华文中宋" w:eastAsia="华文中宋" w:cs="宋体"/>
          <w:b/>
          <w:kern w:val="0"/>
          <w:sz w:val="52"/>
          <w:szCs w:val="52"/>
        </w:rPr>
      </w:pPr>
    </w:p>
    <w:p w14:paraId="26529EB9">
      <w:pPr>
        <w:spacing w:line="540" w:lineRule="exact"/>
        <w:jc w:val="center"/>
        <w:rPr>
          <w:rFonts w:ascii="华文中宋" w:hAnsi="华文中宋" w:eastAsia="华文中宋" w:cs="宋体"/>
          <w:b/>
          <w:kern w:val="0"/>
          <w:sz w:val="52"/>
          <w:szCs w:val="52"/>
        </w:rPr>
      </w:pPr>
    </w:p>
    <w:p w14:paraId="2546A939">
      <w:pPr>
        <w:spacing w:line="540" w:lineRule="exact"/>
        <w:jc w:val="center"/>
        <w:rPr>
          <w:rFonts w:ascii="华文中宋" w:hAnsi="华文中宋" w:eastAsia="华文中宋" w:cs="宋体"/>
          <w:b/>
          <w:kern w:val="0"/>
          <w:sz w:val="52"/>
          <w:szCs w:val="52"/>
        </w:rPr>
      </w:pPr>
    </w:p>
    <w:p w14:paraId="53D67FD3">
      <w:pPr>
        <w:spacing w:line="540" w:lineRule="exact"/>
        <w:jc w:val="center"/>
        <w:rPr>
          <w:rFonts w:ascii="华文中宋" w:hAnsi="华文中宋" w:eastAsia="华文中宋" w:cs="宋体"/>
          <w:b/>
          <w:kern w:val="0"/>
          <w:sz w:val="52"/>
          <w:szCs w:val="52"/>
        </w:rPr>
      </w:pPr>
    </w:p>
    <w:p w14:paraId="6BF9E3BB">
      <w:pPr>
        <w:spacing w:line="540" w:lineRule="exact"/>
        <w:jc w:val="center"/>
        <w:rPr>
          <w:rFonts w:ascii="华文中宋" w:hAnsi="华文中宋" w:eastAsia="华文中宋" w:cs="宋体"/>
          <w:b/>
          <w:kern w:val="0"/>
          <w:sz w:val="52"/>
          <w:szCs w:val="52"/>
        </w:rPr>
      </w:pPr>
    </w:p>
    <w:p w14:paraId="78CEB58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65532DF">
      <w:pPr>
        <w:spacing w:line="540" w:lineRule="exact"/>
        <w:jc w:val="center"/>
        <w:rPr>
          <w:rFonts w:ascii="华文中宋" w:hAnsi="华文中宋" w:eastAsia="华文中宋" w:cs="宋体"/>
          <w:b/>
          <w:kern w:val="0"/>
          <w:sz w:val="52"/>
          <w:szCs w:val="52"/>
        </w:rPr>
      </w:pPr>
    </w:p>
    <w:p w14:paraId="5E3C2FF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79749BC">
      <w:pPr>
        <w:spacing w:line="540" w:lineRule="exact"/>
        <w:jc w:val="center"/>
        <w:rPr>
          <w:rFonts w:hAnsi="宋体" w:eastAsia="仿宋_GB2312" w:cs="宋体"/>
          <w:kern w:val="0"/>
          <w:sz w:val="30"/>
          <w:szCs w:val="30"/>
        </w:rPr>
      </w:pPr>
    </w:p>
    <w:p w14:paraId="2D6DB841">
      <w:pPr>
        <w:spacing w:line="540" w:lineRule="exact"/>
        <w:jc w:val="center"/>
        <w:rPr>
          <w:rFonts w:hAnsi="宋体" w:eastAsia="仿宋_GB2312" w:cs="宋体"/>
          <w:kern w:val="0"/>
          <w:sz w:val="30"/>
          <w:szCs w:val="30"/>
        </w:rPr>
      </w:pPr>
    </w:p>
    <w:p w14:paraId="1B658CD8">
      <w:pPr>
        <w:spacing w:line="540" w:lineRule="exact"/>
        <w:jc w:val="center"/>
        <w:rPr>
          <w:rFonts w:hAnsi="宋体" w:eastAsia="仿宋_GB2312" w:cs="宋体"/>
          <w:kern w:val="0"/>
          <w:sz w:val="30"/>
          <w:szCs w:val="30"/>
        </w:rPr>
      </w:pPr>
    </w:p>
    <w:p w14:paraId="692D8E1A">
      <w:pPr>
        <w:spacing w:line="540" w:lineRule="exact"/>
        <w:jc w:val="center"/>
        <w:rPr>
          <w:rFonts w:hAnsi="宋体" w:eastAsia="仿宋_GB2312" w:cs="宋体"/>
          <w:kern w:val="0"/>
          <w:sz w:val="30"/>
          <w:szCs w:val="30"/>
        </w:rPr>
      </w:pPr>
    </w:p>
    <w:p w14:paraId="3DFA774B">
      <w:pPr>
        <w:spacing w:line="540" w:lineRule="exact"/>
        <w:jc w:val="center"/>
        <w:rPr>
          <w:rFonts w:hAnsi="宋体" w:eastAsia="仿宋_GB2312" w:cs="宋体"/>
          <w:kern w:val="0"/>
          <w:sz w:val="30"/>
          <w:szCs w:val="30"/>
        </w:rPr>
      </w:pPr>
    </w:p>
    <w:p w14:paraId="0A7A5B18">
      <w:pPr>
        <w:spacing w:line="540" w:lineRule="exact"/>
        <w:jc w:val="center"/>
        <w:rPr>
          <w:rFonts w:hAnsi="宋体" w:eastAsia="仿宋_GB2312" w:cs="宋体"/>
          <w:kern w:val="0"/>
          <w:sz w:val="30"/>
          <w:szCs w:val="30"/>
        </w:rPr>
      </w:pPr>
    </w:p>
    <w:p w14:paraId="5AC49BE8">
      <w:pPr>
        <w:spacing w:line="540" w:lineRule="exact"/>
        <w:rPr>
          <w:rFonts w:hAnsi="宋体" w:eastAsia="仿宋_GB2312" w:cs="宋体"/>
          <w:kern w:val="0"/>
          <w:sz w:val="30"/>
          <w:szCs w:val="30"/>
        </w:rPr>
      </w:pPr>
    </w:p>
    <w:p w14:paraId="076A17A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274583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金审工程建设补助资金</w:t>
      </w:r>
    </w:p>
    <w:p w14:paraId="08D5789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呼图壁县审计局</w:t>
      </w:r>
    </w:p>
    <w:p w14:paraId="2509B59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呼图壁县审计局</w:t>
      </w:r>
    </w:p>
    <w:p w14:paraId="6D746E9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马柏然</w:t>
      </w:r>
    </w:p>
    <w:p w14:paraId="3BEA4A1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2024年04月16日</w:t>
      </w:r>
    </w:p>
    <w:p w14:paraId="75A0A0A4">
      <w:pPr>
        <w:spacing w:line="700" w:lineRule="exact"/>
        <w:ind w:firstLine="708" w:firstLineChars="236"/>
        <w:jc w:val="left"/>
        <w:rPr>
          <w:rFonts w:hAnsi="宋体" w:eastAsia="仿宋_GB2312" w:cs="宋体"/>
          <w:kern w:val="0"/>
          <w:sz w:val="30"/>
          <w:szCs w:val="30"/>
        </w:rPr>
      </w:pPr>
    </w:p>
    <w:p w14:paraId="7D7396AB">
      <w:pPr>
        <w:spacing w:line="540" w:lineRule="exact"/>
        <w:rPr>
          <w:rStyle w:val="18"/>
          <w:rFonts w:ascii="黑体" w:hAnsi="黑体" w:eastAsia="黑体"/>
          <w:b w:val="0"/>
          <w:spacing w:val="-4"/>
          <w:sz w:val="32"/>
          <w:szCs w:val="32"/>
        </w:rPr>
      </w:pPr>
    </w:p>
    <w:p w14:paraId="3BF9C1F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DAFB8B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2A51E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根据昌吉州党委财经委员会第一次会议纪要（昌州党财[2022]1号）和州审计局《关于2022年补助县市预算执行的报告》文件要求，用于金审工程建设补助资金20万元。2.项目主要内容及实施情况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用于视频会商系统购置、计算机网络设备购置，建成对财政、住房公积金、预算单位等部分和重点国有企业事业单位的财务信息系统及相关电子数据进行密切跟踪，对财政收支或者财务收支的真实、合法和效益实施有效审计监督的信息化系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本项目于2023年4月开始实施，截止2023年12月已全部完成，通过本项目的实施，提升了审计对财政收支的真实、合法和效益。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2023年金审建设补助资金项目的实施主体为呼图壁县审计局，该单位纳入2023年部门决算编制范围的有4个科室，分别是：行政办公室，政府投资审计中心，经济和责任审计科，法规审理科。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编制人数为22人，其中：行政人员编制11人，事业编制11人。实有在职人数24人，其中：行政在职11人、工勤1人、事业在职7人，编外4人。离退休人员10人，其中：行政退休人员10人、事业退休0人。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根据《关于拨付县（市）审计业务经费的通知》昌州财行[2022]23号）文件，下达2023年金审工程建设补助项目资金，预算安排资金总额</w:t>
      </w: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0万元，其中财政资金20万元、其他资金</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0万元，2023年实际收到预算资金20万元，预算资金到位率为</w:t>
      </w:r>
      <w:r>
        <w:rPr>
          <w:rStyle w:val="18"/>
          <w:rFonts w:hint="eastAsia" w:ascii="楷体" w:hAnsi="楷体" w:eastAsia="楷体"/>
          <w:b w:val="0"/>
          <w:bCs w:val="0"/>
          <w:spacing w:val="-4"/>
          <w:sz w:val="32"/>
          <w:szCs w:val="32"/>
          <w:lang w:val="en-US" w:eastAsia="zh-CN"/>
        </w:rPr>
        <w:t>5</w:t>
      </w:r>
      <w:r>
        <w:rPr>
          <w:rStyle w:val="18"/>
          <w:rFonts w:hint="eastAsia" w:ascii="楷体" w:hAnsi="楷体" w:eastAsia="楷体"/>
          <w:b w:val="0"/>
          <w:bCs w:val="0"/>
          <w:spacing w:val="-4"/>
          <w:sz w:val="32"/>
          <w:szCs w:val="32"/>
        </w:rPr>
        <w:t>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w:t>
      </w:r>
      <w:r>
        <w:rPr>
          <w:rStyle w:val="18"/>
          <w:rFonts w:hint="eastAsia" w:ascii="楷体" w:hAnsi="楷体" w:eastAsia="楷体"/>
          <w:b w:val="0"/>
          <w:bCs w:val="0"/>
          <w:spacing w:val="-4"/>
          <w:sz w:val="32"/>
          <w:szCs w:val="32"/>
          <w:lang w:val="en-US" w:eastAsia="zh-CN"/>
        </w:rPr>
        <w:t>20</w:t>
      </w:r>
      <w:r>
        <w:rPr>
          <w:rStyle w:val="18"/>
          <w:rFonts w:hint="eastAsia" w:ascii="楷体" w:hAnsi="楷体" w:eastAsia="楷体"/>
          <w:b w:val="0"/>
          <w:bCs w:val="0"/>
          <w:spacing w:val="-4"/>
          <w:sz w:val="32"/>
          <w:szCs w:val="32"/>
        </w:rPr>
        <w:t>万元，预算执行率</w:t>
      </w:r>
      <w:r>
        <w:rPr>
          <w:rStyle w:val="18"/>
          <w:rFonts w:hint="eastAsia" w:ascii="楷体" w:hAnsi="楷体" w:eastAsia="楷体"/>
          <w:b w:val="0"/>
          <w:bCs w:val="0"/>
          <w:spacing w:val="-4"/>
          <w:sz w:val="32"/>
          <w:szCs w:val="32"/>
          <w:lang w:val="en-US" w:eastAsia="zh-CN"/>
        </w:rPr>
        <w:t>50</w:t>
      </w:r>
      <w:r>
        <w:rPr>
          <w:rStyle w:val="18"/>
          <w:rFonts w:hint="eastAsia" w:ascii="楷体" w:hAnsi="楷体" w:eastAsia="楷体"/>
          <w:b w:val="0"/>
          <w:bCs w:val="0"/>
          <w:spacing w:val="-4"/>
          <w:sz w:val="32"/>
          <w:szCs w:val="32"/>
        </w:rPr>
        <w:t>%。项目资金主要用于支付金审工程建设补助资金项目费用</w:t>
      </w:r>
      <w:r>
        <w:rPr>
          <w:rStyle w:val="18"/>
          <w:rFonts w:hint="eastAsia" w:ascii="楷体" w:hAnsi="楷体" w:eastAsia="楷体"/>
          <w:b w:val="0"/>
          <w:bCs w:val="0"/>
          <w:spacing w:val="-4"/>
          <w:sz w:val="32"/>
          <w:szCs w:val="32"/>
          <w:lang w:val="en-US" w:eastAsia="zh-CN"/>
        </w:rPr>
        <w:t>20</w:t>
      </w:r>
      <w:r>
        <w:rPr>
          <w:rStyle w:val="18"/>
          <w:rFonts w:hint="eastAsia" w:ascii="楷体" w:hAnsi="楷体" w:eastAsia="楷体"/>
          <w:b w:val="0"/>
          <w:bCs w:val="0"/>
          <w:spacing w:val="-4"/>
          <w:sz w:val="32"/>
          <w:szCs w:val="32"/>
        </w:rPr>
        <w:t>万元。</w:t>
      </w:r>
    </w:p>
    <w:p w14:paraId="2486004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75A0A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用于视频会商系统购置、计算机网络设备购置，建成对财政、住房公积金、预算单位等部分和重点国有企业事业单位的财务信息系统及相关电子数据进行密切跟踪，对财政收支或者财务收支的真实、合法和效益实施有效审计监督的信息化系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“设备购置数量（个）”指标，预期指标值为“2人”；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“设备验收合格率（%）”指标，预期指标值为“100”；“政府采购率（%）”指标，预期指标值为“100”；“设备利用率”指标，预期指标值为“95%”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“政府采购及时性（%）”指标，预期指标值为“95”；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“设备采购成本控制数（万元/套）”指标，预期指标值为“100%”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“设备正常运转率（%）”指标，预期指标值为“95”</w:t>
      </w:r>
    </w:p>
    <w:p w14:paraId="152A012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2BBDDB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9055D3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金审工程建设项目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72DC89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8C4D6D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金审工程建设项目补助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DA0987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2F3EA4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马柏然（审计局党组副书记，局长）任评价组组长，绩效评价工作职责为检查项目绩效指标完成情况、审定项目支出绩效评价结果及项目支出绩效评价报告。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杨锐（审计局行政办主任）任评价组副组长，绩效评价工作职责为组织和协调项目工作人员采取实地调查、资料检查等方式，核实项目绩效指标完成情况；组织受益对象对项目工作进行评价等。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李娜、李海涛（审计局干部）任评价组成员，绩效评价工作职责为做好项目支出绩效评价工作的沟通协调工作，对项目实施情况进行实地调查，编写项目支出绩效评价报告。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03FB6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616C2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金审工程建设补助资金项目的实施，解决了视频会商系统购置、计算机网络设备购置，建成对财政、住房公积金、预算单位等部分和重点国有企业事业单位的财务信息系统及相关电子数据进行密切跟踪，对财政收支或者财务收支的真实、合法和效益实施有效审计监督的信息化系统，该项目预算执行率达95.3%，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金审工程建设补助资金项目的绩效目标和各项具体绩效指标实现情况进行了客观评价，最终评分为99分。绩效评级为“优秀”，具体得分情况为：项目决策20分、项目过程19分、项目产出30分、项目效益30分。</w:t>
      </w:r>
    </w:p>
    <w:p w14:paraId="72E690D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8D2837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453520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04FB380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64FBD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分，本项目实际得分19分，得分率为95.00%。具体各项指标得分如下：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val="en-US" w:eastAsia="zh-CN"/>
        </w:rPr>
        <w:t>40</w:t>
      </w:r>
      <w:r>
        <w:rPr>
          <w:rStyle w:val="18"/>
          <w:rFonts w:hint="eastAsia" w:ascii="楷体" w:hAnsi="楷体" w:eastAsia="楷体"/>
          <w:b w:val="0"/>
          <w:bCs w:val="0"/>
          <w:spacing w:val="-4"/>
          <w:sz w:val="32"/>
          <w:szCs w:val="32"/>
        </w:rPr>
        <w:t>万元，实际执行</w:t>
      </w:r>
      <w:r>
        <w:rPr>
          <w:rStyle w:val="18"/>
          <w:rFonts w:hint="eastAsia" w:ascii="楷体" w:hAnsi="楷体" w:eastAsia="楷体"/>
          <w:b w:val="0"/>
          <w:bCs w:val="0"/>
          <w:spacing w:val="-4"/>
          <w:sz w:val="32"/>
          <w:szCs w:val="32"/>
          <w:lang w:val="en-US" w:eastAsia="zh-CN"/>
        </w:rPr>
        <w:t>20</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val="en-US" w:eastAsia="zh-CN"/>
        </w:rPr>
        <w:t>50</w:t>
      </w:r>
      <w:r>
        <w:rPr>
          <w:rStyle w:val="18"/>
          <w:rFonts w:hint="eastAsia" w:ascii="楷体" w:hAnsi="楷体" w:eastAsia="楷体"/>
          <w:b w:val="0"/>
          <w:bCs w:val="0"/>
          <w:spacing w:val="-4"/>
          <w:sz w:val="32"/>
          <w:szCs w:val="32"/>
        </w:rPr>
        <w:t>%，项目资金支出总体能够按照预算执行，根据评分标准，该指标5分，得4分。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3.资金使用合规性：项目任务下达后，我单位制定了《金审工程建设补助资金项目》制度和管理规定对经费使用进行规范管理，财务制度健全、执行严格，根据评分标准，该指标5分，得5分。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4.管理制度健全性：我单位制定了《金审工程建设补助资金项目管理办法》等相关项目管理办法，同时对财政专项资金进行严格管理，基本做到了专款专用，根据评分标准，该指标2分，得2分。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6FC626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CFB832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“设备购置数量（个）”指标，预期指标值为“2个”，根据《关于拨付县（市）审计业务经费的通知》文件可知，实际完成2个，与预期目标一致，根据评分标准，该指标5分，得5分。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“设备验收合格率（%）”指标，预期指标值为“100%”，根据《关于拨付县（市）审计业务经费的通知》可知，实际完成100%，与预期目标一致，根据评分标准，该指标5分，得5分。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“政府采购率”指标，预期指标值为“100%”，根据《关于拨付县（市）审计业务经费的通知》可知，实际完成100%，与预期目标一致，根据评分标准，该指标5分，得5分。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“设备利用率”指标，预期指标值为“95%”，根据（《关于拨付县（市）审计业务经费的通知》可知，实际完成95%，与预期目标一致，根据评分标准，该指标5分，得5分。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“政府采购及时性（%）”指标，预期指标值为“95%”，根据《关于拨付县（市）审计业务经费的通知》可知，实际完成95%，与预期目标一致，根据评分标准，该指标5分，得5分。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“设备采购成本控制数（万元/套）”指标，预期指标值为“100%”，根据《关于拨付县（市）审计业务经费的通知》可知，实际完成100%，与预期目标一致，根据评分标准，该指标5分，得5分。</w:t>
      </w:r>
    </w:p>
    <w:p w14:paraId="2B71D5D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8BDCB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“设备正常运转率”指标，预期指标值为“95%”，根据《关于拨付县（市）审计业务经费的通知》可知，实际完成值为“95%”，根据评分标准，该指标30分，得30分。</w:t>
      </w:r>
    </w:p>
    <w:p w14:paraId="2841EC46">
      <w:pPr>
        <w:spacing w:line="540" w:lineRule="exact"/>
        <w:ind w:firstLine="567"/>
        <w:rPr>
          <w:rStyle w:val="18"/>
          <w:rFonts w:ascii="楷体" w:hAnsi="楷体" w:eastAsia="楷体"/>
          <w:spacing w:val="-4"/>
          <w:sz w:val="32"/>
          <w:szCs w:val="32"/>
        </w:rPr>
      </w:pPr>
    </w:p>
    <w:p w14:paraId="4520AA3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9B518B4">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金审工程建设补助资金项目预算金额</w:t>
      </w: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0万元，实际到位20万元，实际支出</w:t>
      </w:r>
      <w:r>
        <w:rPr>
          <w:rStyle w:val="18"/>
          <w:rFonts w:hint="eastAsia" w:ascii="楷体" w:hAnsi="楷体" w:eastAsia="楷体"/>
          <w:b w:val="0"/>
          <w:bCs w:val="0"/>
          <w:spacing w:val="-4"/>
          <w:sz w:val="32"/>
          <w:szCs w:val="32"/>
          <w:lang w:val="en-US" w:eastAsia="zh-CN"/>
        </w:rPr>
        <w:t>20</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val="en-US" w:eastAsia="zh-CN"/>
        </w:rPr>
        <w:t>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由于2023年12月31日有7084.2元没有使用，资金在财政已经盘活了。</w:t>
      </w:r>
    </w:p>
    <w:p w14:paraId="4E39F92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41E931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r>
        <w:rPr>
          <w:rStyle w:val="18"/>
          <w:rFonts w:hint="eastAsia" w:ascii="楷体" w:hAnsi="楷体" w:eastAsia="楷体"/>
          <w:b w:val="0"/>
          <w:bCs w:val="0"/>
          <w:spacing w:val="-4"/>
          <w:sz w:val="32"/>
          <w:szCs w:val="32"/>
        </w:rPr>
        <w:cr/>
      </w:r>
    </w:p>
    <w:p w14:paraId="0A80D42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9C4391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25386DF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118B6AA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28D4B47F">
      <w:pPr>
        <w:spacing w:line="540" w:lineRule="exact"/>
        <w:ind w:firstLine="567"/>
        <w:rPr>
          <w:rStyle w:val="18"/>
          <w:rFonts w:ascii="仿宋" w:hAnsi="仿宋" w:eastAsia="仿宋"/>
          <w:b w:val="0"/>
          <w:spacing w:val="-4"/>
          <w:sz w:val="32"/>
          <w:szCs w:val="32"/>
        </w:rPr>
      </w:pPr>
    </w:p>
    <w:p w14:paraId="3A90E491">
      <w:pPr>
        <w:spacing w:line="540" w:lineRule="exact"/>
        <w:ind w:firstLine="567"/>
        <w:rPr>
          <w:rStyle w:val="18"/>
          <w:rFonts w:ascii="仿宋" w:hAnsi="仿宋" w:eastAsia="仿宋"/>
          <w:b w:val="0"/>
          <w:spacing w:val="-4"/>
          <w:sz w:val="32"/>
          <w:szCs w:val="32"/>
        </w:rPr>
      </w:pPr>
    </w:p>
    <w:p w14:paraId="71A37156">
      <w:pPr>
        <w:spacing w:line="540" w:lineRule="exact"/>
        <w:ind w:firstLine="567"/>
        <w:rPr>
          <w:rStyle w:val="18"/>
          <w:rFonts w:ascii="仿宋" w:hAnsi="仿宋" w:eastAsia="仿宋"/>
          <w:b w:val="0"/>
          <w:spacing w:val="-4"/>
          <w:sz w:val="32"/>
          <w:szCs w:val="32"/>
        </w:rPr>
      </w:pPr>
    </w:p>
    <w:p w14:paraId="3ACB9ED4">
      <w:pPr>
        <w:spacing w:line="540" w:lineRule="exact"/>
        <w:ind w:firstLine="567"/>
        <w:rPr>
          <w:rStyle w:val="18"/>
          <w:rFonts w:ascii="仿宋" w:hAnsi="仿宋" w:eastAsia="仿宋"/>
          <w:b w:val="0"/>
          <w:spacing w:val="-4"/>
          <w:sz w:val="32"/>
          <w:szCs w:val="32"/>
        </w:rPr>
      </w:pPr>
    </w:p>
    <w:p w14:paraId="2BE2818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22400B5">
        <w:pPr>
          <w:pStyle w:val="12"/>
          <w:jc w:val="center"/>
        </w:pPr>
        <w:r>
          <w:fldChar w:fldCharType="begin"/>
        </w:r>
        <w:r>
          <w:instrText xml:space="preserve">PAGE   \* MERGEFORMAT</w:instrText>
        </w:r>
        <w:r>
          <w:fldChar w:fldCharType="separate"/>
        </w:r>
        <w:r>
          <w:rPr>
            <w:lang w:val="zh-CN"/>
          </w:rPr>
          <w:t>2</w:t>
        </w:r>
        <w:r>
          <w:fldChar w:fldCharType="end"/>
        </w:r>
      </w:p>
    </w:sdtContent>
  </w:sdt>
  <w:p w14:paraId="03A97AB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2E82606"/>
    <w:rsid w:val="3029612C"/>
    <w:rsid w:val="32A221C5"/>
    <w:rsid w:val="33F20F2A"/>
    <w:rsid w:val="34C44675"/>
    <w:rsid w:val="3B5B5607"/>
    <w:rsid w:val="3CE21B3C"/>
    <w:rsid w:val="4D2606A1"/>
    <w:rsid w:val="51830480"/>
    <w:rsid w:val="53A616BE"/>
    <w:rsid w:val="54662BFB"/>
    <w:rsid w:val="62051CA5"/>
    <w:rsid w:val="67280481"/>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6596</Words>
  <Characters>6849</Characters>
  <Lines>4</Lines>
  <Paragraphs>1</Paragraphs>
  <TotalTime>6</TotalTime>
  <ScaleCrop>false</ScaleCrop>
  <LinksUpToDate>false</LinksUpToDate>
  <CharactersWithSpaces>6881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2024-08-15T08:08:42Z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