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AE33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B67D494">
      <w:pPr>
        <w:spacing w:line="540" w:lineRule="exact"/>
        <w:jc w:val="center"/>
        <w:rPr>
          <w:rFonts w:ascii="华文中宋" w:hAnsi="华文中宋" w:eastAsia="华文中宋" w:cs="宋体"/>
          <w:b/>
          <w:kern w:val="0"/>
          <w:sz w:val="52"/>
          <w:szCs w:val="52"/>
        </w:rPr>
      </w:pPr>
    </w:p>
    <w:p w14:paraId="13BD712F">
      <w:pPr>
        <w:spacing w:line="540" w:lineRule="exact"/>
        <w:jc w:val="center"/>
        <w:rPr>
          <w:rFonts w:ascii="华文中宋" w:hAnsi="华文中宋" w:eastAsia="华文中宋" w:cs="宋体"/>
          <w:b/>
          <w:kern w:val="0"/>
          <w:sz w:val="52"/>
          <w:szCs w:val="52"/>
        </w:rPr>
      </w:pPr>
    </w:p>
    <w:p w14:paraId="463D9E62">
      <w:pPr>
        <w:spacing w:line="540" w:lineRule="exact"/>
        <w:jc w:val="center"/>
        <w:rPr>
          <w:rFonts w:ascii="华文中宋" w:hAnsi="华文中宋" w:eastAsia="华文中宋" w:cs="宋体"/>
          <w:b/>
          <w:kern w:val="0"/>
          <w:sz w:val="52"/>
          <w:szCs w:val="52"/>
        </w:rPr>
      </w:pPr>
    </w:p>
    <w:p w14:paraId="4EE37ACD">
      <w:pPr>
        <w:spacing w:line="540" w:lineRule="exact"/>
        <w:jc w:val="center"/>
        <w:rPr>
          <w:rFonts w:ascii="华文中宋" w:hAnsi="华文中宋" w:eastAsia="华文中宋" w:cs="宋体"/>
          <w:b/>
          <w:kern w:val="0"/>
          <w:sz w:val="52"/>
          <w:szCs w:val="52"/>
        </w:rPr>
      </w:pPr>
    </w:p>
    <w:p w14:paraId="7157622F">
      <w:pPr>
        <w:spacing w:line="540" w:lineRule="exact"/>
        <w:jc w:val="center"/>
        <w:rPr>
          <w:rFonts w:ascii="华文中宋" w:hAnsi="华文中宋" w:eastAsia="华文中宋" w:cs="宋体"/>
          <w:b/>
          <w:kern w:val="0"/>
          <w:sz w:val="52"/>
          <w:szCs w:val="52"/>
        </w:rPr>
      </w:pPr>
    </w:p>
    <w:p w14:paraId="37489BF2">
      <w:pPr>
        <w:spacing w:line="540" w:lineRule="exact"/>
        <w:jc w:val="center"/>
        <w:rPr>
          <w:rFonts w:ascii="华文中宋" w:hAnsi="华文中宋" w:eastAsia="华文中宋" w:cs="宋体"/>
          <w:b/>
          <w:kern w:val="0"/>
          <w:sz w:val="52"/>
          <w:szCs w:val="52"/>
        </w:rPr>
      </w:pPr>
    </w:p>
    <w:p w14:paraId="2658352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82F5153">
      <w:pPr>
        <w:spacing w:line="540" w:lineRule="exact"/>
        <w:jc w:val="center"/>
        <w:rPr>
          <w:rFonts w:ascii="华文中宋" w:hAnsi="华文中宋" w:eastAsia="华文中宋" w:cs="宋体"/>
          <w:b/>
          <w:kern w:val="0"/>
          <w:sz w:val="52"/>
          <w:szCs w:val="52"/>
        </w:rPr>
      </w:pPr>
    </w:p>
    <w:p w14:paraId="225A273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47AC739">
      <w:pPr>
        <w:spacing w:line="540" w:lineRule="exact"/>
        <w:jc w:val="center"/>
        <w:rPr>
          <w:rFonts w:hAnsi="宋体" w:eastAsia="仿宋_GB2312" w:cs="宋体"/>
          <w:kern w:val="0"/>
          <w:sz w:val="30"/>
          <w:szCs w:val="30"/>
        </w:rPr>
      </w:pPr>
    </w:p>
    <w:p w14:paraId="3BCE4EBA">
      <w:pPr>
        <w:spacing w:line="540" w:lineRule="exact"/>
        <w:jc w:val="center"/>
        <w:rPr>
          <w:rFonts w:hAnsi="宋体" w:eastAsia="仿宋_GB2312" w:cs="宋体"/>
          <w:kern w:val="0"/>
          <w:sz w:val="30"/>
          <w:szCs w:val="30"/>
        </w:rPr>
      </w:pPr>
    </w:p>
    <w:p w14:paraId="604A7D0A">
      <w:pPr>
        <w:spacing w:line="540" w:lineRule="exact"/>
        <w:jc w:val="center"/>
        <w:rPr>
          <w:rFonts w:hAnsi="宋体" w:eastAsia="仿宋_GB2312" w:cs="宋体"/>
          <w:kern w:val="0"/>
          <w:sz w:val="30"/>
          <w:szCs w:val="30"/>
        </w:rPr>
      </w:pPr>
    </w:p>
    <w:p w14:paraId="07F9B66D">
      <w:pPr>
        <w:spacing w:line="540" w:lineRule="exact"/>
        <w:jc w:val="center"/>
        <w:rPr>
          <w:rFonts w:hAnsi="宋体" w:eastAsia="仿宋_GB2312" w:cs="宋体"/>
          <w:kern w:val="0"/>
          <w:sz w:val="30"/>
          <w:szCs w:val="30"/>
        </w:rPr>
      </w:pPr>
    </w:p>
    <w:p w14:paraId="2B6A68A7">
      <w:pPr>
        <w:spacing w:line="540" w:lineRule="exact"/>
        <w:jc w:val="center"/>
        <w:rPr>
          <w:rFonts w:hAnsi="宋体" w:eastAsia="仿宋_GB2312" w:cs="宋体"/>
          <w:kern w:val="0"/>
          <w:sz w:val="30"/>
          <w:szCs w:val="30"/>
        </w:rPr>
      </w:pPr>
    </w:p>
    <w:p w14:paraId="35B4AFE1">
      <w:pPr>
        <w:spacing w:line="540" w:lineRule="exact"/>
        <w:jc w:val="center"/>
        <w:rPr>
          <w:rFonts w:hAnsi="宋体" w:eastAsia="仿宋_GB2312" w:cs="宋体"/>
          <w:kern w:val="0"/>
          <w:sz w:val="30"/>
          <w:szCs w:val="30"/>
        </w:rPr>
      </w:pPr>
    </w:p>
    <w:p w14:paraId="26265F72">
      <w:pPr>
        <w:spacing w:line="540" w:lineRule="exact"/>
        <w:rPr>
          <w:rFonts w:hAnsi="宋体" w:eastAsia="仿宋_GB2312" w:cs="宋体"/>
          <w:kern w:val="0"/>
          <w:sz w:val="30"/>
          <w:szCs w:val="30"/>
        </w:rPr>
      </w:pPr>
    </w:p>
    <w:p w14:paraId="2B3D06D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C4FCD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城市基础设施配套费安排的支出（债务清欠平台隐性债务）</w:t>
      </w:r>
    </w:p>
    <w:p w14:paraId="43FDB27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呼图壁县教育局</w:t>
      </w:r>
    </w:p>
    <w:p w14:paraId="563C5F8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呼图壁县教育局</w:t>
      </w:r>
    </w:p>
    <w:p w14:paraId="4B8D4E3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阿德力</w:t>
      </w:r>
    </w:p>
    <w:p w14:paraId="21B168F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5DFAA708">
      <w:pPr>
        <w:spacing w:line="700" w:lineRule="exact"/>
        <w:ind w:firstLine="708" w:firstLineChars="236"/>
        <w:jc w:val="left"/>
        <w:rPr>
          <w:rFonts w:hAnsi="宋体" w:eastAsia="仿宋_GB2312" w:cs="宋体"/>
          <w:kern w:val="0"/>
          <w:sz w:val="30"/>
          <w:szCs w:val="30"/>
        </w:rPr>
      </w:pPr>
    </w:p>
    <w:p w14:paraId="1C8031E6">
      <w:pPr>
        <w:spacing w:line="540" w:lineRule="exact"/>
        <w:rPr>
          <w:rStyle w:val="18"/>
          <w:rFonts w:ascii="黑体" w:hAnsi="黑体" w:eastAsia="黑体"/>
          <w:b w:val="0"/>
          <w:spacing w:val="-4"/>
          <w:sz w:val="32"/>
          <w:szCs w:val="32"/>
        </w:rPr>
      </w:pPr>
    </w:p>
    <w:p w14:paraId="4309E3A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76D314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0C721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随着经济社会的快速发展和人民生活水平的不断提高,家长对教育的需求进一步向早期教育延伸,义务教育已成为我县人民群众对教育公平的新要求。 按签订的还款协议逐年化解政府债务。及时将各资金拨付至相关单位或项目实施学校，用于中小学幼儿园建设项目、设备购置确保专款专用，加大资金支出力度，提高资金使用效益。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本项目主要内容为按签订的还款协议逐年化解政府债务。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项目的实施提高了社会教育稳定水平，提升了中小学幼儿园教育教学质量，改善了中小学幼儿园教育教学环境，为促进全县教育事业发展，全面建设小康社会作出了贡献。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本项目于2023年1月开始实施，截止2023年12月已全部完成，通过本项目的实施，提升了中小学幼儿园教育教学质量，改善了中小学幼儿园教育教学环境，为促进全县教育事业发展。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2023年城市基础设施配套费安排的支出（债务清欠平台隐性债务）项目的实施主体为呼图壁县教育局，该单位纳入2023年部门决算编制范围的有12个科室，分别是：行政办，教育股，思政股，政宣股，勤安办，督导室，人事办，电教中心，计财科，项目办，考试中心，信访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编制人数为32人，其中：行政人员编制10人、工勤2人、事业编制20人。实有在职人数75人，其中：在编人员32人。离退休人员43人。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根据签订的还款协议逐年化解政府债务的通知，下达2023年城市基础设施配套费安排的支出（债务清欠平台隐性债务）项目资金，预算安排资金总额1674.13万元，其中财政资金1674.13万元、其他资金0万元，</w:t>
      </w:r>
      <w:r>
        <w:rPr>
          <w:rStyle w:val="18"/>
          <w:rFonts w:hint="eastAsia" w:ascii="楷体" w:hAnsi="楷体" w:eastAsia="楷体"/>
          <w:b w:val="0"/>
          <w:bCs w:val="0"/>
          <w:spacing w:val="-4"/>
          <w:sz w:val="32"/>
          <w:szCs w:val="32"/>
          <w:highlight w:val="none"/>
        </w:rPr>
        <w:t>2023年实际收到预算资金</w:t>
      </w:r>
      <w:r>
        <w:rPr>
          <w:rStyle w:val="18"/>
          <w:rFonts w:hint="eastAsia" w:ascii="楷体" w:hAnsi="楷体" w:eastAsia="楷体"/>
          <w:b w:val="0"/>
          <w:bCs w:val="0"/>
          <w:spacing w:val="-4"/>
          <w:sz w:val="32"/>
          <w:szCs w:val="32"/>
        </w:rPr>
        <w:t>1674.13</w:t>
      </w:r>
      <w:r>
        <w:rPr>
          <w:rStyle w:val="18"/>
          <w:rFonts w:hint="eastAsia" w:ascii="楷体" w:hAnsi="楷体" w:eastAsia="楷体"/>
          <w:b w:val="0"/>
          <w:bCs w:val="0"/>
          <w:spacing w:val="-4"/>
          <w:sz w:val="32"/>
          <w:szCs w:val="32"/>
          <w:highlight w:val="none"/>
        </w:rPr>
        <w:t>万元，</w:t>
      </w:r>
      <w:r>
        <w:rPr>
          <w:rStyle w:val="18"/>
          <w:rFonts w:hint="eastAsia" w:ascii="楷体" w:hAnsi="楷体" w:eastAsia="楷体"/>
          <w:b w:val="0"/>
          <w:bCs w:val="0"/>
          <w:spacing w:val="-4"/>
          <w:sz w:val="32"/>
          <w:szCs w:val="32"/>
        </w:rPr>
        <w:t>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截至2023年12月31日，本项目实际支付资金1674.13万元，预算执行率100.</w:t>
      </w:r>
      <w:r>
        <w:rPr>
          <w:rStyle w:val="18"/>
          <w:rFonts w:hint="eastAsia" w:ascii="楷体" w:hAnsi="楷体" w:eastAsia="楷体"/>
          <w:b w:val="0"/>
          <w:bCs w:val="0"/>
          <w:spacing w:val="-4"/>
          <w:sz w:val="32"/>
          <w:szCs w:val="32"/>
          <w:lang w:val="en-US" w:eastAsia="zh-CN"/>
        </w:rPr>
        <w:t>00</w:t>
      </w:r>
      <w:r>
        <w:rPr>
          <w:rStyle w:val="18"/>
          <w:rFonts w:hint="eastAsia" w:ascii="楷体" w:hAnsi="楷体" w:eastAsia="楷体"/>
          <w:b w:val="0"/>
          <w:bCs w:val="0"/>
          <w:spacing w:val="-4"/>
          <w:sz w:val="32"/>
          <w:szCs w:val="32"/>
        </w:rPr>
        <w:t>%。项目资金主要用于支付中小学幼儿园建设项目、设备购置项目费用1674.13万元。</w:t>
      </w:r>
    </w:p>
    <w:p w14:paraId="3D993A5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91D3E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该项目按签订的还款协议逐年化解政府债务，做好防范化解地方政府债务各项工作 。通过该项目实施，保障中小学幼儿园建设项目、设备购置，改善全县幼儿园中小学办学条件。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“欠款清欠项目还款数量”指标，预期指标值为“44个”；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“涉及学校幼儿园数量”指标，预期指标值为“48所”；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“资金足额到位率”指标，预期指标值为“100%”；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“预算资金支付执行率”指标，预期指标值为“100%”；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“资金拨付执行率”指标，预期指标值为“100%”；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“项目结束时间”指标，预期指标值为“2023年12月31日”；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“债务清欠还款资金支出”指标，预期指标值为“1674.13万元”；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“改善中小学幼儿园办学条件”指标，预期指标值为“有效改善”；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“推动呼图壁教育均衡发展”指标，预期指标值为“效果显著”；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“学生满意度”指标，预期指标值为“&gt;=90%”；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“家长满意度”指标，预期指标值为“&gt;=90%”；</w:t>
      </w:r>
    </w:p>
    <w:p w14:paraId="68DDC05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B7061E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E76E3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遵循财政部《关于印发&lt;项目支出绩效评价管理办法&gt;的通知》（财预〔2020〕10号）以及自治区财政厅《自治区财政支出绩效评价管理暂行办法》（新财预〔2018〕189号）等文件规定，对2022年度我单位实施的2023年城市基础设施配套费安排的支出（债务清欠平台隐性债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7CA29E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331E7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城市基础设施配套费安排的支出（债务清欠平台隐性债务）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CC83A1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0453E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陈丽华（单位党组副书记）任评价组组长，绩效评价工作职责为检查项目绩效指标完成情况、审定项目支出绩效评价结果及项目支出绩效评价报告。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阿德力（单位党组成员）任评价组副组长，绩效评价工作职责为组织和协调项目工作人员采取实地调查、资料检查等方式，核实项目绩效指标完成情况；组织受益对象对项目工作进行评价等。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张红兵（单位干部）任评价组成员，绩效评价工作职责为做好项目支出绩效评价工作的沟通协调工作，对项目实施情况进行实地调查，编写项目支出绩效评价报告。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建立和落实档案管理制度，将项目相关资料存档，包括但不限于：评价项目基本情况和相关文件、评价实施方案、项目支付资料等相关档案。</w:t>
      </w:r>
    </w:p>
    <w:p w14:paraId="7C6BF30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36925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　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通过2023年城市基础设施配套费安排的支出（债务清欠平台隐性债务）项目的实施，保障中小学幼儿园建设项目、设备购置，改善全县幼儿园中小学办学条件。，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评价采取定量与定性评价相结合的方式，对2023年城市基础设施配套费安排的支出（债务清欠平台隐性债务）项目的绩效目标和各项具体绩效指标实现情况进行了客观评价，最终评分为100分。绩效评级为“优秀”，具体得分情况为：项目决策20分、项目过程20分、项目产出30分、项目效益30分。</w:t>
      </w:r>
    </w:p>
    <w:p w14:paraId="6231BB6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E51F9E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36396E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73243A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77AD2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2.预算执行率：本项目预算较为详细，预算资金1674.13万元，实际执行</w:t>
      </w:r>
      <w:r>
        <w:rPr>
          <w:rStyle w:val="18"/>
          <w:rFonts w:hint="eastAsia" w:ascii="楷体" w:hAnsi="楷体" w:eastAsia="楷体"/>
          <w:b w:val="0"/>
          <w:bCs w:val="0"/>
          <w:spacing w:val="-4"/>
          <w:sz w:val="32"/>
          <w:szCs w:val="32"/>
          <w:lang w:eastAsia="zh-CN"/>
        </w:rPr>
        <w:t>1674.13</w:t>
      </w:r>
      <w:r>
        <w:rPr>
          <w:rStyle w:val="18"/>
          <w:rFonts w:hint="eastAsia" w:ascii="楷体" w:hAnsi="楷体" w:eastAsia="楷体"/>
          <w:b w:val="0"/>
          <w:bCs w:val="0"/>
          <w:spacing w:val="-4"/>
          <w:sz w:val="32"/>
          <w:szCs w:val="32"/>
        </w:rPr>
        <w:t>万元，预算</w:t>
      </w:r>
      <w:bookmarkStart w:id="0" w:name="_GoBack"/>
      <w:bookmarkEnd w:id="0"/>
      <w:r>
        <w:rPr>
          <w:rStyle w:val="18"/>
          <w:rFonts w:hint="eastAsia" w:ascii="楷体" w:hAnsi="楷体" w:eastAsia="楷体"/>
          <w:b w:val="0"/>
          <w:bCs w:val="0"/>
          <w:spacing w:val="-4"/>
          <w:sz w:val="32"/>
          <w:szCs w:val="32"/>
        </w:rPr>
        <w:t>执行率为</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3.资金使用合规性：项目任务下达后，我单位制定了《项目支出绩效管理办法》制度和管理规定对经费使用进行规范管理，财务制度健全、执行严格，根据评分标准，该指标5分，得5分。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4.管理制度健全性：我单位制定了《项目支出绩效管理办法》等相关项目管理办法，同时对财政专项资金进行严格管理，基本做到了专款专用，根据评分标准，该指标2分，得2分。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80B28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4418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“债务清欠项目还款数量”指标，预期指标值为“44个”，实际完成44个，与预期目标一致，根据评分标准，该指标4分，得4分。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“涉及学校幼儿园数量”指标，预期指标值为“&gt;=48所”，实际完成=48所，与预期目标一致，根据评分标准，该指标4分，得4分。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“资金足额到位率”指标，预期指标值为“100%”，实际完成率100%，与预期目标一致，根据评分标准，该指标4分，得4分。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“预算资金支付执行率”指标，预期指标值为“100%”，实际完成率100%，与预期目标一致，根据评分标准，该指标4分，得4分。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“资金拨付执行率”指标，预期指标值为“100%”，实际完成率100%，与预期目标一致，根据评分标准，该指标4分，得4分。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“项目结束时间”指标，预期指标值为“2023年12月31日”，实际完成率100%，与预期目标一致，根据评分标准，该指标4分，得4分。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“债务清欠还款资金支出”指标，预期指标值为“≥1674.13万元”，实际支付</w:t>
      </w:r>
      <w:r>
        <w:rPr>
          <w:rStyle w:val="18"/>
          <w:rFonts w:hint="eastAsia" w:ascii="楷体" w:hAnsi="楷体" w:eastAsia="楷体"/>
          <w:b w:val="0"/>
          <w:bCs w:val="0"/>
          <w:spacing w:val="-4"/>
          <w:sz w:val="32"/>
          <w:szCs w:val="32"/>
          <w:lang w:eastAsia="zh-CN"/>
        </w:rPr>
        <w:t>1674.13</w:t>
      </w:r>
      <w:r>
        <w:rPr>
          <w:rStyle w:val="18"/>
          <w:rFonts w:hint="eastAsia" w:ascii="楷体" w:hAnsi="楷体" w:eastAsia="楷体"/>
          <w:b w:val="0"/>
          <w:bCs w:val="0"/>
          <w:spacing w:val="-4"/>
          <w:sz w:val="32"/>
          <w:szCs w:val="32"/>
        </w:rPr>
        <w:t>万元，与预期目标一致，根据评分标准，该指标3分，得3分。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“项目成本控制率”指标，预期指标值为“100%”，实际完成率100%，与预期目标一致，根据评分标准，该指标3分，得3分。</w:t>
      </w:r>
    </w:p>
    <w:p w14:paraId="3037774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D4600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项目效益类指标由2个二级指标和4个三级指标构成，权重分为30分，本项目实际得分30分，得分率为100.0%。具体各项指标得分如下：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“改善中小学幼儿园办学条件”指标，预期指标值为“有效改善”，按评判等级赋分可知，实际完成值为“有效改善”，根据评分标准，该指标10分，得10分。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“推动呼图壁教育均衡发展”指标，预期指标值为“效果显著”，按评判等级赋分可知，实际完成值为“好”，根据评分标准，该指标10分，得10分。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“学生家长满意度”指标，预期指标值为“≥90%”，收益对象满意度满意度达100%，根据评分标准，该指标10分,得10分。</w:t>
      </w:r>
    </w:p>
    <w:p w14:paraId="31C62E76">
      <w:pPr>
        <w:spacing w:line="540" w:lineRule="exact"/>
        <w:ind w:firstLine="567"/>
        <w:rPr>
          <w:rStyle w:val="18"/>
          <w:rFonts w:ascii="楷体" w:hAnsi="楷体" w:eastAsia="楷体"/>
          <w:spacing w:val="-4"/>
          <w:sz w:val="32"/>
          <w:szCs w:val="32"/>
        </w:rPr>
      </w:pPr>
    </w:p>
    <w:p w14:paraId="250754A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148A031">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　　　　（一）预算执行进度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2023年城市基础设施配套费安排的支出（债务清欠平台隐性债务）预算金额1674.13万元，实际到位</w:t>
      </w:r>
      <w:r>
        <w:rPr>
          <w:rStyle w:val="18"/>
          <w:rFonts w:hint="eastAsia" w:ascii="楷体" w:hAnsi="楷体" w:eastAsia="楷体"/>
          <w:b w:val="0"/>
          <w:bCs w:val="0"/>
          <w:spacing w:val="-4"/>
          <w:sz w:val="32"/>
          <w:szCs w:val="32"/>
          <w:lang w:eastAsia="zh-CN"/>
        </w:rPr>
        <w:t>1674.13</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1674.13</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本项目执行绩效指标不存在偏差</w:t>
      </w:r>
    </w:p>
    <w:p w14:paraId="15CDE8D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DD8090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D3EFD0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77D693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高度重视，加强领导，精心组织。项目绩效领导小组对绩效评价工作进行指导、监督、检查，确保项目绩效评价反映项目完成真实情况。严格执行项目绩效评价工作要求，切实提高项目绩效报告的客观性和公正性。</w:t>
      </w:r>
    </w:p>
    <w:p w14:paraId="73CEFAD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A7477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本单位对上述项目支出绩效评价报告内反映内容的真实性、完整性负责，并接受上级部门及社会公众监督。</w:t>
      </w:r>
    </w:p>
    <w:p w14:paraId="6B988EAC">
      <w:pPr>
        <w:spacing w:line="540" w:lineRule="exact"/>
        <w:ind w:firstLine="567"/>
        <w:rPr>
          <w:rStyle w:val="18"/>
          <w:rFonts w:ascii="仿宋" w:hAnsi="仿宋" w:eastAsia="仿宋"/>
          <w:b w:val="0"/>
          <w:spacing w:val="-4"/>
          <w:sz w:val="32"/>
          <w:szCs w:val="32"/>
        </w:rPr>
      </w:pPr>
    </w:p>
    <w:p w14:paraId="4CAECCE9">
      <w:pPr>
        <w:spacing w:line="540" w:lineRule="exact"/>
        <w:ind w:firstLine="567"/>
        <w:rPr>
          <w:rStyle w:val="18"/>
          <w:rFonts w:ascii="仿宋" w:hAnsi="仿宋" w:eastAsia="仿宋"/>
          <w:b w:val="0"/>
          <w:spacing w:val="-4"/>
          <w:sz w:val="32"/>
          <w:szCs w:val="32"/>
        </w:rPr>
      </w:pPr>
    </w:p>
    <w:p w14:paraId="7EC76B7B">
      <w:pPr>
        <w:spacing w:line="540" w:lineRule="exact"/>
        <w:ind w:firstLine="567"/>
        <w:rPr>
          <w:rStyle w:val="18"/>
          <w:rFonts w:ascii="仿宋" w:hAnsi="仿宋" w:eastAsia="仿宋"/>
          <w:b w:val="0"/>
          <w:spacing w:val="-4"/>
          <w:sz w:val="32"/>
          <w:szCs w:val="32"/>
        </w:rPr>
      </w:pPr>
    </w:p>
    <w:p w14:paraId="3809412C">
      <w:pPr>
        <w:spacing w:line="540" w:lineRule="exact"/>
        <w:ind w:firstLine="567"/>
        <w:rPr>
          <w:rStyle w:val="18"/>
          <w:rFonts w:ascii="仿宋" w:hAnsi="仿宋" w:eastAsia="仿宋"/>
          <w:b w:val="0"/>
          <w:spacing w:val="-4"/>
          <w:sz w:val="32"/>
          <w:szCs w:val="32"/>
        </w:rPr>
      </w:pPr>
    </w:p>
    <w:p w14:paraId="710A706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8B791B">
        <w:pPr>
          <w:pStyle w:val="12"/>
          <w:jc w:val="center"/>
        </w:pPr>
        <w:r>
          <w:fldChar w:fldCharType="begin"/>
        </w:r>
        <w:r>
          <w:instrText xml:space="preserve">PAGE   \* MERGEFORMAT</w:instrText>
        </w:r>
        <w:r>
          <w:fldChar w:fldCharType="separate"/>
        </w:r>
        <w:r>
          <w:rPr>
            <w:lang w:val="zh-CN"/>
          </w:rPr>
          <w:t>2</w:t>
        </w:r>
        <w:r>
          <w:fldChar w:fldCharType="end"/>
        </w:r>
      </w:p>
    </w:sdtContent>
  </w:sdt>
  <w:p w14:paraId="0B5EA1F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B7360C2"/>
    <w:rsid w:val="62051CA5"/>
    <w:rsid w:val="65180ECD"/>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7079</Words>
  <Characters>7418</Characters>
  <Lines>4</Lines>
  <Paragraphs>1</Paragraphs>
  <TotalTime>4</TotalTime>
  <ScaleCrop>false</ScaleCrop>
  <LinksUpToDate>false</LinksUpToDate>
  <CharactersWithSpaces>7987</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2024-08-15T05:51:31Z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