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C2B5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E337E26">
      <w:pPr>
        <w:spacing w:line="540" w:lineRule="exact"/>
        <w:jc w:val="center"/>
        <w:rPr>
          <w:rFonts w:ascii="华文中宋" w:hAnsi="华文中宋" w:eastAsia="华文中宋" w:cs="宋体"/>
          <w:b/>
          <w:kern w:val="0"/>
          <w:sz w:val="52"/>
          <w:szCs w:val="52"/>
        </w:rPr>
      </w:pPr>
    </w:p>
    <w:p w14:paraId="2213FC93">
      <w:pPr>
        <w:spacing w:line="540" w:lineRule="exact"/>
        <w:jc w:val="center"/>
        <w:rPr>
          <w:rFonts w:ascii="华文中宋" w:hAnsi="华文中宋" w:eastAsia="华文中宋" w:cs="宋体"/>
          <w:b/>
          <w:kern w:val="0"/>
          <w:sz w:val="52"/>
          <w:szCs w:val="52"/>
        </w:rPr>
      </w:pPr>
    </w:p>
    <w:p w14:paraId="2714A42F">
      <w:pPr>
        <w:spacing w:line="540" w:lineRule="exact"/>
        <w:jc w:val="center"/>
        <w:rPr>
          <w:rFonts w:ascii="华文中宋" w:hAnsi="华文中宋" w:eastAsia="华文中宋" w:cs="宋体"/>
          <w:b/>
          <w:kern w:val="0"/>
          <w:sz w:val="52"/>
          <w:szCs w:val="52"/>
        </w:rPr>
      </w:pPr>
    </w:p>
    <w:p w14:paraId="112C7CA0">
      <w:pPr>
        <w:spacing w:line="540" w:lineRule="exact"/>
        <w:jc w:val="center"/>
        <w:rPr>
          <w:rFonts w:ascii="华文中宋" w:hAnsi="华文中宋" w:eastAsia="华文中宋" w:cs="宋体"/>
          <w:b/>
          <w:kern w:val="0"/>
          <w:sz w:val="52"/>
          <w:szCs w:val="52"/>
        </w:rPr>
      </w:pPr>
    </w:p>
    <w:p w14:paraId="12CD09EB">
      <w:pPr>
        <w:spacing w:line="540" w:lineRule="exact"/>
        <w:jc w:val="center"/>
        <w:rPr>
          <w:rFonts w:ascii="华文中宋" w:hAnsi="华文中宋" w:eastAsia="华文中宋" w:cs="宋体"/>
          <w:b/>
          <w:kern w:val="0"/>
          <w:sz w:val="52"/>
          <w:szCs w:val="52"/>
        </w:rPr>
      </w:pPr>
    </w:p>
    <w:p w14:paraId="2F0BCD28">
      <w:pPr>
        <w:spacing w:line="540" w:lineRule="exact"/>
        <w:jc w:val="center"/>
        <w:rPr>
          <w:rFonts w:ascii="华文中宋" w:hAnsi="华文中宋" w:eastAsia="华文中宋" w:cs="宋体"/>
          <w:b/>
          <w:kern w:val="0"/>
          <w:sz w:val="52"/>
          <w:szCs w:val="52"/>
        </w:rPr>
      </w:pPr>
    </w:p>
    <w:p w14:paraId="3DDF6B4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1E51488">
      <w:pPr>
        <w:spacing w:line="540" w:lineRule="exact"/>
        <w:jc w:val="center"/>
        <w:rPr>
          <w:rFonts w:ascii="华文中宋" w:hAnsi="华文中宋" w:eastAsia="华文中宋" w:cs="宋体"/>
          <w:b/>
          <w:kern w:val="0"/>
          <w:sz w:val="52"/>
          <w:szCs w:val="52"/>
        </w:rPr>
      </w:pPr>
    </w:p>
    <w:p w14:paraId="4B865C6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9C8F053">
      <w:pPr>
        <w:spacing w:line="540" w:lineRule="exact"/>
        <w:jc w:val="center"/>
        <w:rPr>
          <w:rFonts w:hAnsi="宋体" w:eastAsia="仿宋_GB2312" w:cs="宋体"/>
          <w:kern w:val="0"/>
          <w:sz w:val="30"/>
          <w:szCs w:val="30"/>
        </w:rPr>
      </w:pPr>
    </w:p>
    <w:p w14:paraId="02ABCFD6">
      <w:pPr>
        <w:spacing w:line="540" w:lineRule="exact"/>
        <w:jc w:val="center"/>
        <w:rPr>
          <w:rFonts w:hAnsi="宋体" w:eastAsia="仿宋_GB2312" w:cs="宋体"/>
          <w:kern w:val="0"/>
          <w:sz w:val="30"/>
          <w:szCs w:val="30"/>
        </w:rPr>
      </w:pPr>
    </w:p>
    <w:p w14:paraId="7833E5CF">
      <w:pPr>
        <w:spacing w:line="540" w:lineRule="exact"/>
        <w:jc w:val="center"/>
        <w:rPr>
          <w:rFonts w:hAnsi="宋体" w:eastAsia="仿宋_GB2312" w:cs="宋体"/>
          <w:kern w:val="0"/>
          <w:sz w:val="30"/>
          <w:szCs w:val="30"/>
        </w:rPr>
      </w:pPr>
    </w:p>
    <w:p w14:paraId="0DBA75FB">
      <w:pPr>
        <w:spacing w:line="540" w:lineRule="exact"/>
        <w:jc w:val="center"/>
        <w:rPr>
          <w:rFonts w:hAnsi="宋体" w:eastAsia="仿宋_GB2312" w:cs="宋体"/>
          <w:kern w:val="0"/>
          <w:sz w:val="30"/>
          <w:szCs w:val="30"/>
        </w:rPr>
      </w:pPr>
    </w:p>
    <w:p w14:paraId="76A80495">
      <w:pPr>
        <w:spacing w:line="540" w:lineRule="exact"/>
        <w:jc w:val="center"/>
        <w:rPr>
          <w:rFonts w:hAnsi="宋体" w:eastAsia="仿宋_GB2312" w:cs="宋体"/>
          <w:kern w:val="0"/>
          <w:sz w:val="30"/>
          <w:szCs w:val="30"/>
        </w:rPr>
      </w:pPr>
    </w:p>
    <w:p w14:paraId="3DEA87DF">
      <w:pPr>
        <w:spacing w:line="540" w:lineRule="exact"/>
        <w:jc w:val="center"/>
        <w:rPr>
          <w:rFonts w:hAnsi="宋体" w:eastAsia="仿宋_GB2312" w:cs="宋体"/>
          <w:kern w:val="0"/>
          <w:sz w:val="30"/>
          <w:szCs w:val="30"/>
        </w:rPr>
      </w:pPr>
    </w:p>
    <w:p w14:paraId="35EE6446">
      <w:pPr>
        <w:spacing w:line="540" w:lineRule="exact"/>
        <w:rPr>
          <w:rFonts w:hAnsi="宋体" w:eastAsia="仿宋_GB2312" w:cs="宋体"/>
          <w:kern w:val="0"/>
          <w:sz w:val="30"/>
          <w:szCs w:val="30"/>
        </w:rPr>
      </w:pPr>
    </w:p>
    <w:p w14:paraId="3F622FA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06A788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中央支持地方公共文化服务体系建设补助资金</w:t>
      </w:r>
    </w:p>
    <w:p w14:paraId="2293A63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呼图壁县文化体育广播电视和旅游局</w:t>
      </w:r>
    </w:p>
    <w:p w14:paraId="24EBC81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呼图壁县文化体育广播电视和旅游局</w:t>
      </w:r>
    </w:p>
    <w:p w14:paraId="3B2F427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郝宇杰</w:t>
      </w:r>
    </w:p>
    <w:p w14:paraId="27F9E47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14:paraId="31D57A74">
      <w:pPr>
        <w:spacing w:line="700" w:lineRule="exact"/>
        <w:ind w:firstLine="708" w:firstLineChars="236"/>
        <w:jc w:val="left"/>
        <w:rPr>
          <w:rFonts w:hAnsi="宋体" w:eastAsia="仿宋_GB2312" w:cs="宋体"/>
          <w:kern w:val="0"/>
          <w:sz w:val="30"/>
          <w:szCs w:val="30"/>
        </w:rPr>
      </w:pPr>
    </w:p>
    <w:p w14:paraId="72B35AC6">
      <w:pPr>
        <w:spacing w:line="540" w:lineRule="exact"/>
        <w:rPr>
          <w:rStyle w:val="18"/>
          <w:rFonts w:ascii="黑体" w:hAnsi="黑体" w:eastAsia="黑体"/>
          <w:b w:val="0"/>
          <w:spacing w:val="-4"/>
          <w:sz w:val="32"/>
          <w:szCs w:val="32"/>
        </w:rPr>
      </w:pPr>
    </w:p>
    <w:p w14:paraId="40F9B5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6BFFAA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34600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为深入学习贯彻党的二十大精神，认真诠释二十大报告提出的“推 进文化自信自强，铸就社会主义文化新辉煌”的深刻意义，进一步贯彻 落实第三次中央新疆工作座谈会和第八次全国对口支援新疆工作会议精 神，深入实施文化润疆，推广“全民阅读，营造书香呼图壁”。根据昌 吉州党委宣传部提出“加大阵地建设，争取福建援疆加大对城市智慧书 屋，呼图壁县建成 1 座城市书屋”的工作要求，呼图壁县文化体育广播 电视和旅游局结合呼图壁县城实际，拟选址建设一座“福建援疆·城市 书屋”，拟装修规模约 450 平方米。书屋将发挥龙岩援疆特色和优势， 用红色“木刻版画”展示形式，开展红色文化爱国主义教育，开辟“红 色阅读专栏”，大力宣传福建龙岩革命老区精神，继承和发扬古田会议 精神，打造红色文化与开展全民阅读相结合。 “福建援疆·城市书屋”将按照《中华人民共和国公共图书馆法》 的相关规定，作为呼图壁图书馆分馆，预计藏书量达 15000 册，引入社 会化运营模式，采取政府购买社会化服务，按照公共图书馆运营和创建 全国公共文化先进示范区（县）标准提供公共阅读服务，并提升为智慧 书屋标准，实现“免费借阅、自助借还、通借通还”等智能功能，为市 民提供 24 小时良好的阅读空间，引导广大市民开展读书分享，组织书友 阅读活动、文创文化交流、公益阅读，开展龙岩、呼图壁两地文化交流 等活动，促进龙呼两地交流交往交融，达到资源合理配置和资源共享， 6 获得“1+1＞2”的合力效应。将“福建援疆·城市书屋”打造成“爱读 书、有文化、高品味”的公共文化服务空间，营造一个具有浓厚文化氛 围的“书友之家”和“文化体验馆”，打造成为昌吉州的优秀文化名片！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本项目装修建筑面积 450 平方米，主要建设内容包括：前期设计策 划、选址、场地装修修缮（包括水电暖改造、消防设施、门禁系统）、 统一标识设计和制作、15000 册正版图书配置、RFID 自助借阅系统设备、 微信小程序借阅平台开发、朗读空间、红色木刻版画展示和体验区、红 色木刻版画机器人解说员和引导员（合并为 1 台）、阅读桌椅、书架配 置、儿童电子画屏阅读区、阅读分享区域（舞台）、氛围营造等，同时 包括提供 3 年期的社会化运营管理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文化体育广播电视和旅游局无下属预算单位，下设旅游服务中心、文化馆、图书馆、博物馆、体育馆5个局属单位和党建办、党政办、文体广电科、旅游文保科、财务科、项目办、维稳信访办（安全办）、执法办等8个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2022年呼图壁县文化体育广播电视和旅游局总编制数44个，实有人数39人，同工同酬人员5人，由养老保险基金发放养老金的离退休人员25人。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[2022]74号文件，下达2023年中央支持地方公共文化服务体系建设补助项目资金，预算安排资金总额143.2万元，其中财政资金143.2万元、其他资金0万元，2023年实际收到预算资金143.2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截至2023年12月31日，本项目实际支付资金143.2万元，预算执行率100.0%。项目资金主要用于支付中央支持地方公共文化服务体系建设补助项目费用143.2万元。</w:t>
      </w:r>
    </w:p>
    <w:p w14:paraId="5D7613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B017D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呼图壁县翠湖书苑不仅仅是提供图书和阅读的空间，更是社交和亲 子教育空间，将打造一所兼具学习、阅读与环保的非正式学习空间。我 们着重于考虑将阅读与体验的结合，让读者在舒适、愉快的环境中阅读。 构造新业态、新场景、新体验，最终将呼图壁县翠湖书苑打造成为：1、 10 11 县图书馆分馆；2、红色爱国主义教育基地；3、全疆全民阅读示范点；4、 文化润疆文化援疆阵地。 实现公益书店、自助借阅、免费借还、通借通还、24 小时开放的智 慧书屋功能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“装修建筑面积”指标，预期指标值为“&gt;=450平方米”；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“项目建设成本”指标，预期指标值为“&lt;=143.20万元”；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“提高文化服务能力”指标，预期指标值为“有效提高”；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“受灾群众满意度”指标，预期指标值为“&gt;=95%”；</w:t>
      </w:r>
    </w:p>
    <w:p w14:paraId="740407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83B7E5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28EBE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中央支持地方公共文化服务体系建设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00D2A9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1FE05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中央支持地方公共文化服务体系建设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075FC0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54532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张弘莺任评价组组长，绩效评价工作职责为检查项目绩效指标完成情况、审定项目支出绩效评价结果及项目支出绩效评价报告。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李春杰任评价组副组长，绩效评价工作职责为组织和协调项目工作人员采取实地调查、资料检查等方式，核实项目绩效指标完成情况；组织受益对象对项目工作进行评价等。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郝宇杰任评价组成员，绩效评价工作职责为做好项目支出绩效评价工作的沟通协调工作，对项目实施情况进行实地调查，编写项目支出绩效评价报告。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365124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62CEA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通过中央支持地方公共文化服务体系建设补助项目的实施，营造了一个具有浓厚文化氛围的“书友之家”和“文化体验馆”， 对国家倡导全民阅读工作的推进起到了积极的作用，该项目预算执行率达100%，项目预期绩效目标及各项具体指标均已全部达成。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中央支持地方公共文化服务体系建设补助项目的绩效目标和各项具体绩效指标实现情况进行了客观评价，最终评分为100分。绩效评级为“优秀”，具体得分情况为：项目决策20分、项目过程20分、项目产出30分、项目效益30分。</w:t>
      </w:r>
    </w:p>
    <w:p w14:paraId="67C98A1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AB3E1E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4FC238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0E398A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0AD99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2.预算执行率：本项目预算较为详细，预算资金143.2万元，实际执行143.2万元，预算执行率为100%，项目资金支出总体能够按照预算执行，根据评分标准，该指标5分，得5分。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3.资金使用合规性：项目任务下达后，我单位制定了相关制度和管理规定对经费使用进行规范管理，财务制度健全、执行严格，根据评分标准，该指标5分，得5分。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18EC4A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5B715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“装修建筑面积”指标，预期指标值为“&gt;=450平方米”，实际完成450平方米，与预期目标一致，根据评分标准，该指标6分，得6分。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“项目验收合格率”指标，预期指标值为“=100%</w:t>
      </w:r>
      <w:r>
        <w:rPr>
          <w:rStyle w:val="18"/>
          <w:rFonts w:hint="eastAsia" w:ascii="楷体" w:hAnsi="楷体" w:eastAsia="楷体"/>
          <w:b w:val="0"/>
          <w:bCs w:val="0"/>
          <w:spacing w:val="-4"/>
          <w:sz w:val="32"/>
          <w:szCs w:val="32"/>
        </w:rPr>
        <w:tab/>
        <w:t>”，实际完成100%</w:t>
      </w:r>
      <w:r>
        <w:rPr>
          <w:rStyle w:val="18"/>
          <w:rFonts w:hint="eastAsia" w:ascii="楷体" w:hAnsi="楷体" w:eastAsia="楷体"/>
          <w:b w:val="0"/>
          <w:bCs w:val="0"/>
          <w:spacing w:val="-4"/>
          <w:sz w:val="32"/>
          <w:szCs w:val="32"/>
        </w:rPr>
        <w:tab/>
        <w:t>，与预期目标一致，根据评分标准，该指标6分，得6分。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“项目建设成本”指标，预期指标值为“&lt;=143.20万元”，实际完成&lt;=143.20万元，与预期目标一致，根据评分标准，该指标6分，得6分。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p>
    <w:p w14:paraId="1FB2745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290D0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“提高文化服务能力”指标，预期指标值为“有效提高”，实际完成值为“100%”，根据评分标准，该指标20分，得20分。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“受灾群众满意度”指标，预期指标值为“&gt;=95%”，受灾群众满意度达95%，根据评分标准，该指标10分,得10分。</w:t>
      </w:r>
    </w:p>
    <w:p w14:paraId="3CA12F2A">
      <w:pPr>
        <w:spacing w:line="540" w:lineRule="exact"/>
        <w:ind w:firstLine="567"/>
        <w:rPr>
          <w:rStyle w:val="18"/>
          <w:rFonts w:ascii="楷体" w:hAnsi="楷体" w:eastAsia="楷体"/>
          <w:spacing w:val="-4"/>
          <w:sz w:val="32"/>
          <w:szCs w:val="32"/>
        </w:rPr>
      </w:pPr>
    </w:p>
    <w:p w14:paraId="30E1792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515263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中央支持地方公共文化服务体系建设补助资金金额143.2万元，实际到位143.2万元，实际支出143.2万元，预算执行率为100%。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7000D09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16C7F8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F79C9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AA70B7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A4BC24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7E90C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795686B">
      <w:pPr>
        <w:spacing w:line="540" w:lineRule="exact"/>
        <w:ind w:firstLine="567"/>
        <w:rPr>
          <w:rStyle w:val="18"/>
          <w:rFonts w:ascii="仿宋" w:hAnsi="仿宋" w:eastAsia="仿宋"/>
          <w:b w:val="0"/>
          <w:spacing w:val="-4"/>
          <w:sz w:val="32"/>
          <w:szCs w:val="32"/>
        </w:rPr>
      </w:pPr>
    </w:p>
    <w:p w14:paraId="6C433586">
      <w:pPr>
        <w:spacing w:line="540" w:lineRule="exact"/>
        <w:ind w:firstLine="567"/>
        <w:rPr>
          <w:rStyle w:val="18"/>
          <w:rFonts w:ascii="仿宋" w:hAnsi="仿宋" w:eastAsia="仿宋"/>
          <w:b w:val="0"/>
          <w:spacing w:val="-4"/>
          <w:sz w:val="32"/>
          <w:szCs w:val="32"/>
        </w:rPr>
      </w:pPr>
    </w:p>
    <w:p w14:paraId="6919C16D">
      <w:pPr>
        <w:spacing w:line="540" w:lineRule="exact"/>
        <w:ind w:firstLine="567"/>
        <w:rPr>
          <w:rStyle w:val="18"/>
          <w:rFonts w:ascii="仿宋" w:hAnsi="仿宋" w:eastAsia="仿宋"/>
          <w:b w:val="0"/>
          <w:spacing w:val="-4"/>
          <w:sz w:val="32"/>
          <w:szCs w:val="32"/>
        </w:rPr>
      </w:pPr>
    </w:p>
    <w:p w14:paraId="36044E8E">
      <w:pPr>
        <w:spacing w:line="540" w:lineRule="exact"/>
        <w:ind w:firstLine="567"/>
        <w:rPr>
          <w:rStyle w:val="18"/>
          <w:rFonts w:ascii="仿宋" w:hAnsi="仿宋" w:eastAsia="仿宋"/>
          <w:b w:val="0"/>
          <w:spacing w:val="-4"/>
          <w:sz w:val="32"/>
          <w:szCs w:val="32"/>
        </w:rPr>
      </w:pPr>
    </w:p>
    <w:p w14:paraId="7D90BAF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8A37D0D">
        <w:pPr>
          <w:pStyle w:val="12"/>
          <w:jc w:val="center"/>
        </w:pPr>
        <w:r>
          <w:fldChar w:fldCharType="begin"/>
        </w:r>
        <w:r>
          <w:instrText xml:space="preserve">PAGE   \* MERGEFORMAT</w:instrText>
        </w:r>
        <w:r>
          <w:fldChar w:fldCharType="separate"/>
        </w:r>
        <w:r>
          <w:rPr>
            <w:lang w:val="zh-CN"/>
          </w:rPr>
          <w:t>2</w:t>
        </w:r>
        <w:r>
          <w:fldChar w:fldCharType="end"/>
        </w:r>
      </w:p>
    </w:sdtContent>
  </w:sdt>
  <w:p w14:paraId="099B351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25A730B"/>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7162</Words>
  <Characters>7459</Characters>
  <Lines>4</Lines>
  <Paragraphs>1</Paragraphs>
  <TotalTime>4</TotalTime>
  <ScaleCrop>false</ScaleCrop>
  <LinksUpToDate>false</LinksUpToDate>
  <CharactersWithSpaces>7548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2024-08-14T07:20:59Z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