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DE0A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491DDC6">
      <w:pPr>
        <w:spacing w:line="540" w:lineRule="exact"/>
        <w:jc w:val="center"/>
        <w:rPr>
          <w:rFonts w:ascii="华文中宋" w:hAnsi="华文中宋" w:eastAsia="华文中宋" w:cs="宋体"/>
          <w:b/>
          <w:kern w:val="0"/>
          <w:sz w:val="52"/>
          <w:szCs w:val="52"/>
        </w:rPr>
      </w:pPr>
    </w:p>
    <w:p w14:paraId="375BB945">
      <w:pPr>
        <w:spacing w:line="540" w:lineRule="exact"/>
        <w:jc w:val="center"/>
        <w:rPr>
          <w:rFonts w:ascii="华文中宋" w:hAnsi="华文中宋" w:eastAsia="华文中宋" w:cs="宋体"/>
          <w:b/>
          <w:kern w:val="0"/>
          <w:sz w:val="52"/>
          <w:szCs w:val="52"/>
        </w:rPr>
      </w:pPr>
    </w:p>
    <w:p w14:paraId="039F9FA8">
      <w:pPr>
        <w:spacing w:line="540" w:lineRule="exact"/>
        <w:jc w:val="center"/>
        <w:rPr>
          <w:rFonts w:ascii="华文中宋" w:hAnsi="华文中宋" w:eastAsia="华文中宋" w:cs="宋体"/>
          <w:b/>
          <w:kern w:val="0"/>
          <w:sz w:val="52"/>
          <w:szCs w:val="52"/>
        </w:rPr>
      </w:pPr>
    </w:p>
    <w:p w14:paraId="38EF4852">
      <w:pPr>
        <w:spacing w:line="540" w:lineRule="exact"/>
        <w:jc w:val="center"/>
        <w:rPr>
          <w:rFonts w:ascii="华文中宋" w:hAnsi="华文中宋" w:eastAsia="华文中宋" w:cs="宋体"/>
          <w:b/>
          <w:kern w:val="0"/>
          <w:sz w:val="52"/>
          <w:szCs w:val="52"/>
        </w:rPr>
      </w:pPr>
    </w:p>
    <w:p w14:paraId="79E2C691">
      <w:pPr>
        <w:spacing w:line="540" w:lineRule="exact"/>
        <w:jc w:val="center"/>
        <w:rPr>
          <w:rFonts w:ascii="华文中宋" w:hAnsi="华文中宋" w:eastAsia="华文中宋" w:cs="宋体"/>
          <w:b/>
          <w:kern w:val="0"/>
          <w:sz w:val="52"/>
          <w:szCs w:val="52"/>
        </w:rPr>
      </w:pPr>
    </w:p>
    <w:p w14:paraId="7196519C">
      <w:pPr>
        <w:spacing w:line="540" w:lineRule="exact"/>
        <w:jc w:val="center"/>
        <w:rPr>
          <w:rFonts w:ascii="华文中宋" w:hAnsi="华文中宋" w:eastAsia="华文中宋" w:cs="宋体"/>
          <w:b/>
          <w:kern w:val="0"/>
          <w:sz w:val="52"/>
          <w:szCs w:val="52"/>
        </w:rPr>
      </w:pPr>
    </w:p>
    <w:p w14:paraId="1DEE9B0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56F76B8">
      <w:pPr>
        <w:spacing w:line="540" w:lineRule="exact"/>
        <w:jc w:val="center"/>
        <w:rPr>
          <w:rFonts w:ascii="华文中宋" w:hAnsi="华文中宋" w:eastAsia="华文中宋" w:cs="宋体"/>
          <w:b/>
          <w:kern w:val="0"/>
          <w:sz w:val="52"/>
          <w:szCs w:val="52"/>
        </w:rPr>
      </w:pPr>
    </w:p>
    <w:p w14:paraId="3320AA2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B86287A">
      <w:pPr>
        <w:spacing w:line="540" w:lineRule="exact"/>
        <w:jc w:val="center"/>
        <w:rPr>
          <w:rFonts w:hAnsi="宋体" w:eastAsia="仿宋_GB2312" w:cs="宋体"/>
          <w:kern w:val="0"/>
          <w:sz w:val="30"/>
          <w:szCs w:val="30"/>
        </w:rPr>
      </w:pPr>
    </w:p>
    <w:p w14:paraId="651C00BD">
      <w:pPr>
        <w:spacing w:line="540" w:lineRule="exact"/>
        <w:jc w:val="center"/>
        <w:rPr>
          <w:rFonts w:hAnsi="宋体" w:eastAsia="仿宋_GB2312" w:cs="宋体"/>
          <w:kern w:val="0"/>
          <w:sz w:val="30"/>
          <w:szCs w:val="30"/>
        </w:rPr>
      </w:pPr>
    </w:p>
    <w:p w14:paraId="54E3B5AC">
      <w:pPr>
        <w:spacing w:line="540" w:lineRule="exact"/>
        <w:jc w:val="center"/>
        <w:rPr>
          <w:rFonts w:hAnsi="宋体" w:eastAsia="仿宋_GB2312" w:cs="宋体"/>
          <w:kern w:val="0"/>
          <w:sz w:val="30"/>
          <w:szCs w:val="30"/>
        </w:rPr>
      </w:pPr>
    </w:p>
    <w:p w14:paraId="71C5E760">
      <w:pPr>
        <w:spacing w:line="540" w:lineRule="exact"/>
        <w:jc w:val="center"/>
        <w:rPr>
          <w:rFonts w:hAnsi="宋体" w:eastAsia="仿宋_GB2312" w:cs="宋体"/>
          <w:kern w:val="0"/>
          <w:sz w:val="30"/>
          <w:szCs w:val="30"/>
        </w:rPr>
      </w:pPr>
    </w:p>
    <w:p w14:paraId="3F3100CC">
      <w:pPr>
        <w:spacing w:line="540" w:lineRule="exact"/>
        <w:jc w:val="center"/>
        <w:rPr>
          <w:rFonts w:hAnsi="宋体" w:eastAsia="仿宋_GB2312" w:cs="宋体"/>
          <w:kern w:val="0"/>
          <w:sz w:val="30"/>
          <w:szCs w:val="30"/>
        </w:rPr>
      </w:pPr>
    </w:p>
    <w:p w14:paraId="7AB2DDB4">
      <w:pPr>
        <w:spacing w:line="540" w:lineRule="exact"/>
        <w:jc w:val="center"/>
        <w:rPr>
          <w:rFonts w:hAnsi="宋体" w:eastAsia="仿宋_GB2312" w:cs="宋体"/>
          <w:kern w:val="0"/>
          <w:sz w:val="30"/>
          <w:szCs w:val="30"/>
        </w:rPr>
      </w:pPr>
    </w:p>
    <w:p w14:paraId="4DD8A52D">
      <w:pPr>
        <w:spacing w:line="540" w:lineRule="exact"/>
        <w:rPr>
          <w:rFonts w:hAnsi="宋体" w:eastAsia="仿宋_GB2312" w:cs="宋体"/>
          <w:kern w:val="0"/>
          <w:sz w:val="30"/>
          <w:szCs w:val="30"/>
        </w:rPr>
      </w:pPr>
    </w:p>
    <w:p w14:paraId="6BE1993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5CE635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2023年县机关事务管理局运转经费</w:t>
      </w:r>
    </w:p>
    <w:p w14:paraId="0069100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呼图壁县机关事务管理局</w:t>
      </w:r>
    </w:p>
    <w:p w14:paraId="5707A50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呼图壁县机关事务管理局</w:t>
      </w:r>
    </w:p>
    <w:p w14:paraId="3C2E832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邢亚男</w:t>
      </w:r>
    </w:p>
    <w:p w14:paraId="2D9CFC6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63A73789">
      <w:pPr>
        <w:spacing w:line="700" w:lineRule="exact"/>
        <w:ind w:firstLine="708" w:firstLineChars="236"/>
        <w:jc w:val="left"/>
        <w:rPr>
          <w:rFonts w:hAnsi="宋体" w:eastAsia="仿宋_GB2312" w:cs="宋体"/>
          <w:kern w:val="0"/>
          <w:sz w:val="30"/>
          <w:szCs w:val="30"/>
        </w:rPr>
      </w:pPr>
    </w:p>
    <w:p w14:paraId="1E35768E">
      <w:pPr>
        <w:spacing w:line="540" w:lineRule="exact"/>
        <w:rPr>
          <w:rStyle w:val="18"/>
          <w:rFonts w:ascii="黑体" w:hAnsi="黑体" w:eastAsia="黑体"/>
          <w:b w:val="0"/>
          <w:spacing w:val="-4"/>
          <w:sz w:val="32"/>
          <w:szCs w:val="32"/>
        </w:rPr>
      </w:pPr>
    </w:p>
    <w:p w14:paraId="26CD38E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2DC9ED7">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730AF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文件要求，稳步推进“节约型机关”建设，确保机关建设节能环保；多措并举完善管理制度与工作流程，确保机关建设廉洁规范；推进机关事务管理服务更规范更优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稳步推进“节约型机关”建设，确保机关建设节能环保；多措并举完善管理制度与工作流程，确保机关建设廉洁规范；推进机关事务管理服务更规范更优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本项目于2023年1月开始实施，截止2023年12月已全部完成，通过本项目的实施，确保单位各项工作顺利开展。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2023年工作经费项目的实施主体为呼图壁县机关事务管理 局，本单位纳入2022年部门决算编制，下设 3个处室，分别是：接待办、行政办、财务室。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编制人数为12人，实有人数11人，其中：在职10人，调出1人，调入1人,退休1人，增加1人；离休0人，增加0人。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根据预算文件，下达2023年工作经费项目资金，预算安排资金总额240万元，其中财政资金240万元、其他资金0万元，2023年实际收到预算资金240万元，预算资金到位率为100%。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截至2023年12月31日，本项目实际支付资金240万元，预算执行率100%。项目资金主要用于支付稳步推进“节约型机关”建设，确保机关建设节能环保；多措并举完善管理制度与工作流程，确保机关建设廉洁规范； 推进机关事务管理服务更规范更优质，保障机关正常运转，日常办公、车辆运行等费用，项目费用240万元。</w:t>
      </w:r>
    </w:p>
    <w:p w14:paraId="45ACCD1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7A484AC">
      <w:pPr>
        <w:spacing w:line="540" w:lineRule="exact"/>
        <w:ind w:firstLine="567"/>
        <w:rPr>
          <w:rStyle w:val="18"/>
          <w:rFonts w:ascii="楷体" w:hAnsi="楷体" w:eastAsia="楷体"/>
          <w:b w:val="0"/>
          <w:bCs w:val="0"/>
          <w:spacing w:val="-4"/>
          <w:sz w:val="32"/>
          <w:szCs w:val="32"/>
        </w:rPr>
      </w:pPr>
      <w:bookmarkStart w:id="0" w:name="_GoBack"/>
      <w:r>
        <w:rPr>
          <w:rStyle w:val="18"/>
          <w:rFonts w:hint="eastAsia" w:ascii="楷体" w:hAnsi="楷体" w:eastAsia="楷体"/>
          <w:b w:val="0"/>
          <w:bCs w:val="0"/>
          <w:spacing w:val="-4"/>
          <w:sz w:val="32"/>
          <w:szCs w:val="32"/>
        </w:rPr>
        <w:t>1.总体目标（根据实际设</w:t>
      </w:r>
      <w:bookmarkEnd w:id="0"/>
      <w:r>
        <w:rPr>
          <w:rStyle w:val="18"/>
          <w:rFonts w:hint="eastAsia" w:ascii="楷体" w:hAnsi="楷体" w:eastAsia="楷体"/>
          <w:b w:val="0"/>
          <w:bCs w:val="0"/>
          <w:spacing w:val="-4"/>
          <w:sz w:val="32"/>
          <w:szCs w:val="32"/>
        </w:rPr>
        <w:t>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稳步推进“节约型机关”建设，确保机关建设节能环保；多措并举完善管理制度与工作流程，确保机关建设廉洁规范； 推进机关事务管理服务更规范更优质，调动干部职工积极性，达到预期绩效目标要求。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“节能宣传覆盖人数”指标，预期指标值为“≥3万人次”；业绩值为3.5万人次；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“保障车辆数量”指标，预期指标值为“≤16辆”；业绩值为16辆；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“工作质量达标率”指标，预期指标值为=100%”；业绩值为100%；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“各项工作完成及时率”指标，预期指标值为“=100%”； 业绩值为100%；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“县级机关管理服务保障、机关食堂管理及办公场所管理费用支出”指标，预期指标值为“≤240万元”；业绩值240万元；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“稳步推进“节约型机关”建设，确保机关建设节能环保”指标，预期指标值为“效果显著”；业绩值效果显著；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“机关单位满意度”指标，预期指标值为“≧95%”；业绩值100%。</w:t>
      </w:r>
    </w:p>
    <w:p w14:paraId="524691D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243BDC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BEDF3B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工作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8FF70F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67C0E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工作经费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1AF1F68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EC5B5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邢亚男任评价组组长，绩效评价工作职责为检查项目绩效指标完成情况、审定项目支出绩效评价结果及项目支出绩效评价报告。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刘亮亮任评价组副组长，绩效评价工作职责为组织和协调项目工作人员采取实地调查、资料检查等方式，核实项目绩效指标完成情况；组织受益对象对项目工作进行评价等。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孙妮妮、徐春雨任评价组成员，绩效评价工作职责为做好项目支出绩效评价工作的沟通协调工作，对项目实施情况进行实地调查，编写项目支出绩效评价报告。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0BD0B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50187B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工作经费项目的实施，解决了本单位工作经费困难，稳步推进了“节约型机关”建设，确保了机关建设节能环保、机关建设廉洁规范；机关事务管理服务更规范更优质，保障了机关正常运转。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工作经费项目的绩效目标和各项具体绩效指标实现情况进行了客观评价，最终评分为100分。绩效评级为“优秀”，具体得分情况为：项目决策20分、项目过程20分、项目产出30分、项目效益30分。</w:t>
      </w:r>
    </w:p>
    <w:p w14:paraId="7EEB497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B0A3DC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805B75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项目决策类指标从项目立项、绩效目标和资金投入三个方面评价项目前期准备工作，权重分值为20分，本项目实际得分20分，得分率为100%。具体各项指标得分如下：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87C902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F67FAD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5个三级指标构成，权重分值为20 分，本项目实际得分20分，得分率为100.00%。具体各项指标得分如下：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2.预算执行率：本项目预算较为详细，预算资金240万元，实际执行240万元，预算执行率为100.00%，项目资金支出总体能够按照预算执行，根据评分标准，该指标5分，得5分。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3.资金使用合规性：项目任务下达后，我单位制定了《项目资金管理办法》制度和管理规定对经费使用进行规范管理，财务制度健全、执行严格，根据评分标准，该指标5分，得5分。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4.管理制度健全性：我单位制定了《项目资金管理办法》等相关项目管理办法，同时对财政专项资金进行严格管理，基本做到了专款专用，根据评分标准，该指标3分，得3分。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2分，得2分。</w:t>
      </w:r>
    </w:p>
    <w:p w14:paraId="14CE4F7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6CD2D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“节能宣传覆盖人数”指标，预期指标值为“≥3万人次”；业绩值为3.5万人次，与预期目标一致，根据评分标准，该指标6分，得6分。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“保障车辆数量”指标，预期指标值为“≤16辆”；业绩值为16辆，与预期目标一致，根据评分标准，该指标6分，得6分。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“工作质量达标率”指标，预期指标值为“=100%”；业绩值为100%，与预期目标一致，根据评分标准，该指标6分，得6分。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“各项工作完成及时率”指标，预期指标值为“=100%”； 业绩值为100%年，与预期目标一致，根据评分标准，该指标6分，得6分。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“县级机关管理服务保障、机关食堂管理及办公场所管理费用支出”指标，预期指标值为“≤240万元”；业绩值240万元，与预期目标不一致，完成100.00%，根据评分标准，该指标6分，得6分。</w:t>
      </w:r>
    </w:p>
    <w:p w14:paraId="30F04B2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A3C10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“稳步推进“节约型机关”建设，确保机关建设节能环保”指标，预期指标值为“效果显著”；业绩值效果显著，与预期目标一致，根据评分标准，该指标20分，得20分。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“机关单位满意度”指标，预期指标值为“≧95%”；业绩值95%，与预期目标一致，根据评分标准，该指标10分,得10分。</w:t>
      </w:r>
    </w:p>
    <w:p w14:paraId="670B02BF">
      <w:pPr>
        <w:spacing w:line="540" w:lineRule="exact"/>
        <w:ind w:firstLine="567"/>
        <w:rPr>
          <w:rStyle w:val="18"/>
          <w:rFonts w:ascii="楷体" w:hAnsi="楷体" w:eastAsia="楷体"/>
          <w:spacing w:val="-4"/>
          <w:sz w:val="32"/>
          <w:szCs w:val="32"/>
        </w:rPr>
      </w:pPr>
    </w:p>
    <w:p w14:paraId="22DDDB0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430D7E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本单位工作经费项目预算金额240万元，实际到位240万元，实际支出240万元，预算执行率为100.00%。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该项目预算执行偏差率为0%。</w:t>
      </w:r>
    </w:p>
    <w:p w14:paraId="34739E0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0365D0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一是对档案工作重视程度不高，意识淡薄。二是单位人员对档案管理工作缺少针对性和目的性,使绩效档案管理与实际业务存在一定偏差，未发挥其综合价值。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项目支出绩效评价工作还存在自我审定的局限性，项目支出绩效工作有较大弹性，评价报告多局限于描述项目实施情况，对问题避重就轻会影响评价质量，在客观性和公正性上说服力不强。</w:t>
      </w:r>
    </w:p>
    <w:p w14:paraId="55C6FB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C19EE8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271945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2357F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200D0CEA">
      <w:pPr>
        <w:spacing w:line="540" w:lineRule="exact"/>
        <w:ind w:firstLine="567"/>
        <w:rPr>
          <w:rStyle w:val="18"/>
          <w:rFonts w:ascii="仿宋" w:hAnsi="仿宋" w:eastAsia="仿宋"/>
          <w:b w:val="0"/>
          <w:spacing w:val="-4"/>
          <w:sz w:val="32"/>
          <w:szCs w:val="32"/>
        </w:rPr>
      </w:pPr>
    </w:p>
    <w:p w14:paraId="71E09878">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F1DA1B3">
        <w:pPr>
          <w:pStyle w:val="12"/>
          <w:jc w:val="center"/>
        </w:pPr>
        <w:r>
          <w:fldChar w:fldCharType="begin"/>
        </w:r>
        <w:r>
          <w:instrText xml:space="preserve">PAGE   \* MERGEFORMAT</w:instrText>
        </w:r>
        <w:r>
          <w:fldChar w:fldCharType="separate"/>
        </w:r>
        <w:r>
          <w:rPr>
            <w:lang w:val="zh-CN"/>
          </w:rPr>
          <w:t>2</w:t>
        </w:r>
        <w:r>
          <w:fldChar w:fldCharType="end"/>
        </w:r>
      </w:p>
    </w:sdtContent>
  </w:sdt>
  <w:p w14:paraId="66394D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NTUwY2Y3NzNhN2YyMWYyN2ZiODRmYTBmNDUy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9C4790"/>
    <w:rsid w:val="11BD75F7"/>
    <w:rsid w:val="13BE561A"/>
    <w:rsid w:val="142C341D"/>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6198</Words>
  <Characters>6447</Characters>
  <Lines>4</Lines>
  <Paragraphs>1</Paragraphs>
  <TotalTime>10</TotalTime>
  <ScaleCrop>false</ScaleCrop>
  <LinksUpToDate>false</LinksUpToDate>
  <CharactersWithSpaces>6476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2024-08-16T08:04:15Z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