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F61CC">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EE2754B">
      <w:pPr>
        <w:spacing w:line="540" w:lineRule="exact"/>
        <w:jc w:val="center"/>
        <w:rPr>
          <w:rFonts w:ascii="华文中宋" w:hAnsi="华文中宋" w:eastAsia="华文中宋" w:cs="宋体"/>
          <w:b/>
          <w:kern w:val="0"/>
          <w:sz w:val="52"/>
          <w:szCs w:val="52"/>
        </w:rPr>
      </w:pPr>
    </w:p>
    <w:p w14:paraId="0817E5F4">
      <w:pPr>
        <w:spacing w:line="540" w:lineRule="exact"/>
        <w:jc w:val="center"/>
        <w:rPr>
          <w:rFonts w:ascii="华文中宋" w:hAnsi="华文中宋" w:eastAsia="华文中宋" w:cs="宋体"/>
          <w:b/>
          <w:kern w:val="0"/>
          <w:sz w:val="52"/>
          <w:szCs w:val="52"/>
        </w:rPr>
      </w:pPr>
    </w:p>
    <w:p w14:paraId="15D60473">
      <w:pPr>
        <w:spacing w:line="540" w:lineRule="exact"/>
        <w:jc w:val="center"/>
        <w:rPr>
          <w:rFonts w:ascii="华文中宋" w:hAnsi="华文中宋" w:eastAsia="华文中宋" w:cs="宋体"/>
          <w:b/>
          <w:kern w:val="0"/>
          <w:sz w:val="52"/>
          <w:szCs w:val="52"/>
        </w:rPr>
      </w:pPr>
    </w:p>
    <w:p w14:paraId="2FB6593F">
      <w:pPr>
        <w:spacing w:line="540" w:lineRule="exact"/>
        <w:jc w:val="center"/>
        <w:rPr>
          <w:rFonts w:ascii="华文中宋" w:hAnsi="华文中宋" w:eastAsia="华文中宋" w:cs="宋体"/>
          <w:b/>
          <w:kern w:val="0"/>
          <w:sz w:val="52"/>
          <w:szCs w:val="52"/>
        </w:rPr>
      </w:pPr>
    </w:p>
    <w:p w14:paraId="0185647B">
      <w:pPr>
        <w:spacing w:line="540" w:lineRule="exact"/>
        <w:jc w:val="center"/>
        <w:rPr>
          <w:rFonts w:ascii="华文中宋" w:hAnsi="华文中宋" w:eastAsia="华文中宋" w:cs="宋体"/>
          <w:b/>
          <w:kern w:val="0"/>
          <w:sz w:val="52"/>
          <w:szCs w:val="52"/>
        </w:rPr>
      </w:pPr>
    </w:p>
    <w:p w14:paraId="33F93A05">
      <w:pPr>
        <w:spacing w:line="540" w:lineRule="exact"/>
        <w:jc w:val="center"/>
        <w:rPr>
          <w:rFonts w:ascii="华文中宋" w:hAnsi="华文中宋" w:eastAsia="华文中宋" w:cs="宋体"/>
          <w:b/>
          <w:kern w:val="0"/>
          <w:sz w:val="52"/>
          <w:szCs w:val="52"/>
        </w:rPr>
      </w:pPr>
    </w:p>
    <w:p w14:paraId="7B25748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81D8D1">
      <w:pPr>
        <w:spacing w:line="540" w:lineRule="exact"/>
        <w:jc w:val="center"/>
        <w:rPr>
          <w:rFonts w:ascii="华文中宋" w:hAnsi="华文中宋" w:eastAsia="华文中宋" w:cs="宋体"/>
          <w:b/>
          <w:kern w:val="0"/>
          <w:sz w:val="52"/>
          <w:szCs w:val="52"/>
        </w:rPr>
      </w:pPr>
    </w:p>
    <w:p w14:paraId="7ACBC13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8C54EE5">
      <w:pPr>
        <w:spacing w:line="540" w:lineRule="exact"/>
        <w:jc w:val="center"/>
        <w:rPr>
          <w:rFonts w:hAnsi="宋体" w:eastAsia="仿宋_GB2312" w:cs="宋体"/>
          <w:kern w:val="0"/>
          <w:sz w:val="30"/>
          <w:szCs w:val="30"/>
        </w:rPr>
      </w:pPr>
    </w:p>
    <w:p w14:paraId="7229EC34">
      <w:pPr>
        <w:spacing w:line="540" w:lineRule="exact"/>
        <w:jc w:val="center"/>
        <w:rPr>
          <w:rFonts w:hAnsi="宋体" w:eastAsia="仿宋_GB2312" w:cs="宋体"/>
          <w:kern w:val="0"/>
          <w:sz w:val="30"/>
          <w:szCs w:val="30"/>
        </w:rPr>
      </w:pPr>
    </w:p>
    <w:p w14:paraId="0CC69927">
      <w:pPr>
        <w:spacing w:line="540" w:lineRule="exact"/>
        <w:jc w:val="center"/>
        <w:rPr>
          <w:rFonts w:hAnsi="宋体" w:eastAsia="仿宋_GB2312" w:cs="宋体"/>
          <w:kern w:val="0"/>
          <w:sz w:val="30"/>
          <w:szCs w:val="30"/>
        </w:rPr>
      </w:pPr>
    </w:p>
    <w:p w14:paraId="3E7A97F2">
      <w:pPr>
        <w:spacing w:line="540" w:lineRule="exact"/>
        <w:jc w:val="center"/>
        <w:rPr>
          <w:rFonts w:hAnsi="宋体" w:eastAsia="仿宋_GB2312" w:cs="宋体"/>
          <w:kern w:val="0"/>
          <w:sz w:val="30"/>
          <w:szCs w:val="30"/>
        </w:rPr>
      </w:pPr>
    </w:p>
    <w:p w14:paraId="5DFB1D78">
      <w:pPr>
        <w:spacing w:line="540" w:lineRule="exact"/>
        <w:jc w:val="center"/>
        <w:rPr>
          <w:rFonts w:hAnsi="宋体" w:eastAsia="仿宋_GB2312" w:cs="宋体"/>
          <w:kern w:val="0"/>
          <w:sz w:val="30"/>
          <w:szCs w:val="30"/>
        </w:rPr>
      </w:pPr>
    </w:p>
    <w:p w14:paraId="25134853">
      <w:pPr>
        <w:spacing w:line="540" w:lineRule="exact"/>
        <w:jc w:val="center"/>
        <w:rPr>
          <w:rFonts w:hAnsi="宋体" w:eastAsia="仿宋_GB2312" w:cs="宋体"/>
          <w:kern w:val="0"/>
          <w:sz w:val="30"/>
          <w:szCs w:val="30"/>
        </w:rPr>
      </w:pPr>
    </w:p>
    <w:p w14:paraId="59A82A50">
      <w:pPr>
        <w:spacing w:line="540" w:lineRule="exact"/>
        <w:rPr>
          <w:rFonts w:hAnsi="宋体" w:eastAsia="仿宋_GB2312" w:cs="宋体"/>
          <w:kern w:val="0"/>
          <w:sz w:val="30"/>
          <w:szCs w:val="30"/>
        </w:rPr>
      </w:pPr>
    </w:p>
    <w:p w14:paraId="1668A1D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B963CF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殡葬管理所墓穴修建资金</w:t>
      </w:r>
    </w:p>
    <w:p w14:paraId="1484306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呼图壁县殡葬管理所</w:t>
      </w:r>
    </w:p>
    <w:p w14:paraId="5BBD0BA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呼图壁县殡葬管理所</w:t>
      </w:r>
    </w:p>
    <w:p w14:paraId="7E89B0B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赵涛</w:t>
      </w:r>
    </w:p>
    <w:p w14:paraId="4B11C59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14:paraId="073D5783">
      <w:pPr>
        <w:spacing w:line="700" w:lineRule="exact"/>
        <w:ind w:firstLine="708" w:firstLineChars="236"/>
        <w:jc w:val="left"/>
        <w:rPr>
          <w:rFonts w:hAnsi="宋体" w:eastAsia="仿宋_GB2312" w:cs="宋体"/>
          <w:kern w:val="0"/>
          <w:sz w:val="30"/>
          <w:szCs w:val="30"/>
        </w:rPr>
      </w:pPr>
    </w:p>
    <w:p w14:paraId="20764B91">
      <w:pPr>
        <w:spacing w:line="540" w:lineRule="exact"/>
        <w:rPr>
          <w:rStyle w:val="18"/>
          <w:rFonts w:ascii="黑体" w:hAnsi="黑体" w:eastAsia="黑体"/>
          <w:b w:val="0"/>
          <w:spacing w:val="-4"/>
          <w:sz w:val="32"/>
          <w:szCs w:val="32"/>
        </w:rPr>
      </w:pPr>
    </w:p>
    <w:p w14:paraId="7284069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E7755C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9285A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该项目主要用于修建呼图壁县殡葬管理所鸿福生态陵园第二公墓墓穴修建工程。截止年底，项目资金130万元已全额支付到位。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资金投入和使用情况：（1）项目资金安排落实、总投入等情况分析，墓穴修建资金项目预算安排总额为130万元，其中财政资金130万元，其他资金0万元，2023年实际收到预算资金130万元，预算资金到位率为100%。</w:t>
      </w:r>
    </w:p>
    <w:p w14:paraId="428EE2A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9ADC0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1.计划修建墓穴个数300个。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2.计划保障全县群众墓穴需求。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3.墓穴修建完成及时率100%。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4.群众对墓穴修建满意度≥90%。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计划修建墓穴个数&gt;=300人;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资金使用不当事例=0件;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墓穴质量合格率=100%。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墓穴修建完成及时率=100%。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满足群众丧葬需求。</w:t>
      </w:r>
    </w:p>
    <w:p w14:paraId="2DCDCC6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622A4D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00A925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困难群众救助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4F2ECC2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0FBFC5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困难群众救助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p>
    <w:p w14:paraId="394D662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DE2D4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有效保障了全县人民群众的丧葬需求，满足了丧葬业多元化发展的道路，对于构建我县和谐社会、经济社会稳定发展具有积极的促进作用。满足群众的丧葬需求，该项目预算执行率达100%，项目预期绩效目标及各项具体指标均已全部达成。</w:t>
      </w:r>
    </w:p>
    <w:p w14:paraId="3A6D807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37410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本次评价采取定量与定性评价相结合的方式，对困难群众救助补助资金项目的绩效目标和各项</w:t>
      </w:r>
      <w:bookmarkStart w:id="0" w:name="_GoBack"/>
      <w:bookmarkEnd w:id="0"/>
      <w:r>
        <w:rPr>
          <w:rStyle w:val="18"/>
          <w:rFonts w:hint="eastAsia" w:ascii="楷体" w:hAnsi="楷体" w:eastAsia="楷体"/>
          <w:b w:val="0"/>
          <w:bCs w:val="0"/>
          <w:spacing w:val="-4"/>
          <w:sz w:val="32"/>
          <w:szCs w:val="32"/>
        </w:rPr>
        <w:t>具体绩效指标实现情况进行了客观评价，最终评分为100分。绩效评级为“优秀”，具体得分情况为：项目决策20分、项目过程20分、项目产出30分、项目效益30分。</w:t>
      </w:r>
    </w:p>
    <w:p w14:paraId="53EE3FF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A174A5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0D12D2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4F09A887">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EAB0F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2.预算执行率：本项目预算较为详细，预算资金130万元，实际执行130万元，预算执行率为100%，项目资金支出总体能够按照预算执行，根据评分标准，该指标5分，得5分。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C0BE5A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EE483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“计划修建墓穴个数”指标，预期指标值为“&gt;=300人”，实际完成300人，与预期目标一致，根据评分标准，该指标5分，得5分。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“资金使用不当事例”指标，预期指标值为“=0件”，实际完成0件，与预期目标一致，根据评分标准，该指标5分，得5分。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“墓穴质量合格率”指标，预期指标值为“=100%”，实际完成100%，与预期目标一致，根据评分标准，该指标5分，得5分。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“墓穴修建完成及时率”指标，预期指标值为“=100%”，实际完成100%，与预期目标一致，根据评分标准，该指标5分，得5分。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“项目成本控制率”指标，预期指标值为“=100%”，实际完成100%，与预期目标一致，根据评分标准，该指标5分，得5分。</w:t>
      </w:r>
    </w:p>
    <w:p w14:paraId="10EE0BB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6CFAE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“满足群众丧葬需求”指标，预期指标值为“有效满足”，实际完成有效满足，与预期目标一致，根据评分标准，该指标30分，得30分。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40F48758">
      <w:pPr>
        <w:spacing w:line="540" w:lineRule="exact"/>
        <w:ind w:firstLine="567"/>
        <w:rPr>
          <w:rStyle w:val="18"/>
          <w:rFonts w:ascii="楷体" w:hAnsi="楷体" w:eastAsia="楷体"/>
          <w:spacing w:val="-4"/>
          <w:sz w:val="32"/>
          <w:szCs w:val="32"/>
        </w:rPr>
      </w:pPr>
    </w:p>
    <w:p w14:paraId="46A2AFF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CEF03C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墓穴修建资金项目预算金额130万元，实际到位130万元，实际支出130万元，预算执行率为100%。</w:t>
      </w:r>
    </w:p>
    <w:p w14:paraId="3342DA0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FF1A95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加强部门协调，齐抓共管，强化监管力度。确保工程质量，严格程序，确保资金效益。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在监督环节上，实行关口前移，从事后监督管理转向事前审核，事中监督和事后检查稽核相结合的监督制度上来，形成多环节全过程的监督管理格局，尽量早发现问题，早解决问题，提高专项资金使用效益。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57B3F45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6AAED6A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085367D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218D2D1">
      <w:pPr>
        <w:spacing w:line="540" w:lineRule="exact"/>
        <w:ind w:firstLine="567"/>
        <w:rPr>
          <w:rStyle w:val="18"/>
          <w:rFonts w:ascii="楷体" w:hAnsi="楷体" w:eastAsia="楷体"/>
          <w:b w:val="0"/>
          <w:bCs w:val="0"/>
          <w:spacing w:val="-4"/>
          <w:sz w:val="32"/>
          <w:szCs w:val="32"/>
        </w:rPr>
      </w:pPr>
    </w:p>
    <w:p w14:paraId="3800CE15">
      <w:pPr>
        <w:spacing w:line="540" w:lineRule="exact"/>
        <w:ind w:firstLine="567"/>
        <w:rPr>
          <w:rStyle w:val="18"/>
          <w:rFonts w:ascii="仿宋" w:hAnsi="仿宋" w:eastAsia="仿宋"/>
          <w:b w:val="0"/>
          <w:spacing w:val="-4"/>
          <w:sz w:val="32"/>
          <w:szCs w:val="32"/>
        </w:rPr>
      </w:pPr>
    </w:p>
    <w:p w14:paraId="16A6F7A4">
      <w:pPr>
        <w:spacing w:line="540" w:lineRule="exact"/>
        <w:ind w:firstLine="567"/>
        <w:rPr>
          <w:rStyle w:val="18"/>
          <w:rFonts w:ascii="仿宋" w:hAnsi="仿宋" w:eastAsia="仿宋"/>
          <w:b w:val="0"/>
          <w:spacing w:val="-4"/>
          <w:sz w:val="32"/>
          <w:szCs w:val="32"/>
        </w:rPr>
      </w:pPr>
    </w:p>
    <w:p w14:paraId="6E40EEBB">
      <w:pPr>
        <w:spacing w:line="540" w:lineRule="exact"/>
        <w:ind w:firstLine="567"/>
        <w:rPr>
          <w:rStyle w:val="18"/>
          <w:rFonts w:ascii="仿宋" w:hAnsi="仿宋" w:eastAsia="仿宋"/>
          <w:b w:val="0"/>
          <w:spacing w:val="-4"/>
          <w:sz w:val="32"/>
          <w:szCs w:val="32"/>
        </w:rPr>
      </w:pPr>
    </w:p>
    <w:p w14:paraId="19BF326F">
      <w:pPr>
        <w:spacing w:line="540" w:lineRule="exact"/>
        <w:ind w:firstLine="567"/>
        <w:rPr>
          <w:rStyle w:val="18"/>
          <w:rFonts w:ascii="仿宋" w:hAnsi="仿宋" w:eastAsia="仿宋"/>
          <w:b w:val="0"/>
          <w:spacing w:val="-4"/>
          <w:sz w:val="32"/>
          <w:szCs w:val="32"/>
        </w:rPr>
      </w:pPr>
    </w:p>
    <w:p w14:paraId="728D024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945E12E">
        <w:pPr>
          <w:pStyle w:val="12"/>
          <w:jc w:val="center"/>
        </w:pPr>
        <w:r>
          <w:fldChar w:fldCharType="begin"/>
        </w:r>
        <w:r>
          <w:instrText xml:space="preserve">PAGE   \* MERGEFORMAT</w:instrText>
        </w:r>
        <w:r>
          <w:fldChar w:fldCharType="separate"/>
        </w:r>
        <w:r>
          <w:rPr>
            <w:lang w:val="zh-CN"/>
          </w:rPr>
          <w:t>2</w:t>
        </w:r>
        <w:r>
          <w:fldChar w:fldCharType="end"/>
        </w:r>
      </w:p>
    </w:sdtContent>
  </w:sdt>
  <w:p w14:paraId="1827427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07F311D"/>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3995</Words>
  <Characters>4193</Characters>
  <Lines>4</Lines>
  <Paragraphs>1</Paragraphs>
  <TotalTime>11</TotalTime>
  <ScaleCrop>false</ScaleCrop>
  <LinksUpToDate>false</LinksUpToDate>
  <CharactersWithSpaces>4215</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2024-08-14T09:46:25Z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