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E5705">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3F061BE">
      <w:pPr>
        <w:spacing w:line="540" w:lineRule="exact"/>
        <w:jc w:val="center"/>
        <w:rPr>
          <w:rFonts w:ascii="华文中宋" w:hAnsi="华文中宋" w:eastAsia="华文中宋" w:cs="宋体"/>
          <w:b/>
          <w:kern w:val="0"/>
          <w:sz w:val="52"/>
          <w:szCs w:val="52"/>
        </w:rPr>
      </w:pPr>
    </w:p>
    <w:p w14:paraId="38EBBFD5">
      <w:pPr>
        <w:spacing w:line="540" w:lineRule="exact"/>
        <w:jc w:val="center"/>
        <w:rPr>
          <w:rFonts w:ascii="华文中宋" w:hAnsi="华文中宋" w:eastAsia="华文中宋" w:cs="宋体"/>
          <w:b/>
          <w:kern w:val="0"/>
          <w:sz w:val="52"/>
          <w:szCs w:val="52"/>
        </w:rPr>
      </w:pPr>
    </w:p>
    <w:p w14:paraId="3AB9EBBE">
      <w:pPr>
        <w:spacing w:line="540" w:lineRule="exact"/>
        <w:jc w:val="center"/>
        <w:rPr>
          <w:rFonts w:ascii="华文中宋" w:hAnsi="华文中宋" w:eastAsia="华文中宋" w:cs="宋体"/>
          <w:b/>
          <w:kern w:val="0"/>
          <w:sz w:val="52"/>
          <w:szCs w:val="52"/>
        </w:rPr>
      </w:pPr>
    </w:p>
    <w:p w14:paraId="1E3D9CFD">
      <w:pPr>
        <w:spacing w:line="540" w:lineRule="exact"/>
        <w:jc w:val="center"/>
        <w:rPr>
          <w:rFonts w:ascii="华文中宋" w:hAnsi="华文中宋" w:eastAsia="华文中宋" w:cs="宋体"/>
          <w:b/>
          <w:kern w:val="0"/>
          <w:sz w:val="52"/>
          <w:szCs w:val="52"/>
        </w:rPr>
      </w:pPr>
    </w:p>
    <w:p w14:paraId="27583703">
      <w:pPr>
        <w:spacing w:line="540" w:lineRule="exact"/>
        <w:jc w:val="center"/>
        <w:rPr>
          <w:rFonts w:ascii="华文中宋" w:hAnsi="华文中宋" w:eastAsia="华文中宋" w:cs="宋体"/>
          <w:b/>
          <w:kern w:val="0"/>
          <w:sz w:val="52"/>
          <w:szCs w:val="52"/>
        </w:rPr>
      </w:pPr>
    </w:p>
    <w:p w14:paraId="2420EF31">
      <w:pPr>
        <w:spacing w:line="540" w:lineRule="exact"/>
        <w:jc w:val="center"/>
        <w:rPr>
          <w:rFonts w:ascii="华文中宋" w:hAnsi="华文中宋" w:eastAsia="华文中宋" w:cs="宋体"/>
          <w:b/>
          <w:kern w:val="0"/>
          <w:sz w:val="52"/>
          <w:szCs w:val="52"/>
        </w:rPr>
      </w:pPr>
    </w:p>
    <w:p w14:paraId="0A414EF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404C849">
      <w:pPr>
        <w:spacing w:line="540" w:lineRule="exact"/>
        <w:jc w:val="center"/>
        <w:rPr>
          <w:rFonts w:ascii="华文中宋" w:hAnsi="华文中宋" w:eastAsia="华文中宋" w:cs="宋体"/>
          <w:b/>
          <w:kern w:val="0"/>
          <w:sz w:val="52"/>
          <w:szCs w:val="52"/>
        </w:rPr>
      </w:pPr>
    </w:p>
    <w:p w14:paraId="4CE447FE">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3328C119">
      <w:pPr>
        <w:spacing w:line="540" w:lineRule="exact"/>
        <w:jc w:val="center"/>
        <w:rPr>
          <w:rFonts w:hAnsi="宋体" w:eastAsia="仿宋_GB2312" w:cs="宋体"/>
          <w:kern w:val="0"/>
          <w:sz w:val="30"/>
          <w:szCs w:val="30"/>
        </w:rPr>
      </w:pPr>
    </w:p>
    <w:p w14:paraId="0A263F91">
      <w:pPr>
        <w:spacing w:line="540" w:lineRule="exact"/>
        <w:jc w:val="center"/>
        <w:rPr>
          <w:rFonts w:hAnsi="宋体" w:eastAsia="仿宋_GB2312" w:cs="宋体"/>
          <w:kern w:val="0"/>
          <w:sz w:val="30"/>
          <w:szCs w:val="30"/>
        </w:rPr>
      </w:pPr>
    </w:p>
    <w:p w14:paraId="106F2950">
      <w:pPr>
        <w:spacing w:line="540" w:lineRule="exact"/>
        <w:jc w:val="center"/>
        <w:rPr>
          <w:rFonts w:hAnsi="宋体" w:eastAsia="仿宋_GB2312" w:cs="宋体"/>
          <w:kern w:val="0"/>
          <w:sz w:val="30"/>
          <w:szCs w:val="30"/>
        </w:rPr>
      </w:pPr>
    </w:p>
    <w:p w14:paraId="52C6C86F">
      <w:pPr>
        <w:spacing w:line="540" w:lineRule="exact"/>
        <w:jc w:val="center"/>
        <w:rPr>
          <w:rFonts w:hAnsi="宋体" w:eastAsia="仿宋_GB2312" w:cs="宋体"/>
          <w:kern w:val="0"/>
          <w:sz w:val="30"/>
          <w:szCs w:val="30"/>
        </w:rPr>
      </w:pPr>
    </w:p>
    <w:p w14:paraId="5D521768">
      <w:pPr>
        <w:spacing w:line="540" w:lineRule="exact"/>
        <w:jc w:val="center"/>
        <w:rPr>
          <w:rFonts w:hAnsi="宋体" w:eastAsia="仿宋_GB2312" w:cs="宋体"/>
          <w:kern w:val="0"/>
          <w:sz w:val="30"/>
          <w:szCs w:val="30"/>
        </w:rPr>
      </w:pPr>
    </w:p>
    <w:p w14:paraId="50FEAE40">
      <w:pPr>
        <w:spacing w:line="540" w:lineRule="exact"/>
        <w:jc w:val="center"/>
        <w:rPr>
          <w:rFonts w:hAnsi="宋体" w:eastAsia="仿宋_GB2312" w:cs="宋体"/>
          <w:kern w:val="0"/>
          <w:sz w:val="30"/>
          <w:szCs w:val="30"/>
        </w:rPr>
      </w:pPr>
    </w:p>
    <w:p w14:paraId="788566BE">
      <w:pPr>
        <w:spacing w:line="540" w:lineRule="exact"/>
        <w:rPr>
          <w:rFonts w:hAnsi="宋体" w:eastAsia="仿宋_GB2312" w:cs="宋体"/>
          <w:kern w:val="0"/>
          <w:sz w:val="30"/>
          <w:szCs w:val="30"/>
        </w:rPr>
      </w:pPr>
    </w:p>
    <w:p w14:paraId="13A2F27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874981E">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2023年机关养老县级配套</w:t>
      </w:r>
    </w:p>
    <w:p w14:paraId="296DFB7D">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呼图壁县社会保险管理局</w:t>
      </w:r>
    </w:p>
    <w:p w14:paraId="018B6BED">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呼图壁县社会保险管理局</w:t>
      </w:r>
    </w:p>
    <w:p w14:paraId="73CC7582">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张芬荣</w:t>
      </w:r>
    </w:p>
    <w:p w14:paraId="1ED81FE4">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2024年04月15日</w:t>
      </w:r>
    </w:p>
    <w:p w14:paraId="5D4405FE">
      <w:pPr>
        <w:spacing w:line="700" w:lineRule="exact"/>
        <w:ind w:firstLine="708" w:firstLineChars="236"/>
        <w:jc w:val="left"/>
        <w:rPr>
          <w:rFonts w:hAnsi="宋体" w:eastAsia="仿宋_GB2312" w:cs="宋体"/>
          <w:kern w:val="0"/>
          <w:sz w:val="30"/>
          <w:szCs w:val="30"/>
        </w:rPr>
      </w:pPr>
    </w:p>
    <w:p w14:paraId="4B162853">
      <w:pPr>
        <w:spacing w:line="540" w:lineRule="exact"/>
        <w:rPr>
          <w:rStyle w:val="18"/>
          <w:rFonts w:ascii="黑体" w:hAnsi="黑体" w:eastAsia="黑体"/>
          <w:b w:val="0"/>
          <w:spacing w:val="-4"/>
          <w:sz w:val="32"/>
          <w:szCs w:val="32"/>
        </w:rPr>
      </w:pPr>
    </w:p>
    <w:p w14:paraId="0FE2A56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D41190E">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9E7250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国发[2015]2号等文件精神，将机关事业单位人员及退休人员纳入养老保险体系，实行社会统筹和个人账户相结合的基本养老保险制度。机关事业单位参保离退休人员养老金社会化发放，是将机关事业单位参保离退休人员的养老金发放工作从单位转向社会，由社会保险经办机构统一组织管理，采用委托银行金融机构发放的形式。它是整个社会保障体系的重要组成部分，是完善社会保障制度的内在要求，是保障机关事业单位参保离退休人员合法权益的主要措施，是事业单位改革的重要保证。呼图壁县机关事业养老保险已于2014年10月起实行全员参保、县级统筹。机关事业养老保险的实施将将减轻县财政的部分财政压力，更有利于我县财政资金合理分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本项目主要内容：2023年机关养老县级配套项目的实施财政对机关事业单位退休人员的基本养老金给予一定的补助，使我县机关事业单位退休人员基本养老金进行上涨调整。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在一定程度上提高了机关事业单位退休人员的养老金水平，使机关事业单位退休职工感受到党的温暖，提升生活的幸福感和获得感。促进我县社会和谐稳定和长治久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2023年机关养老县级配套项目的实施主体为呼图壁县社会保险管理局，该单位纳入2023年部门决算编制范围的有7个科室，分别是：办公室，征缴科，稽核科，待遇科，审核科，综柜，基金财务科。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编制人数为22人，其中：行政人员编制22人。实有在职人数22人，其中：行政在职15人、工勤2人、事业在职5人。离退休人员13人。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2023年机关养老县级配套项目资金，预算安排资金总额6800万元，其中财政资金6800万元、其他资金0万元，2023年实际收到预算资金6800万元，预算资金到位率为100%。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截至2023年12月31日，本项目实际支付资金6800万元，预算执行率100.</w:t>
      </w:r>
      <w:r>
        <w:rPr>
          <w:rStyle w:val="18"/>
          <w:rFonts w:hint="eastAsia" w:ascii="楷体" w:hAnsi="楷体" w:eastAsia="楷体"/>
          <w:b w:val="0"/>
          <w:bCs w:val="0"/>
          <w:spacing w:val="-4"/>
          <w:sz w:val="32"/>
          <w:szCs w:val="32"/>
          <w:lang w:val="en-US" w:eastAsia="zh-CN"/>
        </w:rPr>
        <w:t>00</w:t>
      </w:r>
      <w:r>
        <w:rPr>
          <w:rStyle w:val="18"/>
          <w:rFonts w:hint="eastAsia" w:ascii="楷体" w:hAnsi="楷体" w:eastAsia="楷体"/>
          <w:b w:val="0"/>
          <w:bCs w:val="0"/>
          <w:spacing w:val="-4"/>
          <w:sz w:val="32"/>
          <w:szCs w:val="32"/>
        </w:rPr>
        <w:t>%。项目资金主要用于支付2023年待遇人员工资6800万元。</w:t>
      </w:r>
    </w:p>
    <w:p w14:paraId="69EEBFE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63AFB7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对机关事业单位退休人员的基本养老金给予一定的补助，使我县机关事业单位退休人员基本养老金进行上涨调整。通过对机关事业单位退休人员养老金上浮调整，在一定程度上提高了机关事业单位退休人员的养老金水平，使机关事业单位退休职工感受到党的温暖，提升生活的幸福感和获得感。促进我县社会和谐稳定和长治久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“保障人数”指标，预期指标值为“&gt;=26903人”，；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“社保经办机构基础养老金发放次数</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”指标，预期指标值为“=12次”；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“符合条件的机关养老待遇人员足额”指标，预期指标值为“=100%”；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“符合条件的机关养老待遇人员发放及时率”指标，预期指标值为“=100%”。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“机关事业单位退休职工生存认证率</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“成本控制率”指标，预期指标值为“&lt;=90%”，实际完成100%。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“提高机关退休人员幸福感”指标，预期指标值为“逐步提高”，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“项目收益群众满意度”指标，预期指标值为“90%”。</w:t>
      </w:r>
    </w:p>
    <w:p w14:paraId="40059A5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41CF5E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B38611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2023年机关养老县级配套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380AEC1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BE4DAB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机关养老县级配套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006F6FF6">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3F9DCF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沈晓路（呼图壁县社会管理局副书记，局长）任评价组组长，绩效评价工作职责为检查项目绩效指标完成情况、审定项目支出绩效评价结果及项目支出绩效评价报告。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赵玉强（呼图壁县社会管理局副局长）任评价组副组长，绩效评价工作职责为组织和协调项目工作人员采取实地调查、资料检查等方式，核实项目绩效指标完成情况；组织受益对象对项目工作进行评价等。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张芬荣（呼图壁县社会保险管理局待遇支付科科长）任评价组成员，绩效评价工作职责为做好项目支出绩效评价工作的沟通协调工作，对项目实施情况进行实地调查，编写项目支出绩效评价报告。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1FA849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54AF3A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2023年机关养老县级配套的实施，解决了参加机关养老保险待遇领取人员基本养老金偏低问题，提高了退休人员的生活水平，做到“老有所养”，提升了社会稳定，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2023年机关养老县级配套项目的绩效目标和各项具体绩效指标实现情况进行了客观评价，最终评分为100分。绩效评级为“优秀”，具体得分情况为：项目决策20分、项目过程20分、项目产出30分、项目效益30分。</w:t>
      </w:r>
    </w:p>
    <w:p w14:paraId="1BF8BB4C">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FA8159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1F8073D">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1C522000">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01D2BC4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2.预算执行率：本项目预算较为详细，预算资金6800万元，实际执行6800万元，预算执行率为100%，项目资金支出总体能够按照预算执行，根据评分标准，该指标5分，得5分。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3.资金使用合规性：项目任务下达后，我单位按照社保基金制度和管理规定对补贴资金使用进行规范管理，财务制度健全、执行严格，根据评分标准，该指标5分，得5分。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4.管理制度健全性：我单位按照社保基金管理办法等相关项目管理办法，同时对财政专项资金进行严格管理，基本做到了专款专用，根据评分标准，该指标2分，得2分。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34F45AD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3CE876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“保障人数”指标，预期指标值为“&gt;=26903人”，根据统计报表可知，实际完成34104人，与预期目标一致，根据评分标准，该指标5分，得5分。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“社保经办机构基础养老金发放次数</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”指标，预期指标值为“=12次”，根据统计报表可知，实际完成12次，与预期目标一致，根据评分标准，该指标5分，得5分。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“符合条件的机关养老待遇人员足额”指标，预期指标值为“=100%”，实际完成100%，与预期目标一致，根据评分标准，该指标5分，得5分。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“机关事业单位退休职工生存认证率</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”指标，预期指标值为“=100%”，实际完成100%，与预期目标一致，根据评分标准，该指标5分，得5分。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“符合条件的机关养老待遇人员发放及时率</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”指标，预期指标值为“=100%”，实际完成100%，与预期目标一致，根据评分标准，该指标5分，得5分。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“成本控制率”指标，预期指标值为“&lt;=90%”，实际完成100%，与预期目标一致，根据评分标准，该指标5分，得5分。</w:t>
      </w:r>
    </w:p>
    <w:p w14:paraId="42015C7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45BD19F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“提高机关退休人员幸福感”指标，预期指标值为“逐步提高”，根据人口监测分析报告可知，实际完成值为“好”，根据评分标准，该指标20分，得20分。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“项目收益群众满意度”指标，预期指标值为“90%”，收益对象满意度满意度达90%，根据评分标准，该指标10分,得10分。</w:t>
      </w:r>
    </w:p>
    <w:p w14:paraId="1D49EA48">
      <w:pPr>
        <w:spacing w:line="540" w:lineRule="exact"/>
        <w:ind w:firstLine="567"/>
        <w:rPr>
          <w:rStyle w:val="18"/>
          <w:rFonts w:ascii="楷体" w:hAnsi="楷体" w:eastAsia="楷体"/>
          <w:spacing w:val="-4"/>
          <w:sz w:val="32"/>
          <w:szCs w:val="32"/>
        </w:rPr>
      </w:pPr>
    </w:p>
    <w:p w14:paraId="63C62EB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63B642C0">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2023年机关养老县级配套项目金额6800万元，实际到位6800万元，实际支出6800万元，预算执行率为100%。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14:paraId="703B3E65">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3319B5F">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社会保险管理局建立健全了预算管理规章制度，各部门严格按预算编制的原则和要求做好当年预算编制工作，在预算绩效管理工作中，做到合理安排各项资金，重点保障基本支出，按轻重缓急顺序原则，优先安排了呼图壁县社会保险管理局单位事业发展中关系民生与稳定的项目，切实优化资源配置，提高了资金使用的效率和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一是项目运行过程中，工作周期内认证工作速度缓慢。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二是由于享受待遇人数基数较大，宣传还不够到位。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三是绩效管理需要向乡镇延伸细化，使指标设置需要更加的科学性</w:t>
      </w:r>
    </w:p>
    <w:p w14:paraId="7449B4B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3B68516D">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继续加大宣传力度，组织相关工作人员学习新知识，准确掌握政策。加强项目实施方案制定，加强项目实施过程指导。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2.高度重视，加强领导，精心组织。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项目绩效领导小组对绩效评价工作进行指导、监督、检查，确保项目绩效评价反映项目完成真实情况。严格执行项目绩效评价工作要求，切实提高项目绩效报告的客观性和公正性。</w:t>
      </w:r>
    </w:p>
    <w:p w14:paraId="11E6419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4514FF2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5609B502">
      <w:pPr>
        <w:spacing w:line="540" w:lineRule="exact"/>
        <w:ind w:firstLine="567"/>
        <w:rPr>
          <w:rStyle w:val="18"/>
          <w:rFonts w:ascii="仿宋" w:hAnsi="仿宋" w:eastAsia="仿宋"/>
          <w:b w:val="0"/>
          <w:spacing w:val="-4"/>
          <w:sz w:val="32"/>
          <w:szCs w:val="32"/>
        </w:rPr>
      </w:pPr>
    </w:p>
    <w:p w14:paraId="07C31160">
      <w:pPr>
        <w:spacing w:line="540" w:lineRule="exact"/>
        <w:ind w:firstLine="567"/>
        <w:rPr>
          <w:rStyle w:val="18"/>
          <w:rFonts w:ascii="仿宋" w:hAnsi="仿宋" w:eastAsia="仿宋"/>
          <w:b w:val="0"/>
          <w:spacing w:val="-4"/>
          <w:sz w:val="32"/>
          <w:szCs w:val="32"/>
        </w:rPr>
      </w:pPr>
    </w:p>
    <w:p w14:paraId="76DB1CD1">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28DD52E">
        <w:pPr>
          <w:pStyle w:val="12"/>
          <w:jc w:val="center"/>
        </w:pPr>
        <w:r>
          <w:fldChar w:fldCharType="begin"/>
        </w:r>
        <w:r>
          <w:instrText xml:space="preserve">PAGE   \* MERGEFORMAT</w:instrText>
        </w:r>
        <w:r>
          <w:fldChar w:fldCharType="separate"/>
        </w:r>
        <w:r>
          <w:rPr>
            <w:lang w:val="zh-CN"/>
          </w:rPr>
          <w:t>2</w:t>
        </w:r>
        <w:r>
          <w:fldChar w:fldCharType="end"/>
        </w:r>
      </w:p>
    </w:sdtContent>
  </w:sdt>
  <w:p w14:paraId="7D7331C9">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1F87B30"/>
    <w:rsid w:val="7BDF2CF1"/>
    <w:rsid w:val="7BEE1543"/>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6242</Words>
  <Characters>6539</Characters>
  <Lines>4</Lines>
  <Paragraphs>1</Paragraphs>
  <TotalTime>6</TotalTime>
  <ScaleCrop>false</ScaleCrop>
  <LinksUpToDate>false</LinksUpToDate>
  <CharactersWithSpaces>6571</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2024-08-15T05:43:20Z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