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9FB6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253A0FB">
      <w:pPr>
        <w:spacing w:line="540" w:lineRule="exact"/>
        <w:jc w:val="center"/>
        <w:rPr>
          <w:rFonts w:ascii="华文中宋" w:hAnsi="华文中宋" w:eastAsia="华文中宋" w:cs="宋体"/>
          <w:b/>
          <w:kern w:val="0"/>
          <w:sz w:val="52"/>
          <w:szCs w:val="52"/>
        </w:rPr>
      </w:pPr>
    </w:p>
    <w:p w14:paraId="422A8C7A">
      <w:pPr>
        <w:spacing w:line="540" w:lineRule="exact"/>
        <w:jc w:val="center"/>
        <w:rPr>
          <w:rFonts w:ascii="华文中宋" w:hAnsi="华文中宋" w:eastAsia="华文中宋" w:cs="宋体"/>
          <w:b/>
          <w:kern w:val="0"/>
          <w:sz w:val="52"/>
          <w:szCs w:val="52"/>
        </w:rPr>
      </w:pPr>
    </w:p>
    <w:p w14:paraId="3833ED77">
      <w:pPr>
        <w:spacing w:line="540" w:lineRule="exact"/>
        <w:jc w:val="center"/>
        <w:rPr>
          <w:rFonts w:ascii="华文中宋" w:hAnsi="华文中宋" w:eastAsia="华文中宋" w:cs="宋体"/>
          <w:b/>
          <w:kern w:val="0"/>
          <w:sz w:val="52"/>
          <w:szCs w:val="52"/>
        </w:rPr>
      </w:pPr>
    </w:p>
    <w:p w14:paraId="7E7A0A5D">
      <w:pPr>
        <w:spacing w:line="540" w:lineRule="exact"/>
        <w:jc w:val="center"/>
        <w:rPr>
          <w:rFonts w:ascii="华文中宋" w:hAnsi="华文中宋" w:eastAsia="华文中宋" w:cs="宋体"/>
          <w:b/>
          <w:kern w:val="0"/>
          <w:sz w:val="52"/>
          <w:szCs w:val="52"/>
        </w:rPr>
      </w:pPr>
    </w:p>
    <w:p w14:paraId="17DCAE7C">
      <w:pPr>
        <w:spacing w:line="540" w:lineRule="exact"/>
        <w:jc w:val="center"/>
        <w:rPr>
          <w:rFonts w:ascii="华文中宋" w:hAnsi="华文中宋" w:eastAsia="华文中宋" w:cs="宋体"/>
          <w:b/>
          <w:kern w:val="0"/>
          <w:sz w:val="52"/>
          <w:szCs w:val="52"/>
        </w:rPr>
      </w:pPr>
    </w:p>
    <w:p w14:paraId="1B4BC902">
      <w:pPr>
        <w:spacing w:line="540" w:lineRule="exact"/>
        <w:jc w:val="center"/>
        <w:rPr>
          <w:rFonts w:ascii="华文中宋" w:hAnsi="华文中宋" w:eastAsia="华文中宋" w:cs="宋体"/>
          <w:b/>
          <w:kern w:val="0"/>
          <w:sz w:val="52"/>
          <w:szCs w:val="52"/>
        </w:rPr>
      </w:pPr>
    </w:p>
    <w:p w14:paraId="7CFDDDA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BD5E4D9">
      <w:pPr>
        <w:spacing w:line="540" w:lineRule="exact"/>
        <w:jc w:val="center"/>
        <w:rPr>
          <w:rFonts w:ascii="华文中宋" w:hAnsi="华文中宋" w:eastAsia="华文中宋" w:cs="宋体"/>
          <w:b/>
          <w:kern w:val="0"/>
          <w:sz w:val="52"/>
          <w:szCs w:val="52"/>
        </w:rPr>
      </w:pPr>
    </w:p>
    <w:p w14:paraId="7C86E3C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8D474F3">
      <w:pPr>
        <w:spacing w:line="540" w:lineRule="exact"/>
        <w:jc w:val="center"/>
        <w:rPr>
          <w:rFonts w:hAnsi="宋体" w:eastAsia="仿宋_GB2312" w:cs="宋体"/>
          <w:kern w:val="0"/>
          <w:sz w:val="30"/>
          <w:szCs w:val="30"/>
        </w:rPr>
      </w:pPr>
    </w:p>
    <w:p w14:paraId="5A48F952">
      <w:pPr>
        <w:spacing w:line="540" w:lineRule="exact"/>
        <w:jc w:val="center"/>
        <w:rPr>
          <w:rFonts w:hAnsi="宋体" w:eastAsia="仿宋_GB2312" w:cs="宋体"/>
          <w:kern w:val="0"/>
          <w:sz w:val="30"/>
          <w:szCs w:val="30"/>
        </w:rPr>
      </w:pPr>
    </w:p>
    <w:p w14:paraId="04A990DF">
      <w:pPr>
        <w:spacing w:line="540" w:lineRule="exact"/>
        <w:jc w:val="center"/>
        <w:rPr>
          <w:rFonts w:hAnsi="宋体" w:eastAsia="仿宋_GB2312" w:cs="宋体"/>
          <w:kern w:val="0"/>
          <w:sz w:val="30"/>
          <w:szCs w:val="30"/>
        </w:rPr>
      </w:pPr>
    </w:p>
    <w:p w14:paraId="3789650A">
      <w:pPr>
        <w:spacing w:line="540" w:lineRule="exact"/>
        <w:jc w:val="center"/>
        <w:rPr>
          <w:rFonts w:hAnsi="宋体" w:eastAsia="仿宋_GB2312" w:cs="宋体"/>
          <w:kern w:val="0"/>
          <w:sz w:val="30"/>
          <w:szCs w:val="30"/>
        </w:rPr>
      </w:pPr>
    </w:p>
    <w:p w14:paraId="0CA7F514">
      <w:pPr>
        <w:spacing w:line="540" w:lineRule="exact"/>
        <w:jc w:val="center"/>
        <w:rPr>
          <w:rFonts w:hAnsi="宋体" w:eastAsia="仿宋_GB2312" w:cs="宋体"/>
          <w:kern w:val="0"/>
          <w:sz w:val="30"/>
          <w:szCs w:val="30"/>
        </w:rPr>
      </w:pPr>
    </w:p>
    <w:p w14:paraId="68019340">
      <w:pPr>
        <w:spacing w:line="540" w:lineRule="exact"/>
        <w:jc w:val="center"/>
        <w:rPr>
          <w:rFonts w:hAnsi="宋体" w:eastAsia="仿宋_GB2312" w:cs="宋体"/>
          <w:kern w:val="0"/>
          <w:sz w:val="30"/>
          <w:szCs w:val="30"/>
        </w:rPr>
      </w:pPr>
    </w:p>
    <w:p w14:paraId="3A964123">
      <w:pPr>
        <w:spacing w:line="540" w:lineRule="exact"/>
        <w:rPr>
          <w:rFonts w:hAnsi="宋体" w:eastAsia="仿宋_GB2312" w:cs="宋体"/>
          <w:kern w:val="0"/>
          <w:sz w:val="30"/>
          <w:szCs w:val="30"/>
        </w:rPr>
      </w:pPr>
    </w:p>
    <w:p w14:paraId="54967DF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A220E1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2023年科技馆免费开放补助资金</w:t>
      </w:r>
    </w:p>
    <w:p w14:paraId="22309D5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呼图壁县科学技术局</w:t>
      </w:r>
    </w:p>
    <w:p w14:paraId="3C4D4DF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呼图壁县科学技术局</w:t>
      </w:r>
    </w:p>
    <w:p w14:paraId="501C6A8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马生亮</w:t>
      </w:r>
    </w:p>
    <w:p w14:paraId="097107B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14:paraId="17A7C4D3">
      <w:pPr>
        <w:spacing w:line="700" w:lineRule="exact"/>
        <w:ind w:firstLine="708" w:firstLineChars="236"/>
        <w:jc w:val="left"/>
        <w:rPr>
          <w:rFonts w:hAnsi="宋体" w:eastAsia="仿宋_GB2312" w:cs="宋体"/>
          <w:kern w:val="0"/>
          <w:sz w:val="30"/>
          <w:szCs w:val="30"/>
        </w:rPr>
      </w:pPr>
    </w:p>
    <w:p w14:paraId="12F39493">
      <w:pPr>
        <w:spacing w:line="540" w:lineRule="exact"/>
        <w:rPr>
          <w:rStyle w:val="18"/>
          <w:rFonts w:ascii="黑体" w:hAnsi="黑体" w:eastAsia="黑体"/>
          <w:b w:val="0"/>
          <w:spacing w:val="-4"/>
          <w:sz w:val="32"/>
          <w:szCs w:val="32"/>
        </w:rPr>
      </w:pPr>
    </w:p>
    <w:p w14:paraId="1269182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62A7C1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29CDD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所拨专项资金，全部用于2023年科技馆免费开放门票减收补助、运行保障增量补助及展品更新补助等方面。县科技馆严格按照相关要求，在展区展品更新改造升级、提升场馆的软件、硬件服务能力、科普专业人才培养、开展丰富多样的科普活动等方面充分发挥了科技馆科普教育主阵地和“科技工作者”之家的作用</w:t>
      </w:r>
    </w:p>
    <w:p w14:paraId="23BEE85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ADAFB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全部用于2023年科技馆免费开放门票减收补助、运行保障增量补助及展品更新补助等方面。县科技馆严格按照相关要求，在展区展品更新改造升级、提升场馆的软件、硬件服务能力、科普专业人才培养、开展丰富多样的科普活动等方面充分发挥了科技馆科普教育主阵地和“科技工作者”之家的作用。</w:t>
      </w:r>
    </w:p>
    <w:p w14:paraId="0C9E22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1EAFAD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9220A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2023年，呼图壁县科技馆累计开馆150天，县科技馆通过流动科技馆+科普大篷车+科普中国APP等形式多样、丰富多样的科普活动等展示方式，目前累计受益群众达0.5万人次。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积极与社区、团委对接，充分利用假期返乡大学生，组建一支科普先锋队，深入各社区“红领巾小课堂，通过开展科技实践、科技研学、科学实验等各类科普活动，有效提升学生的自理能力、创新精神和实践能力。截止目前，已开展科普活动6场次。二是创建联合机制，共享科普资源。联合州、县相关部门，通过科技馆展览展教、流动科技馆进村入户、举办科普讲座等方式，向学生普及节约资源、防灾减灾、健康生活、疾病防治、消防安全等科普知识，充实学生的课余生活，为提高青少年科学素质提供有效平台。截至目前，已联合举办活动2期，捐赠了包含畜牧养殖技术、健康防疫物资等科普大礼包100余份，播放科普宣教片4场次，展出机器人、航模、3D打印等科普展品3场次，惠及青少年2000余人。三是举办科技竞赛，增强创新意识。持续举办青少年科技创新大赛、科学表演大赛、机器人编程大赛等竞赛活动，通过开展各类比赛，引导青少年增强创新意识和实践能力。四是精心组织科普宣传教育活动。结合“全民公益日”、“新时代文明实践活动”、“科普助力乡村振兴”、老年健康宣传周等活动，依托科普大篷车轻骑兵优势，围绕五类重点人群，在全县各社区和村场,通过开展健康大讲堂、展示宣传展板、流动科技馆体验、发放宣传单等方式,开展《防灾减灾》《食品安全与健康》《节能减排》《疫情防控法律法规》等应急科普、健康养生法律法规知识的宣传，并开展合影、征文、调查问卷等活动。目前,开展科普活动21场次，发放科普折页、挂图、毛巾、围裙等科普宣传资料5000余份,惠及群众5000余人。</w:t>
      </w:r>
    </w:p>
    <w:p w14:paraId="56AE905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079AA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（一）项目全年实际完成情况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科技馆场馆面积为2237.56平方米；本年正常开馆天数150天，开展各类科普活动10场次，活动按时完成率达到100%，科普活动参与人数覆盖率达到96%；展品更新、运行维护及开展各类科普活动经费达到69万元；开展科普活动、群众科普知识水平有所提高，受益群众满意度达到95%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（二）产出目标完成情况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科技馆场馆面积为2237.56平方米，开馆天数累计为150天，开展各类科普活动次数为10场次，活动参与人数覆盖率为96%，活动按时完成率100%；科技馆展品更新48.6万元；科技馆日常运维及科普活动费用17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（三）效果目标完成情况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2023年呼图壁县科技馆场馆提升免费服务能力，服务群众人数（参观人数+活动人数）达0.5万人次，开展科普活动、群众科普知识水平有所提高，截止12月31日，达到年度指标值。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（四）满意度指标情况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2023年度未接到观众投诉，发放观众满意度调查问卷100份，观众满意度达95.4%，达年度指标值。</w:t>
      </w:r>
    </w:p>
    <w:p w14:paraId="5A77A9C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6CE8A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2023年度呼图壁县科技馆正常开馆率94%，展品更新、维修均按合同按时进行，展品更新率为5%，展品年平均维护率95%，展品完好率90%。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科技馆加强场馆设备管理水平，根据制度定期排查漏洞隐患，按制度要求责任到人，合理利用时间对设备进行维护维修工作，加强日常展厅维护维修工作，保障场馆展品设备完好率，全面履行科普阵地职责，做好科技馆免费开放工作，普及科学知</w:t>
      </w:r>
    </w:p>
    <w:p w14:paraId="445CADC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3D2A05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2023年呼图壁县科技馆场馆提升免费服务能力，服务群众人数（参观人数+活动人数）达0.5万人次，开展科普活动、群众科普知识水平有所提高，截止12月31日，达到年度指标值。</w:t>
      </w:r>
    </w:p>
    <w:p w14:paraId="1347897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FFF516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B24441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33FC26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BEFA6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分，本项目实际得分15.41分，得分率为77.05%。具体各项指标得分如下：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1.资金到位率：该项目所需财政资金能够足额拨付到位，根据评分标准，该指标5分，得0.41分。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val="en-US" w:eastAsia="zh-CN"/>
        </w:rPr>
        <w:t>40</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val="en-US" w:eastAsia="zh-CN"/>
        </w:rPr>
        <w:t>40</w:t>
      </w:r>
      <w:r>
        <w:rPr>
          <w:rStyle w:val="18"/>
          <w:rFonts w:hint="eastAsia" w:ascii="楷体" w:hAnsi="楷体" w:eastAsia="楷体"/>
          <w:b w:val="0"/>
          <w:bCs w:val="0"/>
          <w:spacing w:val="-4"/>
          <w:sz w:val="32"/>
          <w:szCs w:val="32"/>
        </w:rPr>
        <w:t>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3.资金使用合规性：项目任务下达后，我单位制定了《科技馆免开资金管理》制度，对经费使用进行规范管理，财务制度健全、执行严格，根据评分标准，该指标5分，得5分。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4.管理制度健全性：我单位制定了《科技馆免开资金管理办法》等相关项目管理办法，同时对财政专项资金进行严格管理，基本做到了专款专用，根据评分标准，该指标2分，得2分。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w:t>
      </w:r>
    </w:p>
    <w:p w14:paraId="6F2034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E6965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项目产出类指标包括产出数量、产出质量、产出时效、产出成本共四方面的内容，由4个三级指标构成，权重分为30分，本项目实际得分30分，得分率为100%。具体各项指标得分如下：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场馆面积≥2237.56㎡，指标分数5分，得分5分；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年度正常开馆天数≥150天，指标分数5分，得分5分；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开展各类科普活动次数≥10次，指标分数5分，得分5分；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活动参与人数覆盖率≥95%，指标分数5分，得分5分；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活动按时完成率≥95%，指标分数5分，得分5分；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展品更新、日常运维及科普活动费用≥2.8万，指标分数5分，得分5分；</w:t>
      </w:r>
    </w:p>
    <w:p w14:paraId="1B90717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A9145E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呼图壁县科技馆场馆面积为2237.56平方米，开馆天数累计为150天，开展各类科普活动次数为10场次，活动参与人数覆盖率为96%，活动按时完成率100%；科技馆展品更新48.6万元；科技馆日常运维及科普活动费用17万元</w:t>
      </w:r>
    </w:p>
    <w:p w14:paraId="519AC459">
      <w:pPr>
        <w:spacing w:line="540" w:lineRule="exact"/>
        <w:ind w:firstLine="567"/>
        <w:rPr>
          <w:rStyle w:val="18"/>
          <w:rFonts w:ascii="楷体" w:hAnsi="楷体" w:eastAsia="楷体"/>
          <w:spacing w:val="-4"/>
          <w:sz w:val="32"/>
          <w:szCs w:val="32"/>
        </w:rPr>
      </w:pPr>
    </w:p>
    <w:p w14:paraId="1370645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2F079D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当年资金</w:t>
      </w:r>
      <w:r>
        <w:rPr>
          <w:rStyle w:val="18"/>
          <w:rFonts w:hint="eastAsia" w:ascii="楷体" w:hAnsi="楷体" w:eastAsia="楷体"/>
          <w:b w:val="0"/>
          <w:bCs w:val="0"/>
          <w:spacing w:val="-4"/>
          <w:sz w:val="32"/>
          <w:szCs w:val="32"/>
          <w:lang w:val="en-US" w:eastAsia="zh-CN"/>
        </w:rPr>
        <w:t>40</w:t>
      </w:r>
      <w:r>
        <w:rPr>
          <w:rStyle w:val="18"/>
          <w:rFonts w:hint="eastAsia" w:ascii="楷体" w:hAnsi="楷体" w:eastAsia="楷体"/>
          <w:b w:val="0"/>
          <w:bCs w:val="0"/>
          <w:spacing w:val="-4"/>
          <w:sz w:val="32"/>
          <w:szCs w:val="32"/>
        </w:rPr>
        <w:t>万元已全部落实到位，无偏差</w:t>
      </w:r>
    </w:p>
    <w:p w14:paraId="2B9B386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005674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是制定了《呼图壁县落实科技馆免费开放补助资金管理办法》、有效保证了科技馆免费开放补助资金的使用效益，在资金的安排使用中，严格按照上级规定进行管理、严格把关、规范使用。二是完善配套制度，制定了《呼图壁县科</w:t>
      </w:r>
      <w:bookmarkStart w:id="0" w:name="_GoBack"/>
      <w:bookmarkEnd w:id="0"/>
      <w:r>
        <w:rPr>
          <w:rStyle w:val="18"/>
          <w:rFonts w:hint="eastAsia" w:ascii="楷体" w:hAnsi="楷体" w:eastAsia="楷体"/>
          <w:b w:val="0"/>
          <w:bCs w:val="0"/>
          <w:spacing w:val="-4"/>
          <w:sz w:val="32"/>
          <w:szCs w:val="32"/>
        </w:rPr>
        <w:t>技馆管理制度》、《呼图壁县科技馆免费开放公告》、《呼图壁县科技馆工作职责》、《呼图壁县科技馆讲解员岗位职责》、《呼图壁县科技馆技术员岗位职责》、《呼图壁县科技馆消防、安全、保卫岗位职责》，提升科普工作人员的主动性，从而使免开资金使用更加规范有序。</w:t>
      </w:r>
    </w:p>
    <w:p w14:paraId="6B6588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1F880A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科技馆开展各类科科普活动人员短缺，接待小规模的团体预约，参观受众和主题活动有所减少，特别是校园科普活动相应减少。且未到年底，预留部分资金保障场馆运行，因此，未能将本年补助资金全部使用完毕。二是呼图壁县财政困难，水电费用均由免开资金支付。</w:t>
      </w:r>
    </w:p>
    <w:p w14:paraId="786F637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11592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县科技馆加强场馆设备管理水平，根据制度定期排查漏洞隐患，按制度要求责任到人，合理利用时间对设备进行维护维修工作，加强日常展厅维护维修工作，保障场馆展品设备完好率，全面履行科普阵地职责，做好科技馆免费开放工作，普及科学知。</w:t>
      </w:r>
    </w:p>
    <w:p w14:paraId="64F96DD3">
      <w:pPr>
        <w:spacing w:line="540" w:lineRule="exact"/>
        <w:ind w:firstLine="567"/>
        <w:rPr>
          <w:rStyle w:val="18"/>
          <w:rFonts w:ascii="仿宋" w:hAnsi="仿宋" w:eastAsia="仿宋"/>
          <w:b w:val="0"/>
          <w:spacing w:val="-4"/>
          <w:sz w:val="32"/>
          <w:szCs w:val="32"/>
        </w:rPr>
      </w:pPr>
    </w:p>
    <w:p w14:paraId="518860C3">
      <w:pPr>
        <w:spacing w:line="540" w:lineRule="exact"/>
        <w:ind w:firstLine="567"/>
        <w:rPr>
          <w:rStyle w:val="18"/>
          <w:rFonts w:ascii="仿宋" w:hAnsi="仿宋" w:eastAsia="仿宋"/>
          <w:b w:val="0"/>
          <w:spacing w:val="-4"/>
          <w:sz w:val="32"/>
          <w:szCs w:val="32"/>
        </w:rPr>
      </w:pPr>
    </w:p>
    <w:p w14:paraId="2A3AE5EC">
      <w:pPr>
        <w:spacing w:line="540" w:lineRule="exact"/>
        <w:ind w:firstLine="567"/>
        <w:rPr>
          <w:rStyle w:val="18"/>
          <w:rFonts w:ascii="仿宋" w:hAnsi="仿宋" w:eastAsia="仿宋"/>
          <w:b w:val="0"/>
          <w:spacing w:val="-4"/>
          <w:sz w:val="32"/>
          <w:szCs w:val="32"/>
        </w:rPr>
      </w:pPr>
    </w:p>
    <w:p w14:paraId="113CD741">
      <w:pPr>
        <w:spacing w:line="540" w:lineRule="exact"/>
        <w:ind w:firstLine="567"/>
        <w:rPr>
          <w:rStyle w:val="18"/>
          <w:rFonts w:ascii="仿宋" w:hAnsi="仿宋" w:eastAsia="仿宋"/>
          <w:b w:val="0"/>
          <w:spacing w:val="-4"/>
          <w:sz w:val="32"/>
          <w:szCs w:val="32"/>
        </w:rPr>
      </w:pPr>
    </w:p>
    <w:p w14:paraId="3E19084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24F6CE9">
        <w:pPr>
          <w:pStyle w:val="12"/>
          <w:jc w:val="center"/>
        </w:pPr>
        <w:r>
          <w:fldChar w:fldCharType="begin"/>
        </w:r>
        <w:r>
          <w:instrText xml:space="preserve">PAGE   \* MERGEFORMAT</w:instrText>
        </w:r>
        <w:r>
          <w:fldChar w:fldCharType="separate"/>
        </w:r>
        <w:r>
          <w:rPr>
            <w:lang w:val="zh-CN"/>
          </w:rPr>
          <w:t>2</w:t>
        </w:r>
        <w:r>
          <w:fldChar w:fldCharType="end"/>
        </w:r>
      </w:p>
    </w:sdtContent>
  </w:sdt>
  <w:p w14:paraId="276D519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D215549"/>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3529</Words>
  <Characters>3713</Characters>
  <Lines>4</Lines>
  <Paragraphs>1</Paragraphs>
  <TotalTime>3</TotalTime>
  <ScaleCrop>false</ScaleCrop>
  <LinksUpToDate>false</LinksUpToDate>
  <CharactersWithSpaces>3735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2024-08-15T08:40:58Z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