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30F1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01D4F89">
      <w:pPr>
        <w:spacing w:line="540" w:lineRule="exact"/>
        <w:jc w:val="center"/>
        <w:rPr>
          <w:rFonts w:ascii="华文中宋" w:hAnsi="华文中宋" w:eastAsia="华文中宋" w:cs="宋体"/>
          <w:b/>
          <w:kern w:val="0"/>
          <w:sz w:val="52"/>
          <w:szCs w:val="52"/>
        </w:rPr>
      </w:pPr>
    </w:p>
    <w:p w14:paraId="7FE8C0BF">
      <w:pPr>
        <w:spacing w:line="540" w:lineRule="exact"/>
        <w:jc w:val="center"/>
        <w:rPr>
          <w:rFonts w:ascii="华文中宋" w:hAnsi="华文中宋" w:eastAsia="华文中宋" w:cs="宋体"/>
          <w:b/>
          <w:kern w:val="0"/>
          <w:sz w:val="52"/>
          <w:szCs w:val="52"/>
        </w:rPr>
      </w:pPr>
    </w:p>
    <w:p w14:paraId="128DF7BB">
      <w:pPr>
        <w:spacing w:line="540" w:lineRule="exact"/>
        <w:jc w:val="center"/>
        <w:rPr>
          <w:rFonts w:ascii="华文中宋" w:hAnsi="华文中宋" w:eastAsia="华文中宋" w:cs="宋体"/>
          <w:b/>
          <w:kern w:val="0"/>
          <w:sz w:val="52"/>
          <w:szCs w:val="52"/>
        </w:rPr>
      </w:pPr>
    </w:p>
    <w:p w14:paraId="4DC7F72B">
      <w:pPr>
        <w:spacing w:line="540" w:lineRule="exact"/>
        <w:jc w:val="center"/>
        <w:rPr>
          <w:rFonts w:ascii="华文中宋" w:hAnsi="华文中宋" w:eastAsia="华文中宋" w:cs="宋体"/>
          <w:b/>
          <w:kern w:val="0"/>
          <w:sz w:val="52"/>
          <w:szCs w:val="52"/>
        </w:rPr>
      </w:pPr>
    </w:p>
    <w:p w14:paraId="62F0ACCC">
      <w:pPr>
        <w:spacing w:line="540" w:lineRule="exact"/>
        <w:jc w:val="center"/>
        <w:rPr>
          <w:rFonts w:ascii="华文中宋" w:hAnsi="华文中宋" w:eastAsia="华文中宋" w:cs="宋体"/>
          <w:b/>
          <w:kern w:val="0"/>
          <w:sz w:val="52"/>
          <w:szCs w:val="52"/>
        </w:rPr>
      </w:pPr>
    </w:p>
    <w:p w14:paraId="5809F5AB">
      <w:pPr>
        <w:spacing w:line="540" w:lineRule="exact"/>
        <w:jc w:val="center"/>
        <w:rPr>
          <w:rFonts w:ascii="华文中宋" w:hAnsi="华文中宋" w:eastAsia="华文中宋" w:cs="宋体"/>
          <w:b/>
          <w:kern w:val="0"/>
          <w:sz w:val="52"/>
          <w:szCs w:val="52"/>
        </w:rPr>
      </w:pPr>
    </w:p>
    <w:p w14:paraId="346D033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60CAB33">
      <w:pPr>
        <w:spacing w:line="540" w:lineRule="exact"/>
        <w:jc w:val="center"/>
        <w:rPr>
          <w:rFonts w:ascii="华文中宋" w:hAnsi="华文中宋" w:eastAsia="华文中宋" w:cs="宋体"/>
          <w:b/>
          <w:kern w:val="0"/>
          <w:sz w:val="52"/>
          <w:szCs w:val="52"/>
        </w:rPr>
      </w:pPr>
    </w:p>
    <w:p w14:paraId="01BF048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A5BCF7D">
      <w:pPr>
        <w:spacing w:line="540" w:lineRule="exact"/>
        <w:jc w:val="center"/>
        <w:rPr>
          <w:rFonts w:hAnsi="宋体" w:eastAsia="仿宋_GB2312" w:cs="宋体"/>
          <w:kern w:val="0"/>
          <w:sz w:val="30"/>
          <w:szCs w:val="30"/>
        </w:rPr>
      </w:pPr>
    </w:p>
    <w:p w14:paraId="54577D98">
      <w:pPr>
        <w:spacing w:line="540" w:lineRule="exact"/>
        <w:jc w:val="center"/>
        <w:rPr>
          <w:rFonts w:hAnsi="宋体" w:eastAsia="仿宋_GB2312" w:cs="宋体"/>
          <w:kern w:val="0"/>
          <w:sz w:val="30"/>
          <w:szCs w:val="30"/>
        </w:rPr>
      </w:pPr>
    </w:p>
    <w:p w14:paraId="7E61D16B">
      <w:pPr>
        <w:spacing w:line="540" w:lineRule="exact"/>
        <w:jc w:val="center"/>
        <w:rPr>
          <w:rFonts w:hAnsi="宋体" w:eastAsia="仿宋_GB2312" w:cs="宋体"/>
          <w:kern w:val="0"/>
          <w:sz w:val="30"/>
          <w:szCs w:val="30"/>
        </w:rPr>
      </w:pPr>
    </w:p>
    <w:p w14:paraId="6F6D2408">
      <w:pPr>
        <w:spacing w:line="540" w:lineRule="exact"/>
        <w:jc w:val="center"/>
        <w:rPr>
          <w:rFonts w:hAnsi="宋体" w:eastAsia="仿宋_GB2312" w:cs="宋体"/>
          <w:kern w:val="0"/>
          <w:sz w:val="30"/>
          <w:szCs w:val="30"/>
        </w:rPr>
      </w:pPr>
    </w:p>
    <w:p w14:paraId="1B87E111">
      <w:pPr>
        <w:spacing w:line="540" w:lineRule="exact"/>
        <w:jc w:val="center"/>
        <w:rPr>
          <w:rFonts w:hAnsi="宋体" w:eastAsia="仿宋_GB2312" w:cs="宋体"/>
          <w:kern w:val="0"/>
          <w:sz w:val="30"/>
          <w:szCs w:val="30"/>
        </w:rPr>
      </w:pPr>
    </w:p>
    <w:p w14:paraId="26CE61EC">
      <w:pPr>
        <w:spacing w:line="540" w:lineRule="exact"/>
        <w:jc w:val="center"/>
        <w:rPr>
          <w:rFonts w:hAnsi="宋体" w:eastAsia="仿宋_GB2312" w:cs="宋体"/>
          <w:kern w:val="0"/>
          <w:sz w:val="30"/>
          <w:szCs w:val="30"/>
        </w:rPr>
      </w:pPr>
    </w:p>
    <w:p w14:paraId="1CECE108">
      <w:pPr>
        <w:spacing w:line="540" w:lineRule="exact"/>
        <w:rPr>
          <w:rFonts w:hAnsi="宋体" w:eastAsia="仿宋_GB2312" w:cs="宋体"/>
          <w:kern w:val="0"/>
          <w:sz w:val="30"/>
          <w:szCs w:val="30"/>
        </w:rPr>
      </w:pPr>
    </w:p>
    <w:p w14:paraId="4D828A2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0CA945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2023年昌吉州中小学校园环境改造提升工程专项</w:t>
      </w:r>
    </w:p>
    <w:p w14:paraId="15D2F06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呼图壁县第二中学</w:t>
      </w:r>
    </w:p>
    <w:p w14:paraId="318FF30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呼图壁县第二中学</w:t>
      </w:r>
    </w:p>
    <w:p w14:paraId="15CDC96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夏广志</w:t>
      </w:r>
    </w:p>
    <w:p w14:paraId="269DC05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14:paraId="718BF50A">
      <w:pPr>
        <w:spacing w:line="700" w:lineRule="exact"/>
        <w:ind w:firstLine="708" w:firstLineChars="236"/>
        <w:jc w:val="left"/>
        <w:rPr>
          <w:rFonts w:hAnsi="宋体" w:eastAsia="仿宋_GB2312" w:cs="宋体"/>
          <w:kern w:val="0"/>
          <w:sz w:val="30"/>
          <w:szCs w:val="30"/>
        </w:rPr>
      </w:pPr>
    </w:p>
    <w:p w14:paraId="6583E2BF">
      <w:pPr>
        <w:spacing w:line="540" w:lineRule="exact"/>
        <w:rPr>
          <w:rStyle w:val="18"/>
          <w:rFonts w:ascii="黑体" w:hAnsi="黑体" w:eastAsia="黑体"/>
          <w:b w:val="0"/>
          <w:spacing w:val="-4"/>
          <w:sz w:val="32"/>
          <w:szCs w:val="32"/>
        </w:rPr>
      </w:pPr>
    </w:p>
    <w:p w14:paraId="1C39C6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9A79AC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56AF5C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通过昌州财教【2023】20号文件要求，对项目实施背景进行分析，风吹日晒，年久失修，原一中校址内的教学楼外墙墙皮脱落、掉色，教学楼内部有些墙面腐蚀，漏沙严重，地板砖空鼓、破碎，存在安全隐患，需要更换。通过校园环境提升改造工程，粉刷原一中校址内的启航楼、明志楼、毓秀楼等教学楼，外墙粉刷1000平方米，内墙粉刷33000平方米。校园环境提升改造更换毓秀楼内地砖。保证学校正常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本项目主要内容为校园环境提升改造，改善教学环境，提升办学水平，提高家长学生的满意度，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本项目于2023年7开始实施，截止2023年8月已全部完成，通过本项目的实施，提升了校园环境，改善教学环境，提升办学水平，提高家长学生的满意度。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2023年昌吉州中小学校园环境改造提升工程专项（呼图壁县第二中学）的实施主体为呼图壁第二中学，该单位纳入2023年部门决算编制范围的有5个科室，分别是：党政办公室，教务处、德育处、总务处、保卫科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116人，其中：行政人员编制0人、工勤3人、参公0人、事业编制113人。实有在职人数116人，其中：行政在职0人、工勤3人、参公0人、事业在职116人。离退休人员68人，其中：行政退休人员0人、事业退休68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文件，下达2023年昌吉州中小学校园环境改造提升工程专项（呼图壁县第二中学）项目资金，预算安排资金总额186万元，其中财政资金186万元、其他资金0万元，2023年实际收到预算资金186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bookmarkStart w:id="0" w:name="_GoBack"/>
      <w:bookmarkEnd w:id="0"/>
      <w:r>
        <w:rPr>
          <w:rStyle w:val="18"/>
          <w:rFonts w:hint="eastAsia" w:ascii="楷体" w:hAnsi="楷体" w:eastAsia="楷体"/>
          <w:b w:val="0"/>
          <w:bCs w:val="0"/>
          <w:spacing w:val="-4"/>
          <w:sz w:val="32"/>
          <w:szCs w:val="32"/>
          <w:lang w:eastAsia="zh-CN"/>
        </w:rPr>
        <w:t>149.04</w:t>
      </w:r>
      <w:r>
        <w:rPr>
          <w:rStyle w:val="18"/>
          <w:rFonts w:hint="eastAsia" w:ascii="楷体" w:hAnsi="楷体" w:eastAsia="楷体"/>
          <w:b w:val="0"/>
          <w:bCs w:val="0"/>
          <w:spacing w:val="-4"/>
          <w:sz w:val="32"/>
          <w:szCs w:val="32"/>
        </w:rPr>
        <w:t>万元，预算执行率80.13%。项目资金主要用于支付2023年昌吉州中小学校园环境改造提升工程专项（呼图壁县第二中学）项目费用149.04万元。</w:t>
      </w:r>
    </w:p>
    <w:p w14:paraId="10D1545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1431D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粉刷原一中校址内的启航楼、明志楼、毓秀楼等教学楼，外墙粉刷1000平方米，内墙粉刷33000平方米。校园环境提升改造更换毓秀楼内地砖，通过该项目实施，校园环境提升改造，改善教学环境，提升办学水平，提高家长学生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“内墙粉刷面积”指标，预期指标值为“=1000平方米”；根据实际测算粉刷面积可知，实际完成1000平方米，目前完成率100%。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“外墙粉刷面积”指标，预期指标值为“=3000平方米”；根据实际测算粉刷面积可知，实际完成3000平方米，目前完成率100%。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“工程质量检测合格率”指标，预期指标值为“=100%”，根据项目质检可知，实际已经完成100%，目前完成率100%。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“校园环境改造提升享受比例”指标，预期指标值为“=100%”，根据学校老师、学生享受情况可知，实际完成100%，完成率100%。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“保证经费支出”指标，预期指标值为“≤186万元，根据国库集中支付单据可知，实际完成80.13%，目前到位资金149.04万元，完成率100%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“项目成本控制率”指标，预期指标值为“=100%”，根据国库集中支付单据可知，实际完成100%，目前完成率100%。（2）项目效益目标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“学生家庭经济负担”指标，预期指标值为“不断减轻”，根据开展学生家长座谈会，了解到学生家庭经济负担不断减轻。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“家长满意度”指标，预期指标值为“大于等于95%”，根据开家长会，与家长座谈，了解到家长满意度达&gt;95% ；</w:t>
      </w:r>
    </w:p>
    <w:p w14:paraId="33BF06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FBE820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77F2E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昌吉州中小学校园环境改造提升工程专项（呼图壁县第二中学）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D69D93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74077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昌吉州中小学校园环境改造提升工程专项（呼图壁县第二中学）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内墙粉刷面积，外墙粉刷面积，工程质量检测合格率，校园环境改造提升享受比例、保证经费支出、项目成本控制率、学生家庭经济负担，家长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17B03C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62BA8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夏广志：呼图壁县第二中学校长任评价组组长，绩效评价工作职责为检查项目绩效指标完成情况、审定项目支出绩效评价结果及项目支出绩效评价报告。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马萍（呼图壁县第二中学副校长）任评价组副组长，绩效评价工作职责为组织和协调项目工作人员采取实地调查、资料检查等方式，核实项目绩效指标完成情况；组织受益对象对项目工作进行评价等。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黄云星、马萍、李文瑾、朱国辉、彭永芬（呼图壁县第二中学干部）任评价组成员，绩效评价工作职责为做好项目支出绩效评价工作的沟通协调工作，对项目实施情况进行实地调查，编写项目支出绩效评价报告。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906FC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08524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通过2023年昌吉州中小学校园环境改造提升工程专项(呼图壁第二中学)的实施，提升了校园环境，改善教学环境，提升办学水平，提高家长学生的满意度，该项目预算执行率达87.57%。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昌吉州中小学校园环境改造提升工程专项(呼图壁第二中学)项目的绩效目标和各项具体绩效指标实现情况进行了客观评价，最终评分为100分。绩效评级为“优秀”，具体得分情况为：项目决策20分、项目过程20分、项目产出30分、项目效益30分。</w:t>
      </w:r>
    </w:p>
    <w:p w14:paraId="531DBD5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0C2A34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3ACC01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A92B36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FFACB6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2.预算执行率：本项目预算较为详细，预算资金168万元，实际执行149.04万元，预算执行率为80.13%，项目资金支出总体能够按照预算执行，根据评分标准，该指标5分，得4分。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3.资金使用合规性：项目任务下达后，我单位制定了《预算绩效及管理》制度和管理规定对经费使用进行规范管理，财务制度健全、执行严格，根据评分标准，该指标5分，得5分。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4.管理制度健全性：我单位制定了《预算绩效及管理办法》等相关项目管理办法，同时对财政专项资金进行严格管理，基本做到了专款专用，根据评分标准，该指标2分，得2分。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542D1C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666A0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“内墙粉刷面积”指标，预期指标值为“=1000平方米”；根据实际测算粉刷面积可知，实际完成1000平方米，目前完成率100%，与预期目标一致，根据评分标准，该指标5分，得5分。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“外墙粉刷面积”指标，预期指标值为“=3000平方米”；根据实际测算粉刷面积可知，实际完成3000平方米，目前完成率100%，与预期目标一致，根据评分标准，该指标5分，得5分。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“工程质量检测合格率”指标，预期指标值为“=100%”，根据项目质检可知，实际已经完成100%，目前完成率100%，与预期目标一致，根据评分标准，该指标5分，得5分。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“校园环境改造提升享受比例”指标，预期指标值为“=100%”，根据学校老师、学生享受情况可知，实际完成100%，完成率100%，与预期目标一致，根据评分标准，该指标5分，得5分。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“保证经费支出”指标，预期指标值为“≤186万元，根据国库集中支付单据可知，实际完成100%，目前到位资金149.04万元，完成率100%。根据评分标准，该指标10分，得10分。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“项目成本控制率”指标，预期指标值为“=100%”，根据国库集中支付单据可知，实际完成100%，目前完成率100%。与预期目标一致，根据评分标准，该指标10分，得10分。</w:t>
      </w:r>
    </w:p>
    <w:p w14:paraId="4D69B0E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AB911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“学生家庭经济负担”指标，预期指标值为“不断减轻”，根据开展学生家长座谈会，了解到学生家庭经济负担不断减轻，实际完成值为“好”，根据评分标准，该指标15分，得15分。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“家长满意度”指标，预期指标值为“大于等于95%”，根据开家长会，与家长座谈，了解到家长满意度达&gt;95% ，根据评分标准，该指标15分,得15分。</w:t>
      </w:r>
    </w:p>
    <w:p w14:paraId="399DB50C">
      <w:pPr>
        <w:spacing w:line="540" w:lineRule="exact"/>
        <w:ind w:firstLine="567"/>
        <w:rPr>
          <w:rStyle w:val="18"/>
          <w:rFonts w:ascii="楷体" w:hAnsi="楷体" w:eastAsia="楷体"/>
          <w:spacing w:val="-4"/>
          <w:sz w:val="32"/>
          <w:szCs w:val="32"/>
        </w:rPr>
      </w:pPr>
    </w:p>
    <w:p w14:paraId="352A049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C897F2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2023年昌吉州中小学校园环境改造提升工程专项(呼图壁第二中学)项目预算金额186万元，实际到位149.04万元，实际支出149.04万元，预算执行率为80.13%。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未产生偏差</w:t>
      </w:r>
    </w:p>
    <w:p w14:paraId="715AB8F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950688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2FF7C5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498196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88C2B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BCBAB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3B48D894">
      <w:pPr>
        <w:spacing w:line="540" w:lineRule="exact"/>
        <w:ind w:firstLine="567"/>
        <w:rPr>
          <w:rStyle w:val="18"/>
          <w:rFonts w:ascii="仿宋" w:hAnsi="仿宋" w:eastAsia="仿宋"/>
          <w:b w:val="0"/>
          <w:spacing w:val="-4"/>
          <w:sz w:val="32"/>
          <w:szCs w:val="32"/>
        </w:rPr>
      </w:pPr>
    </w:p>
    <w:p w14:paraId="428814B5">
      <w:pPr>
        <w:spacing w:line="540" w:lineRule="exact"/>
        <w:ind w:firstLine="567"/>
        <w:rPr>
          <w:rStyle w:val="18"/>
          <w:rFonts w:ascii="仿宋" w:hAnsi="仿宋" w:eastAsia="仿宋"/>
          <w:b w:val="0"/>
          <w:spacing w:val="-4"/>
          <w:sz w:val="32"/>
          <w:szCs w:val="32"/>
        </w:rPr>
      </w:pPr>
    </w:p>
    <w:p w14:paraId="6F6C4E77">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06D747B">
        <w:pPr>
          <w:pStyle w:val="12"/>
          <w:jc w:val="center"/>
        </w:pPr>
        <w:r>
          <w:fldChar w:fldCharType="begin"/>
        </w:r>
        <w:r>
          <w:instrText xml:space="preserve">PAGE   \* MERGEFORMAT</w:instrText>
        </w:r>
        <w:r>
          <w:fldChar w:fldCharType="separate"/>
        </w:r>
        <w:r>
          <w:rPr>
            <w:lang w:val="zh-CN"/>
          </w:rPr>
          <w:t>2</w:t>
        </w:r>
        <w:r>
          <w:fldChar w:fldCharType="end"/>
        </w:r>
      </w:p>
    </w:sdtContent>
  </w:sdt>
  <w:p w14:paraId="764CF33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CF26E4E"/>
    <w:rsid w:val="4D2606A1"/>
    <w:rsid w:val="51830480"/>
    <w:rsid w:val="53A616BE"/>
    <w:rsid w:val="54662BFB"/>
    <w:rsid w:val="61B96D3C"/>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7500</Words>
  <Characters>7889</Characters>
  <Lines>4</Lines>
  <Paragraphs>1</Paragraphs>
  <TotalTime>6</TotalTime>
  <ScaleCrop>false</ScaleCrop>
  <LinksUpToDate>false</LinksUpToDate>
  <CharactersWithSpaces>7923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2024-08-15T07:24:06Z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