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8F89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AD68AC9">
      <w:pPr>
        <w:spacing w:line="540" w:lineRule="exact"/>
        <w:jc w:val="center"/>
        <w:rPr>
          <w:rFonts w:ascii="华文中宋" w:hAnsi="华文中宋" w:eastAsia="华文中宋" w:cs="宋体"/>
          <w:b/>
          <w:kern w:val="0"/>
          <w:sz w:val="52"/>
          <w:szCs w:val="52"/>
        </w:rPr>
      </w:pPr>
    </w:p>
    <w:p w14:paraId="11C3CFDC">
      <w:pPr>
        <w:spacing w:line="540" w:lineRule="exact"/>
        <w:jc w:val="center"/>
        <w:rPr>
          <w:rFonts w:ascii="华文中宋" w:hAnsi="华文中宋" w:eastAsia="华文中宋" w:cs="宋体"/>
          <w:b/>
          <w:kern w:val="0"/>
          <w:sz w:val="52"/>
          <w:szCs w:val="52"/>
        </w:rPr>
      </w:pPr>
    </w:p>
    <w:p w14:paraId="1FB1E2B9">
      <w:pPr>
        <w:spacing w:line="540" w:lineRule="exact"/>
        <w:jc w:val="center"/>
        <w:rPr>
          <w:rFonts w:ascii="华文中宋" w:hAnsi="华文中宋" w:eastAsia="华文中宋" w:cs="宋体"/>
          <w:b/>
          <w:kern w:val="0"/>
          <w:sz w:val="52"/>
          <w:szCs w:val="52"/>
        </w:rPr>
      </w:pPr>
    </w:p>
    <w:p w14:paraId="5D9BA2F1">
      <w:pPr>
        <w:spacing w:line="540" w:lineRule="exact"/>
        <w:jc w:val="center"/>
        <w:rPr>
          <w:rFonts w:ascii="华文中宋" w:hAnsi="华文中宋" w:eastAsia="华文中宋" w:cs="宋体"/>
          <w:b/>
          <w:kern w:val="0"/>
          <w:sz w:val="52"/>
          <w:szCs w:val="52"/>
        </w:rPr>
      </w:pPr>
    </w:p>
    <w:p w14:paraId="439567B7">
      <w:pPr>
        <w:spacing w:line="540" w:lineRule="exact"/>
        <w:jc w:val="center"/>
        <w:rPr>
          <w:rFonts w:ascii="华文中宋" w:hAnsi="华文中宋" w:eastAsia="华文中宋" w:cs="宋体"/>
          <w:b/>
          <w:kern w:val="0"/>
          <w:sz w:val="52"/>
          <w:szCs w:val="52"/>
        </w:rPr>
      </w:pPr>
    </w:p>
    <w:p w14:paraId="32E0C12B">
      <w:pPr>
        <w:spacing w:line="540" w:lineRule="exact"/>
        <w:jc w:val="center"/>
        <w:rPr>
          <w:rFonts w:ascii="华文中宋" w:hAnsi="华文中宋" w:eastAsia="华文中宋" w:cs="宋体"/>
          <w:b/>
          <w:kern w:val="0"/>
          <w:sz w:val="52"/>
          <w:szCs w:val="52"/>
        </w:rPr>
      </w:pPr>
    </w:p>
    <w:p w14:paraId="28DD7CC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0162733">
      <w:pPr>
        <w:spacing w:line="540" w:lineRule="exact"/>
        <w:jc w:val="center"/>
        <w:rPr>
          <w:rFonts w:ascii="华文中宋" w:hAnsi="华文中宋" w:eastAsia="华文中宋" w:cs="宋体"/>
          <w:b/>
          <w:kern w:val="0"/>
          <w:sz w:val="52"/>
          <w:szCs w:val="52"/>
        </w:rPr>
      </w:pPr>
    </w:p>
    <w:p w14:paraId="0CEB8F9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3879D1C">
      <w:pPr>
        <w:spacing w:line="540" w:lineRule="exact"/>
        <w:jc w:val="center"/>
        <w:rPr>
          <w:rFonts w:hAnsi="宋体" w:eastAsia="仿宋_GB2312" w:cs="宋体"/>
          <w:kern w:val="0"/>
          <w:sz w:val="30"/>
          <w:szCs w:val="30"/>
        </w:rPr>
      </w:pPr>
    </w:p>
    <w:p w14:paraId="3E338411">
      <w:pPr>
        <w:spacing w:line="540" w:lineRule="exact"/>
        <w:jc w:val="center"/>
        <w:rPr>
          <w:rFonts w:hAnsi="宋体" w:eastAsia="仿宋_GB2312" w:cs="宋体"/>
          <w:kern w:val="0"/>
          <w:sz w:val="30"/>
          <w:szCs w:val="30"/>
        </w:rPr>
      </w:pPr>
    </w:p>
    <w:p w14:paraId="1C1F6684">
      <w:pPr>
        <w:spacing w:line="540" w:lineRule="exact"/>
        <w:jc w:val="center"/>
        <w:rPr>
          <w:rFonts w:hAnsi="宋体" w:eastAsia="仿宋_GB2312" w:cs="宋体"/>
          <w:kern w:val="0"/>
          <w:sz w:val="30"/>
          <w:szCs w:val="30"/>
        </w:rPr>
      </w:pPr>
    </w:p>
    <w:p w14:paraId="3D1B5B84">
      <w:pPr>
        <w:spacing w:line="540" w:lineRule="exact"/>
        <w:jc w:val="center"/>
        <w:rPr>
          <w:rFonts w:hAnsi="宋体" w:eastAsia="仿宋_GB2312" w:cs="宋体"/>
          <w:kern w:val="0"/>
          <w:sz w:val="30"/>
          <w:szCs w:val="30"/>
        </w:rPr>
      </w:pPr>
    </w:p>
    <w:p w14:paraId="0045D034">
      <w:pPr>
        <w:spacing w:line="540" w:lineRule="exact"/>
        <w:jc w:val="center"/>
        <w:rPr>
          <w:rFonts w:hAnsi="宋体" w:eastAsia="仿宋_GB2312" w:cs="宋体"/>
          <w:kern w:val="0"/>
          <w:sz w:val="30"/>
          <w:szCs w:val="30"/>
        </w:rPr>
      </w:pPr>
    </w:p>
    <w:p w14:paraId="111DE1E3">
      <w:pPr>
        <w:spacing w:line="540" w:lineRule="exact"/>
        <w:jc w:val="center"/>
        <w:rPr>
          <w:rFonts w:hAnsi="宋体" w:eastAsia="仿宋_GB2312" w:cs="宋体"/>
          <w:kern w:val="0"/>
          <w:sz w:val="30"/>
          <w:szCs w:val="30"/>
        </w:rPr>
      </w:pPr>
    </w:p>
    <w:p w14:paraId="1836098C">
      <w:pPr>
        <w:spacing w:line="540" w:lineRule="exact"/>
        <w:rPr>
          <w:rFonts w:hAnsi="宋体" w:eastAsia="仿宋_GB2312" w:cs="宋体"/>
          <w:kern w:val="0"/>
          <w:sz w:val="30"/>
          <w:szCs w:val="30"/>
        </w:rPr>
      </w:pPr>
    </w:p>
    <w:p w14:paraId="0DE410C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41B9B5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2023年昌吉州中小学校园环境改造提升工程专项资金</w:t>
      </w:r>
    </w:p>
    <w:p w14:paraId="0C5ED95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呼图壁县第四中学</w:t>
      </w:r>
    </w:p>
    <w:p w14:paraId="0F50766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呼图壁县第四中学</w:t>
      </w:r>
    </w:p>
    <w:p w14:paraId="2FDA54D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丁新涛</w:t>
      </w:r>
    </w:p>
    <w:p w14:paraId="5F9D081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14:paraId="323B6D85">
      <w:pPr>
        <w:spacing w:line="700" w:lineRule="exact"/>
        <w:ind w:firstLine="708" w:firstLineChars="236"/>
        <w:jc w:val="left"/>
        <w:rPr>
          <w:rFonts w:hAnsi="宋体" w:eastAsia="仿宋_GB2312" w:cs="宋体"/>
          <w:kern w:val="0"/>
          <w:sz w:val="30"/>
          <w:szCs w:val="30"/>
        </w:rPr>
      </w:pPr>
    </w:p>
    <w:p w14:paraId="4CD09475">
      <w:pPr>
        <w:spacing w:line="540" w:lineRule="exact"/>
        <w:rPr>
          <w:rStyle w:val="18"/>
          <w:rFonts w:ascii="黑体" w:hAnsi="黑体" w:eastAsia="黑体"/>
          <w:b w:val="0"/>
          <w:spacing w:val="-4"/>
          <w:sz w:val="32"/>
          <w:szCs w:val="32"/>
        </w:rPr>
      </w:pPr>
    </w:p>
    <w:p w14:paraId="20EFFF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578392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76770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昌州财教[2023]20号-2023年昌吉州中小学校园环境改造提升工程专项资金文件要求，由呼图壁县教育局进行统一招标，我校与承包商新疆明信建筑安装工程有限责任公司于2023年7月签订了合同。本项目的实施，对推进国民素质的提升、促进全民健康成长、支持人才培养，以及实现构建和谐社会等方面都具有不可替代的作用。因此，对中小学校进行改造、提高教育设施和教学环境，对于提升教育质量和水平、保障学生权益有着重要的作用与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年昌吉州中小学校园环境改造提升工程专项资金文件要求，由呼图壁县教育局进行统一招标，我校与承包商新疆明信建筑安装工程有限责任公司于2023年7月签订了合同。本项目的实施，对推进国民素质的提升、促进全民健康成长、支持人才培养，以及实现构建和谐社会等方面都具有不可替代的作用。因此，对中小学校进行改造、提高教育设施和教学环境，对于提升教育质量和水平、保障学生权益有着重要的作用与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完成后，达到校园安全、校园美化的目的，培养师生鲜明的环保意识和审美情趣，养成良好的工作习惯、学习习惯、生活习惯和卫生习惯，保持整洁、舒心的室内外环境，建立校园环境建设长效机制，保持优美的校园自然环境建设方面和良好地文化氛围。推动呼图壁县五工台镇小学的教育事业健康、稳步地向前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本项目主要内容为校园环境提升改造工程，改善教学环境，提升学生及教师的幸福感!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本项目于2023年7月开始实施，截止2023年8月底已</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全部完成，通过本项目的实施，改善了教学环境，提高学生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及教师的满意度。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 年昌吉州中小学校园环境改造提升工程专项资金实施主体为呼图壁县五工台镇小学，该单位纳入2023年部门决算编制范围的有5个科室3个年级部，分别是：教务处、总务处、德育处、保卫科、办公室及三个年级部。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206人，其中：行政人员编制0人、工勤0人、参公0人、事业编制206人。实有在职人数206人，其中：行政在职0人、工勤0人、参公0人、事业在职206人。离退休人员55人，其中：行政退休人员0人、事业退休55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 年昌吉州中小学校园环境改造提升工程专项资金文件，下达2023年昌吉州中小学校园环境改造提升工程专项资金，预算安排资金总额244万元，其中财政资金244万元、其他资金0万元，2023年实际收到预算资金244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截至2023年12月31日，本项目实际支付资金194.61万元，预算执行率79.76%。项目资金主要用于支付2023年昌吉州中小学校园环境改造提升工程专项资金费用194.61万元。</w:t>
      </w:r>
    </w:p>
    <w:p w14:paraId="1E31763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ABAC1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lang w:val="en-US" w:eastAsia="zh-CN"/>
        </w:rPr>
        <w:t>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w:t>
      </w:r>
      <w:bookmarkStart w:id="0" w:name="_GoBack"/>
      <w:bookmarkEnd w:id="0"/>
      <w:r>
        <w:rPr>
          <w:rStyle w:val="18"/>
          <w:rFonts w:hint="eastAsia" w:ascii="楷体" w:hAnsi="楷体" w:eastAsia="楷体"/>
          <w:b w:val="0"/>
          <w:bCs w:val="0"/>
          <w:spacing w:val="-4"/>
          <w:sz w:val="32"/>
          <w:szCs w:val="32"/>
        </w:rPr>
        <w:t>号-2023年昌吉州中小学校园环境改造提升工程专项资金文件要求，由呼图壁县教育局进行统一招标，我校与承包商新疆明信建筑安装工程有限责任公司于2023年7月签订了合同。本项目的实施，对推进国民素质的提升、促进全民健康成长、支持人才培养，以及实现构建和谐社会等方面都具有不可替代的作用。因此，对中小学校进行改造、提高教育设施和教学环境，对于提升教育质量和水平、保障学生权益有着重要的作用与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完成后，达到校园安全、校园美化的目的，培养师生鲜明的环保意识和审美情趣，养成良好的工作习惯、学习习惯、生活习惯和卫生习惯，保持整洁、舒心的室内外环境，建立校园环境建设长效机制，保持优美的校园自然环境建设方面和良好地文化氛围。推动呼图壁县五工台镇小学的教育事业健康、稳步地向前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本项目主要内容为校园环境提升改造工程，改善教学环境，提升学生及教师的幸福感!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本项目于2023年7月开始实施，截止2023年8月底已</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全部完成，通过本项目的实施，改善了教学环境，提高学生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及教师的满意度。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 年昌吉州中小学校园环境改造提升工程专项资金实施主体为呼图壁县五工台镇小学，该单位纳入2023年部门决算编制范围的有5个科室3个年级部，分别是：教务处、总务处、德育处、保卫科、办公室及三个年级部。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206人，其中：行政人员编制0人、工勤0人、参公0人、事业编制206人。实有在职人数206人，其中：行政在职0人、工勤0人、参公0人、事业在职206人。离退休人员55人，其中：行政退休人员0人、事业退休55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 年昌吉州中小学校园环境改造提升工程专项资金文件，下达2023年昌吉州中小学校园环境改造提升工程专项资金，预算安排资金总额244万元，其中财政资金244万元、其他资金0万元，2023年实际收到预算资金244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截至2023年12月31日，本项目实际支付资金194.61万元，预算执行率79.76%。项目资金主要用于支付2023年昌吉州中小学校园环境改造提升工程专项资金费用194.61万元。</w:t>
      </w:r>
    </w:p>
    <w:p w14:paraId="00C2C3E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EEA7B2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A86D53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2023 年昌吉州中小学校园环境改造提升工程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9BE0B6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D27BA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义务教育阶段学生人数、享受职工人数、小学入学率、小学辍学率、项目完成及时率、项目工程资金指出率、成本控制率、提高教育教学水平、社会面政策知晓率、家长满意度、学生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A9BEB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14DD5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宇文恒明（呼图壁县第四中学书记）任评价组组长，绩效评价工作职责为检查项目绩效指标完成情况、审定项目支出绩效评价结果及项目支出绩效评价报告。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丁新涛（呼图壁县第四中学校长）任评价组副组长，绩效评价工作职责为组织和协调项目工作人员采取实地调查、资料检查等方式，核实项目绩效指标完成情况；组织受益对象对项目工作进行评价等。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罗光和（呼图壁县第四中学总务主任）任评价组成员，绩效评价工作职责为做好项目支出绩效评价工作的沟通协调工作，对项目实施情况进行实地调查，编写项目支出绩效评价报告。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51F42A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371F1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通过昌州财教[2023]20号-2023年昌吉州中小学校园环境改造提升工程专项资金项目的实施，解决了校园环境的改造，提高了办学水平，提升了校园环境，改善教育环境，提高家校满意度，该项目预算执行率达100%。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昌州财教[2023]20号-2023年昌吉州中小学校园环境改造提升工程专项资金项目的绩效目标和各项具体绩效指标实现情况进行了客观评价，最终评分为98.5分。绩效评级为“优秀”,具体得分情况为：项目决策20分、项目过程18.5分、项目产出30分、项目效益30分。</w:t>
      </w:r>
    </w:p>
    <w:p w14:paraId="5A8E4E0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D0A8DB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837D81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B52B1B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E9B5A5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分，本项目实际得分18.5分，得分率为92.50%。具体各项指标得分如下：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2.预算执行率：本项目预算较为详细，预算资金244万元，实际执行194.61万元，预算执行率为100%，项目资金支出总体能够按照预算执行，根据评分标准，该指标5分，得3.5分。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1A188A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24587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“义务教育阶段学生人数”指标，预期指标值为“≤1847人”，根据（验收报告、国库集中支付凭证）可知，实际完成1847人，与预期目标一致，根据评分标准，该指标5分，得5分。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“享受教职工人数”指标，预期指标值为“≤209人”，根据（验收报告、国库集中支付凭证）可知，实际完成206人，与预期目标一致，根据评分标准，该指标5分，得5分。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“中学入学率”指标，预期指标值为“=100%”，根据（验收报告、国库集中支付凭证）可知，实际完成100%，与预期目标一致，根据评分标准，该指标4分，得4分。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“中学辍学率”指标，预期指标值为“=0%”，根据（验收报告、国库集中支付凭证）可知，实际完成100%，与预期目标一致，根据评分标准，该指标4分，得4分。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“补助资金发放及时率”指标，预期指标值为“=100%”，根据（验收报告、国库集中支付凭证）可知，实际完成100%，与预期目标一致，与预期目标一致，根据评分标准，该指标4分，得4分。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“义务教育阶段中学公用经费支出”指标，预期指标值为“=100%”，根据（验收报告、国库集中支付凭证）可知，实际完成100%，与预期目标一致，根据评分标准，该指标4分，得4分。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“成本控制率”指标，预期指标值为“=100%”，根据（验收报告、国库集中支付凭证）可知，实际完成100%，与预期目标一致，根据评分标准，该指标4分，得4分。</w:t>
      </w:r>
    </w:p>
    <w:p w14:paraId="7E17606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08A10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“提高教师教育教学能力”指标，预期指标值为“有待提高”，根据座谈可知，实际完成值为“有效提高”，根据评分标准，该指标20分，得20分。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“家长满意度”指标，预期指标值为“≧95%”，收益对象满意度满意度达95%，根据评分标准，该指标5分,得5分。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“学生满意度”指标，预期指标值为“≧95%”，收益对象满意度满意度达95%，根据评分标准，该指标5分,得5分。</w:t>
      </w:r>
    </w:p>
    <w:p w14:paraId="55E9A1F2">
      <w:pPr>
        <w:spacing w:line="540" w:lineRule="exact"/>
        <w:ind w:firstLine="567"/>
        <w:rPr>
          <w:rStyle w:val="18"/>
          <w:rFonts w:ascii="楷体" w:hAnsi="楷体" w:eastAsia="楷体"/>
          <w:spacing w:val="-4"/>
          <w:sz w:val="32"/>
          <w:szCs w:val="32"/>
        </w:rPr>
      </w:pPr>
    </w:p>
    <w:p w14:paraId="2E83C50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1F2D2D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昌州财教[2023]20号-2023年昌吉州中小学校园环境改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造提升工程专项资金项目预算金额244的万元，实际到位244万元，实际支出194.61万元，预算执行率为100%。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项目偏差为0% 。</w:t>
      </w:r>
    </w:p>
    <w:p w14:paraId="52A36E5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794FE0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9AB762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20D040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188C4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2A3915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2E6A7C7">
      <w:pPr>
        <w:spacing w:line="540" w:lineRule="exact"/>
        <w:ind w:firstLine="567"/>
        <w:rPr>
          <w:rStyle w:val="18"/>
          <w:rFonts w:ascii="仿宋" w:hAnsi="仿宋" w:eastAsia="仿宋"/>
          <w:b w:val="0"/>
          <w:spacing w:val="-4"/>
          <w:sz w:val="32"/>
          <w:szCs w:val="32"/>
        </w:rPr>
      </w:pPr>
    </w:p>
    <w:p w14:paraId="68FC4C02">
      <w:pPr>
        <w:spacing w:line="540" w:lineRule="exact"/>
        <w:ind w:firstLine="567"/>
        <w:rPr>
          <w:rStyle w:val="18"/>
          <w:rFonts w:ascii="仿宋" w:hAnsi="仿宋" w:eastAsia="仿宋"/>
          <w:b w:val="0"/>
          <w:spacing w:val="-4"/>
          <w:sz w:val="32"/>
          <w:szCs w:val="32"/>
        </w:rPr>
      </w:pPr>
    </w:p>
    <w:p w14:paraId="5C202E50">
      <w:pPr>
        <w:spacing w:line="540" w:lineRule="exact"/>
        <w:ind w:firstLine="567"/>
        <w:rPr>
          <w:rStyle w:val="18"/>
          <w:rFonts w:ascii="仿宋" w:hAnsi="仿宋" w:eastAsia="仿宋"/>
          <w:b w:val="0"/>
          <w:spacing w:val="-4"/>
          <w:sz w:val="32"/>
          <w:szCs w:val="32"/>
        </w:rPr>
      </w:pPr>
    </w:p>
    <w:p w14:paraId="09567706">
      <w:pPr>
        <w:spacing w:line="540" w:lineRule="exact"/>
        <w:ind w:firstLine="567"/>
        <w:rPr>
          <w:rStyle w:val="18"/>
          <w:rFonts w:ascii="仿宋" w:hAnsi="仿宋" w:eastAsia="仿宋"/>
          <w:b w:val="0"/>
          <w:spacing w:val="-4"/>
          <w:sz w:val="32"/>
          <w:szCs w:val="32"/>
        </w:rPr>
      </w:pPr>
    </w:p>
    <w:p w14:paraId="19817E5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9AC8696">
        <w:pPr>
          <w:pStyle w:val="12"/>
          <w:jc w:val="center"/>
        </w:pPr>
        <w:r>
          <w:fldChar w:fldCharType="begin"/>
        </w:r>
        <w:r>
          <w:instrText xml:space="preserve">PAGE   \* MERGEFORMAT</w:instrText>
        </w:r>
        <w:r>
          <w:fldChar w:fldCharType="separate"/>
        </w:r>
        <w:r>
          <w:rPr>
            <w:lang w:val="zh-CN"/>
          </w:rPr>
          <w:t>2</w:t>
        </w:r>
        <w:r>
          <w:fldChar w:fldCharType="end"/>
        </w:r>
      </w:p>
    </w:sdtContent>
  </w:sdt>
  <w:p w14:paraId="713580E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NTUwY2Y3NzNhN2YyMWYyN2ZiODRmYTBmNDUy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B4E306D"/>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7271</Words>
  <Characters>7691</Characters>
  <Lines>4</Lines>
  <Paragraphs>1</Paragraphs>
  <TotalTime>5</TotalTime>
  <ScaleCrop>false</ScaleCrop>
  <LinksUpToDate>false</LinksUpToDate>
  <CharactersWithSpaces>7726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2024-08-16T04:19:44Z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