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9412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A7CC641">
      <w:pPr>
        <w:spacing w:line="540" w:lineRule="exact"/>
        <w:jc w:val="center"/>
        <w:rPr>
          <w:rFonts w:ascii="华文中宋" w:hAnsi="华文中宋" w:eastAsia="华文中宋" w:cs="宋体"/>
          <w:b/>
          <w:kern w:val="0"/>
          <w:sz w:val="52"/>
          <w:szCs w:val="52"/>
        </w:rPr>
      </w:pPr>
    </w:p>
    <w:p w14:paraId="0DA92995">
      <w:pPr>
        <w:spacing w:line="540" w:lineRule="exact"/>
        <w:jc w:val="center"/>
        <w:rPr>
          <w:rFonts w:ascii="华文中宋" w:hAnsi="华文中宋" w:eastAsia="华文中宋" w:cs="宋体"/>
          <w:b/>
          <w:kern w:val="0"/>
          <w:sz w:val="52"/>
          <w:szCs w:val="52"/>
        </w:rPr>
      </w:pPr>
    </w:p>
    <w:p w14:paraId="1B800B32">
      <w:pPr>
        <w:spacing w:line="540" w:lineRule="exact"/>
        <w:jc w:val="center"/>
        <w:rPr>
          <w:rFonts w:ascii="华文中宋" w:hAnsi="华文中宋" w:eastAsia="华文中宋" w:cs="宋体"/>
          <w:b/>
          <w:kern w:val="0"/>
          <w:sz w:val="52"/>
          <w:szCs w:val="52"/>
        </w:rPr>
      </w:pPr>
    </w:p>
    <w:p w14:paraId="5B07A675">
      <w:pPr>
        <w:spacing w:line="540" w:lineRule="exact"/>
        <w:jc w:val="center"/>
        <w:rPr>
          <w:rFonts w:ascii="华文中宋" w:hAnsi="华文中宋" w:eastAsia="华文中宋" w:cs="宋体"/>
          <w:b/>
          <w:kern w:val="0"/>
          <w:sz w:val="52"/>
          <w:szCs w:val="52"/>
        </w:rPr>
      </w:pPr>
    </w:p>
    <w:p w14:paraId="5761FD69">
      <w:pPr>
        <w:spacing w:line="540" w:lineRule="exact"/>
        <w:jc w:val="center"/>
        <w:rPr>
          <w:rFonts w:ascii="华文中宋" w:hAnsi="华文中宋" w:eastAsia="华文中宋" w:cs="宋体"/>
          <w:b/>
          <w:kern w:val="0"/>
          <w:sz w:val="52"/>
          <w:szCs w:val="52"/>
        </w:rPr>
      </w:pPr>
    </w:p>
    <w:p w14:paraId="19CB02E5">
      <w:pPr>
        <w:spacing w:line="540" w:lineRule="exact"/>
        <w:jc w:val="center"/>
        <w:rPr>
          <w:rFonts w:ascii="华文中宋" w:hAnsi="华文中宋" w:eastAsia="华文中宋" w:cs="宋体"/>
          <w:b/>
          <w:kern w:val="0"/>
          <w:sz w:val="52"/>
          <w:szCs w:val="52"/>
        </w:rPr>
      </w:pPr>
    </w:p>
    <w:p w14:paraId="06566B1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B1804B0">
      <w:pPr>
        <w:spacing w:line="540" w:lineRule="exact"/>
        <w:jc w:val="center"/>
        <w:rPr>
          <w:rFonts w:ascii="华文中宋" w:hAnsi="华文中宋" w:eastAsia="华文中宋" w:cs="宋体"/>
          <w:b/>
          <w:kern w:val="0"/>
          <w:sz w:val="52"/>
          <w:szCs w:val="52"/>
        </w:rPr>
      </w:pPr>
    </w:p>
    <w:p w14:paraId="757F5F9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FA14123">
      <w:pPr>
        <w:spacing w:line="540" w:lineRule="exact"/>
        <w:jc w:val="center"/>
        <w:rPr>
          <w:rFonts w:hAnsi="宋体" w:eastAsia="仿宋_GB2312" w:cs="宋体"/>
          <w:kern w:val="0"/>
          <w:sz w:val="30"/>
          <w:szCs w:val="30"/>
        </w:rPr>
      </w:pPr>
    </w:p>
    <w:p w14:paraId="7A103440">
      <w:pPr>
        <w:spacing w:line="540" w:lineRule="exact"/>
        <w:jc w:val="center"/>
        <w:rPr>
          <w:rFonts w:hAnsi="宋体" w:eastAsia="仿宋_GB2312" w:cs="宋体"/>
          <w:kern w:val="0"/>
          <w:sz w:val="30"/>
          <w:szCs w:val="30"/>
        </w:rPr>
      </w:pPr>
    </w:p>
    <w:p w14:paraId="1F2B2609">
      <w:pPr>
        <w:spacing w:line="540" w:lineRule="exact"/>
        <w:jc w:val="center"/>
        <w:rPr>
          <w:rFonts w:hAnsi="宋体" w:eastAsia="仿宋_GB2312" w:cs="宋体"/>
          <w:kern w:val="0"/>
          <w:sz w:val="30"/>
          <w:szCs w:val="30"/>
        </w:rPr>
      </w:pPr>
    </w:p>
    <w:p w14:paraId="5FCA03E4">
      <w:pPr>
        <w:spacing w:line="540" w:lineRule="exact"/>
        <w:jc w:val="center"/>
        <w:rPr>
          <w:rFonts w:hAnsi="宋体" w:eastAsia="仿宋_GB2312" w:cs="宋体"/>
          <w:kern w:val="0"/>
          <w:sz w:val="30"/>
          <w:szCs w:val="30"/>
        </w:rPr>
      </w:pPr>
    </w:p>
    <w:p w14:paraId="11B6FC8A">
      <w:pPr>
        <w:spacing w:line="540" w:lineRule="exact"/>
        <w:jc w:val="center"/>
        <w:rPr>
          <w:rFonts w:hAnsi="宋体" w:eastAsia="仿宋_GB2312" w:cs="宋体"/>
          <w:kern w:val="0"/>
          <w:sz w:val="30"/>
          <w:szCs w:val="30"/>
        </w:rPr>
      </w:pPr>
    </w:p>
    <w:p w14:paraId="75BAD9E6">
      <w:pPr>
        <w:spacing w:line="540" w:lineRule="exact"/>
        <w:jc w:val="center"/>
        <w:rPr>
          <w:rFonts w:hAnsi="宋体" w:eastAsia="仿宋_GB2312" w:cs="宋体"/>
          <w:kern w:val="0"/>
          <w:sz w:val="30"/>
          <w:szCs w:val="30"/>
        </w:rPr>
      </w:pPr>
    </w:p>
    <w:p w14:paraId="2E6CBDE7">
      <w:pPr>
        <w:spacing w:line="540" w:lineRule="exact"/>
        <w:rPr>
          <w:rFonts w:hAnsi="宋体" w:eastAsia="仿宋_GB2312" w:cs="宋体"/>
          <w:kern w:val="0"/>
          <w:sz w:val="30"/>
          <w:szCs w:val="30"/>
        </w:rPr>
      </w:pPr>
    </w:p>
    <w:p w14:paraId="467046E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2ABA31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2023年中央财政普惠金融发展专项资金</w:t>
      </w:r>
    </w:p>
    <w:p w14:paraId="0F61FE6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呼图壁县财政局</w:t>
      </w:r>
    </w:p>
    <w:p w14:paraId="15CC72E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呼图壁县财政局</w:t>
      </w:r>
    </w:p>
    <w:p w14:paraId="0FBB179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王涛</w:t>
      </w:r>
    </w:p>
    <w:p w14:paraId="721139F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2024年04月16日</w:t>
      </w:r>
    </w:p>
    <w:p w14:paraId="258B16D0">
      <w:pPr>
        <w:spacing w:line="700" w:lineRule="exact"/>
        <w:ind w:firstLine="708" w:firstLineChars="236"/>
        <w:jc w:val="left"/>
        <w:rPr>
          <w:rFonts w:hAnsi="宋体" w:eastAsia="仿宋_GB2312" w:cs="宋体"/>
          <w:kern w:val="0"/>
          <w:sz w:val="30"/>
          <w:szCs w:val="30"/>
        </w:rPr>
      </w:pPr>
    </w:p>
    <w:p w14:paraId="52711597">
      <w:pPr>
        <w:spacing w:line="540" w:lineRule="exact"/>
        <w:rPr>
          <w:rStyle w:val="18"/>
          <w:rFonts w:ascii="黑体" w:hAnsi="黑体" w:eastAsia="黑体"/>
          <w:b w:val="0"/>
          <w:spacing w:val="-4"/>
          <w:sz w:val="32"/>
          <w:szCs w:val="32"/>
        </w:rPr>
      </w:pPr>
    </w:p>
    <w:p w14:paraId="03777DC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2D84C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52D6C2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财政部印发《普惠金融发展专项资金管理办法》，为引导和鼓励金融机构主动填补农村金融服务空白，专项资金安排支出用于对符合条件的新型农村金融机构和西部基础金融服务薄弱地区的银行业金融机构给予一定补贴，支持农村金融组织体系建设，扩大农村金融服务覆盖面。农村金融机构可享受补贴的期限为开业当年（含）起的5年内，如果开业时间晚于当年的6月30日，但开业当年未享受补贴，则享受补贴政策的期限从开业次年起开始计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呼图壁县津汇村镇银行于2016年成立，2017年-2021年享受农村金融机构定向费用补贴政策，补贴金融为不超过当年贷款平均余额的2%，其中：中央财政承担70%，自治区财政承担20%，县级财政承担10%。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本项目主要内容为呼图壁津汇村镇银行组织体系建设。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主要用于呼图壁津汇村镇银行组织体系建设，本项目于2023年1月开始实施，截止2023年12月已全部完成，通过本项目的实施，提高了呼图壁县津汇村镇银行组织体系建设水平，提升了服务“三农”，支持乡村振兴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普惠金融发展专项项目的实施主体为呼图壁县财政局，该单位纳入2023年部门决算编制范围的有4个科室，2个中心，因机构改革，2023年8月将原国资服务中心、金融办合并成立财政公共服务中心（金融工作服务中心）；支付中心、乡镇财政管理局合并成立财政综合保障中。现机构分别是：行政办公室、预算科、综合业务科、国库科、财政综合保障中心、财政公共服务中心（金融工作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呼图壁县财政局编制数55，实有人数53人，其中：在职 53人，较上年增加7人； 退休32人，较上年增加1人。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普惠金融专项2022年第二批中央预算指标的通知》（昌州财金[2022]41号）、《关于提前下达2023年中央财政普惠金融发展专项资金预算的通知》（昌州财金[2022]33号）文件，下达2023年普惠金融项目资金，预算安排资金总额</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万元，其中财政资金</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万元，202</w:t>
      </w:r>
      <w:bookmarkStart w:id="0" w:name="_GoBack"/>
      <w:bookmarkEnd w:id="0"/>
      <w:r>
        <w:rPr>
          <w:rStyle w:val="18"/>
          <w:rFonts w:hint="eastAsia" w:ascii="楷体" w:hAnsi="楷体" w:eastAsia="楷体"/>
          <w:b w:val="0"/>
          <w:bCs w:val="0"/>
          <w:spacing w:val="-4"/>
          <w:sz w:val="32"/>
          <w:szCs w:val="32"/>
        </w:rPr>
        <w:t>3年实际收到预算资金</w:t>
      </w:r>
      <w:r>
        <w:rPr>
          <w:rStyle w:val="18"/>
          <w:rFonts w:hint="eastAsia" w:ascii="楷体" w:hAnsi="楷体" w:eastAsia="楷体"/>
          <w:b w:val="0"/>
          <w:bCs w:val="0"/>
          <w:spacing w:val="-4"/>
          <w:sz w:val="32"/>
          <w:szCs w:val="32"/>
          <w:lang w:val="en-US" w:eastAsia="zh-CN"/>
        </w:rPr>
        <w:t>226</w:t>
      </w:r>
      <w:r>
        <w:rPr>
          <w:rStyle w:val="18"/>
          <w:rFonts w:hint="eastAsia" w:ascii="楷体" w:hAnsi="楷体" w:eastAsia="楷体"/>
          <w:b w:val="0"/>
          <w:bCs w:val="0"/>
          <w:spacing w:val="-4"/>
          <w:sz w:val="32"/>
          <w:szCs w:val="32"/>
        </w:rPr>
        <w:t>万元，预算资金到位率为</w:t>
      </w:r>
      <w:r>
        <w:rPr>
          <w:rStyle w:val="18"/>
          <w:rFonts w:hint="eastAsia" w:ascii="楷体" w:hAnsi="楷体" w:eastAsia="楷体"/>
          <w:b w:val="0"/>
          <w:bCs w:val="0"/>
          <w:spacing w:val="-4"/>
          <w:sz w:val="32"/>
          <w:szCs w:val="32"/>
          <w:lang w:val="en-US" w:eastAsia="zh-CN"/>
        </w:rPr>
        <w:t>50.11</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截至2023年12月31日，本项目实际支付资金226万元，预算执行率</w:t>
      </w:r>
      <w:r>
        <w:rPr>
          <w:rStyle w:val="18"/>
          <w:rFonts w:hint="eastAsia" w:ascii="楷体" w:hAnsi="楷体" w:eastAsia="楷体"/>
          <w:b w:val="0"/>
          <w:bCs w:val="0"/>
          <w:spacing w:val="-4"/>
          <w:sz w:val="32"/>
          <w:szCs w:val="32"/>
          <w:lang w:val="en-US" w:eastAsia="zh-CN"/>
        </w:rPr>
        <w:t>50.11</w:t>
      </w:r>
      <w:r>
        <w:rPr>
          <w:rStyle w:val="18"/>
          <w:rFonts w:hint="eastAsia" w:ascii="楷体" w:hAnsi="楷体" w:eastAsia="楷体"/>
          <w:b w:val="0"/>
          <w:bCs w:val="0"/>
          <w:spacing w:val="-4"/>
          <w:sz w:val="32"/>
          <w:szCs w:val="32"/>
        </w:rPr>
        <w:t>%。项目资金主要用于支付普惠金融项目费用226万元。</w:t>
      </w:r>
    </w:p>
    <w:p w14:paraId="091F593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0B063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支持农村金融组织体系建设，扩大农村金融服务覆盖面；建立和深化村镇银行服务“三农”，大力支持乡村振兴的能力。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“补助金融企业个数”指标，预期指标值为“1个”；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“资金足额拨付率”指标，预期指标值为“＝100%”；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“地方配套资金到位率”指标，预期指标值为“＝100%”；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“上级财政资金拨付及时率”指标，预期指标值为“=100%”；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“成本控制额度”指标，预期指标值为“≤</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“金融机构乡镇网点覆盖率”指标，预期指标值为“＝100%”；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“申报定向费补贴的金融机构的满意度”指标，预期指标值为“≥95%”。</w:t>
      </w:r>
    </w:p>
    <w:p w14:paraId="43124B4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339A2A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2BA8A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普惠金融发展专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3C910E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E55024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普惠金融发展专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F6D63A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BDD28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陈刚（呼图壁县财政局党组书记，局长）任评价组组长，绩效评价工作职责为检查项目绩效指标完成情况、审定项目支出绩效评价结果及项目支出绩效评价报告。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涛（呼图壁县财政公共服务中心（金融工作服务中心）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王甜（呼图壁县财政公共服务中心干部）任评价组成员，绩效评价工作职责为做好项目支出绩效评价工作的沟通协调工作，对项目实施情况进行实地调查，编写项目支出绩效评价报告。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3132A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2E567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普惠金融发展专项项目的实施，提高了呼图壁县津汇村镇银行组织体系建设水平，提升了服务“三农”，支持乡村振兴能力，该项目预算执行率达94.17%，除“成本控制额度”“预算执行率”以外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普惠金融发展专项项目的绩效目标和各项具体绩效指标实现情况进行了客观评价，最终评分为96分。绩效评级为“优”，具体得分情况为：项目决策20分、项目过程17分、项目产出29分、项目效益30分。</w:t>
      </w:r>
    </w:p>
    <w:p w14:paraId="560075C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7D1C70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F02E8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3C96BF5A">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431986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分，本项目实际得分17分，得分率为85%。具体各项指标得分如下：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万元，实际执行226万元，预算执行率为94.17%，项目资金支出未能够按照预算执行，根据评分标准，该指标5分，得2分。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根据《新疆维吾尔自治区管理使用普惠金融发展专项资金实施细则》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严格按照《新疆维吾尔自治区管理使用普惠金融发展专项资金实施细则》等相关项目管理办法执行，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7132F3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0AD8C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项目产出类指标包括产出数量、产出质量、产出时效、产出成本共四方面的内容，由6个三级指标构成，权重分为30分，本项目实际得分29分，得分率为96.67%。具体各项指标得分如下：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“补助金融企业个数”指标，预期指标值为“≥1个”，根据呼图壁县享受普惠金融定向费用补贴的金融机构情况可知，实际完成1个，与预期目标一致，根据评分标准，该指标3分，得3分。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“资金足额拨付率”指标，预期指标值为“=100%”，根据资金拨付情况可知，实际完成100%，与预期目标一致，根据评分标准，该指标4分，得4分。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“地方配套资金到位率”指标，预期指标值为“=100%”，根据地方配套资金到位可知，实际完成100%，与预期目标一致，根据评分标准，该指标4分，得4分。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“上级财政资金拨付及时率”指标，预期指标值为“=100%”，根据上级财政资金拨付情况可知，实际完成100%，与预期目标一致，根据评分标准，该指标4分，得4分。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“成本控制额度”指标，预期指标值为“≤</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万元”，根据资金实际执行情况可知，实际完成226万元，未达到预算支出数，根据评分标准，该指标15分，得14分。</w:t>
      </w:r>
    </w:p>
    <w:p w14:paraId="5773FE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31DEA9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项目产出类指标包括产出数量、产出质量、产出时效、产出成本共四方面的内容，由6个三级指标构成，权重分为30分，本项目实际得分29分，得分率为96.67%。具体各项指标得分如下：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“补助金融企业个数”指标，预期指标值为“≥1个”，根据呼图壁县享受普惠金融定向费用补贴的金融机构情况可知，实际完成1个，与预期目标一致，根据评分标准，该指标3分，得3分。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“资金足额拨付率”指标，预期指标值为“=100%”，根据资金拨付情况可知，实际完成100%，与预期目标一致，根据评分标准，该指标4分，得4分。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“地方配套资金到位率”指标，预期指标值为“=100%”，根据地方配套资金到位可知，实际完成100%，与预期目标一致，根据评分标准，该指标4分，得4分。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“上级财政资金拨付及时率”指标，预期指标值为“=100%”，根据上级财政资金拨付情况可知，实际完成100%，与预期目标一致，根据评分标准，该指标4分，得4分。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“成本控制额度”指标，预期指标值为“≤</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万元”，根据资金实际执行情况可知，实际完成226万元，未达到预算支出数，根据评分标准，该指标15分，得14分。</w:t>
      </w:r>
    </w:p>
    <w:p w14:paraId="7A2DC4A0">
      <w:pPr>
        <w:spacing w:line="540" w:lineRule="exact"/>
        <w:ind w:firstLine="567"/>
        <w:rPr>
          <w:rStyle w:val="18"/>
          <w:rFonts w:ascii="楷体" w:hAnsi="楷体" w:eastAsia="楷体"/>
          <w:spacing w:val="-4"/>
          <w:sz w:val="32"/>
          <w:szCs w:val="32"/>
        </w:rPr>
      </w:pPr>
    </w:p>
    <w:p w14:paraId="618D64D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C81EEF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普惠金融发展专项项目预算金额</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万元，实际支出226万元，预算执行率为94.17%。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项目预算资金</w:t>
      </w:r>
      <w:r>
        <w:rPr>
          <w:rStyle w:val="18"/>
          <w:rFonts w:hint="eastAsia" w:ascii="楷体" w:hAnsi="楷体" w:eastAsia="楷体"/>
          <w:b w:val="0"/>
          <w:bCs w:val="0"/>
          <w:spacing w:val="-4"/>
          <w:sz w:val="32"/>
          <w:szCs w:val="32"/>
          <w:lang w:eastAsia="zh-CN"/>
        </w:rPr>
        <w:t>451</w:t>
      </w:r>
      <w:r>
        <w:rPr>
          <w:rStyle w:val="18"/>
          <w:rFonts w:hint="eastAsia" w:ascii="楷体" w:hAnsi="楷体" w:eastAsia="楷体"/>
          <w:b w:val="0"/>
          <w:bCs w:val="0"/>
          <w:spacing w:val="-4"/>
          <w:sz w:val="32"/>
          <w:szCs w:val="32"/>
        </w:rPr>
        <w:t>万元，实际拨付226万元，实际支出小于预算支出。</w:t>
      </w:r>
    </w:p>
    <w:p w14:paraId="3E5D59A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5B9B34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一是领导高度重视，责任落实到位。主要领导亲自抓，予以充分的人力、财力保障，并将各项目工作列入年度干部绩效考核实施方案，将各项目工作落实到具体科室、具体岗位、具体个人。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严格按照《新疆维吾尔自治区管理使用普惠金融发展专项资金实施细则》文件要求，落实对普惠金融发展专项资金的预算安排、拨付、管理和监督检查，做到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14:paraId="7E2438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F311ED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是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高度重视，加强领导。高度重视，加强领导，精心组织。项目绩效领导小组对绩效评价工作进行指导、监督、检查，确保项目绩效评价反映项目完成真实情况。严格执行项目绩效评价工作要求，切实提高项目绩效报告的客观性和公正性。</w:t>
      </w:r>
    </w:p>
    <w:p w14:paraId="688343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846795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4A32F84">
      <w:pPr>
        <w:spacing w:line="540" w:lineRule="exact"/>
        <w:ind w:firstLine="567"/>
        <w:rPr>
          <w:rStyle w:val="18"/>
          <w:rFonts w:ascii="仿宋" w:hAnsi="仿宋" w:eastAsia="仿宋"/>
          <w:b w:val="0"/>
          <w:spacing w:val="-4"/>
          <w:sz w:val="32"/>
          <w:szCs w:val="32"/>
        </w:rPr>
      </w:pPr>
    </w:p>
    <w:p w14:paraId="08CF8612">
      <w:pPr>
        <w:spacing w:line="540" w:lineRule="exact"/>
        <w:ind w:firstLine="567"/>
        <w:rPr>
          <w:rStyle w:val="18"/>
          <w:rFonts w:ascii="仿宋" w:hAnsi="仿宋" w:eastAsia="仿宋"/>
          <w:b w:val="0"/>
          <w:spacing w:val="-4"/>
          <w:sz w:val="32"/>
          <w:szCs w:val="32"/>
        </w:rPr>
      </w:pPr>
    </w:p>
    <w:p w14:paraId="27526B78">
      <w:pPr>
        <w:spacing w:line="540" w:lineRule="exact"/>
        <w:ind w:firstLine="567"/>
        <w:rPr>
          <w:rStyle w:val="18"/>
          <w:rFonts w:ascii="仿宋" w:hAnsi="仿宋" w:eastAsia="仿宋"/>
          <w:b w:val="0"/>
          <w:spacing w:val="-4"/>
          <w:sz w:val="32"/>
          <w:szCs w:val="32"/>
        </w:rPr>
      </w:pPr>
    </w:p>
    <w:p w14:paraId="7A2A8462">
      <w:pPr>
        <w:spacing w:line="540" w:lineRule="exact"/>
        <w:ind w:firstLine="567"/>
        <w:rPr>
          <w:rStyle w:val="18"/>
          <w:rFonts w:ascii="仿宋" w:hAnsi="仿宋" w:eastAsia="仿宋"/>
          <w:b w:val="0"/>
          <w:spacing w:val="-4"/>
          <w:sz w:val="32"/>
          <w:szCs w:val="32"/>
        </w:rPr>
      </w:pPr>
    </w:p>
    <w:p w14:paraId="7EC2336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318D134">
        <w:pPr>
          <w:pStyle w:val="12"/>
          <w:jc w:val="center"/>
        </w:pPr>
        <w:r>
          <w:fldChar w:fldCharType="begin"/>
        </w:r>
        <w:r>
          <w:instrText xml:space="preserve">PAGE   \* MERGEFORMAT</w:instrText>
        </w:r>
        <w:r>
          <w:fldChar w:fldCharType="separate"/>
        </w:r>
        <w:r>
          <w:rPr>
            <w:lang w:val="zh-CN"/>
          </w:rPr>
          <w:t>2</w:t>
        </w:r>
        <w:r>
          <w:fldChar w:fldCharType="end"/>
        </w:r>
      </w:p>
    </w:sdtContent>
  </w:sdt>
  <w:p w14:paraId="4319D120">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CC41C3"/>
    <w:rsid w:val="11BD75F7"/>
    <w:rsid w:val="13BE561A"/>
    <w:rsid w:val="15392994"/>
    <w:rsid w:val="18FE139B"/>
    <w:rsid w:val="3029612C"/>
    <w:rsid w:val="32A221C5"/>
    <w:rsid w:val="33F20F2A"/>
    <w:rsid w:val="34C44675"/>
    <w:rsid w:val="3B5B5607"/>
    <w:rsid w:val="3CE21B3C"/>
    <w:rsid w:val="4BBF3722"/>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6476</Words>
  <Characters>6773</Characters>
  <Lines>4</Lines>
  <Paragraphs>1</Paragraphs>
  <TotalTime>6</TotalTime>
  <ScaleCrop>false</ScaleCrop>
  <LinksUpToDate>false</LinksUpToDate>
  <CharactersWithSpaces>6803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2024-08-15T08:14:02Z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