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新疆维吾尔自治区幼儿园教师资格申请人员体检表</w:t>
      </w:r>
      <w:bookmarkEnd w:id="0"/>
    </w:p>
    <w:bookmarkEnd w:id="1"/>
    <w:tbl>
      <w:tblPr>
        <w:tblStyle w:val="3"/>
        <w:tblW w:w="0" w:type="auto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6"/>
        <w:gridCol w:w="406"/>
        <w:gridCol w:w="185"/>
        <w:gridCol w:w="1024"/>
        <w:gridCol w:w="341"/>
        <w:gridCol w:w="330"/>
        <w:gridCol w:w="166"/>
        <w:gridCol w:w="318"/>
        <w:gridCol w:w="160"/>
        <w:gridCol w:w="160"/>
        <w:gridCol w:w="147"/>
        <w:gridCol w:w="409"/>
        <w:gridCol w:w="75"/>
        <w:gridCol w:w="161"/>
        <w:gridCol w:w="292"/>
        <w:gridCol w:w="152"/>
        <w:gridCol w:w="323"/>
        <w:gridCol w:w="303"/>
        <w:gridCol w:w="159"/>
        <w:gridCol w:w="740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ascii="宋体" w:hAnsi="宋体"/>
              </w:rPr>
              <w:t xml:space="preserve">  族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现住所</w:t>
            </w:r>
          </w:p>
        </w:tc>
        <w:tc>
          <w:tcPr>
            <w:tcW w:w="3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.肝炎  2.结核   3.皮肤病  4. 性传播性疾病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 精神病   6.其他    受检者确认签字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裸眼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右：矫正度数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左：矫正度数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彩色图案及彩色数码检查：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色觉检查图名称：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单色识别能力检查：（色觉异常者查此项）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红（</w:t>
            </w:r>
            <w:r>
              <w:rPr>
                <w:rFonts w:ascii="宋体" w:hAnsi="宋体"/>
              </w:rPr>
              <w:t xml:space="preserve">    ）  黄（    ）  绿（    ）  蓝（    ）  紫（    ）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  <w:r>
              <w:rPr>
                <w:rFonts w:ascii="宋体" w:hAnsi="宋体"/>
              </w:rPr>
              <w:t xml:space="preserve">    病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0" w:firstLineChars="500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</w:t>
            </w:r>
            <w:r>
              <w:rPr>
                <w:rFonts w:ascii="宋体" w:hAnsi="宋体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/mmHg</w:t>
            </w: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心脏及血管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神经系统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  <w:r>
              <w:rPr>
                <w:rFonts w:ascii="宋体" w:hAnsi="宋体"/>
              </w:rPr>
              <w:t xml:space="preserve">                 脾                   肾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</w:t>
            </w:r>
            <w:r>
              <w:rPr>
                <w:rFonts w:ascii="宋体" w:hAnsi="宋体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</w:t>
            </w:r>
            <w:r>
              <w:rPr>
                <w:rFonts w:ascii="宋体" w:hAnsi="宋体"/>
              </w:rPr>
              <w:t xml:space="preserve"> 部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</w:t>
            </w:r>
            <w:r>
              <w:rPr>
                <w:rFonts w:ascii="宋体" w:hAnsi="宋体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</w:t>
            </w:r>
            <w:r>
              <w:rPr>
                <w:rFonts w:ascii="宋体" w:hAnsi="宋体"/>
              </w:rPr>
              <w:t xml:space="preserve"> 肢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它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耳鼻喉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</w:t>
            </w:r>
            <w:r>
              <w:rPr>
                <w:rFonts w:ascii="宋体" w:hAnsi="宋体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左耳</w:t>
            </w:r>
            <w:r>
              <w:rPr>
                <w:rFonts w:ascii="宋体" w:hAnsi="宋体"/>
              </w:rPr>
              <w:t xml:space="preserve">                  米</w:t>
            </w:r>
          </w:p>
        </w:tc>
        <w:tc>
          <w:tcPr>
            <w:tcW w:w="2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右耳</w:t>
            </w:r>
            <w:r>
              <w:rPr>
                <w:rFonts w:ascii="宋体" w:hAnsi="宋体"/>
              </w:rPr>
              <w:t xml:space="preserve">                    米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</w:t>
            </w:r>
            <w:r>
              <w:rPr>
                <w:rFonts w:ascii="宋体" w:hAnsi="宋体"/>
              </w:rPr>
              <w:t xml:space="preserve">   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耳鼻咽喉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</w:t>
            </w:r>
            <w:r>
              <w:rPr>
                <w:rFonts w:ascii="宋体" w:hAnsi="宋体"/>
              </w:rPr>
              <w:t xml:space="preserve">    腭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口吃</w:t>
            </w:r>
          </w:p>
        </w:tc>
        <w:tc>
          <w:tcPr>
            <w:tcW w:w="12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牙</w:t>
            </w:r>
            <w:r>
              <w:rPr>
                <w:rFonts w:ascii="宋体" w:hAnsi="宋体"/>
              </w:rPr>
              <w:t xml:space="preserve">    齿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0288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hzlBV/cBAADwAwAADgAAAGRycy9lMm9Eb2MueG1srVO9jhMx&#10;EO6ReAfLPdkkujtxq2yuuHA0CCIBDzCxvbuW/CePk01eghdAooOKkp634XgMxt4QjqNJwRbe8Xjm&#10;m/k+jxc3e2vYTkXU3jV8NplyppzwUruu4e/f3T17zhkmcBKMd6rhB4X8Zvn0yWIItZr73hupIiMQ&#10;h/UQGt6nFOqqQtErCzjxQTk6bH20kGgbu0pGGAjdmmo+nV5Vg48yRC8UInlX4yE/IsZzAH3baqFW&#10;XmytcmlEjcpAIkrY64B8WbptWyXSm7ZFlZhpODFNZaUiZG/yWi0XUHcRQq/FsQU4p4VHnCxoR0VP&#10;UCtIwLZR/wNltYgefZsmwttqJFIUIRaz6SNt3vYQVOFCUmM4iY7/D1a83q0j07LhF5w5sHTh9x+/&#10;/fjw+ef3T7Tef/3CLrJIQ8CaYm/dOh53GNYxM9630eY/cWH7IuzhJKzaJyZGpyDv9fX0qkhe/UkL&#10;EdNL5S3LRsONdpkx1LB7hYlKUejvkOw2jg0EdDm/5EwAjV9L106mDUQBXVdy0Rst77QxOQNjt7k1&#10;ke0gj0D5MiHC/SssF1kB9mNcORqHo1cgXzjJ0iGQOI7eBM8tWCU5M4qeULYIEOoE2pwTSaWNywmq&#10;DOiRZ1Z41DRbGy8PdDHbEHXXky6z0nM+oUEo3R+HNk/awz3ZDx/q8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Yqq/1QAAAAkBAAAPAAAAAAAAAAEAIAAAACIAAABkcnMvZG93bnJldi54bWxQSwEC&#10;FAAUAAAACACHTuJAhzlBV/cBAADwAwAADgAAAAAAAAABACAAAAAk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59264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AhPudA+QEAAPIDAAAOAAAAZHJzL2Uyb0RvYy54bWytU82O0zAQ&#10;viPxDpbvNGlhEURN97BluSCoBDzA1HESS/6Tx23al+AFkLjBiSN33maXx2DsZMuyXHogB2fsmflm&#10;vs/j5eXBaLaXAZWzNZ/PSs6kFa5Rtqv5xw/XT15whhFsA9pZWfOjRH65evxoOfhKLlzvdCMDIxCL&#10;1eBr3sfoq6JA0UsDOHNeWnK2LhiItA1d0QQYCN3oYlGWz4vBhcYHJyQina5HJ58QwzmArm2VkGsn&#10;dkbaOKIGqSESJeyVR77K3batFPFd26KMTNecmMa8UhGyt2ktVkuougC+V2JqAc5p4QEnA8pS0RPU&#10;GiKwXVD/QBklgkPXxplwphiJZEWIxbx8oM37HrzMXEhq9CfR8f/Birf7TWCqqfmCMwuGLvz284+b&#10;T19//fxC6+33b2yRRBo8VhR7ZTdh2qHfhMT40AaT/sSFHbKwx5Ow8hCZoMP5/NnTsiTNxZ2v+JPo&#10;A8bX0hmWjJprZRNnqGD/BiMVo9C7kHSsLRtq/vJicUFwQAPY0sWTaTyRQNvlXHRaNddK65SBodte&#10;6cD2kIYgf4kS4f4VloqsAfsxLrvG8eglNK9sw+LRkzyWXgVPLRjZcKYlPaJkESBUEZQ+J5JKa5sS&#10;ZB7RiWfSeFQ1WVvXHOlqdj6oridd5rnn5KFRyN1PY5tm7f6e7PtPd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T+5DNQAAAAIAQAADwAAAAAAAAABACAAAAAiAAAAZHJzL2Rvd25yZXYueG1sUEsB&#10;AhQAFAAAAAgAh07iQCE+50D5AQAA8gMAAA4AAAAAAAAAAQAgAAAAIw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（齿缺失</w:t>
            </w:r>
            <w:r>
              <w:rPr>
                <w:rFonts w:ascii="宋体" w:hAnsi="宋体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2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化 验 检查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丙氨酸氨基转移酶(ALT)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滴  虫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淋球菌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梅毒螺旋体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外阴阴道假丝酵母菌（念珠菌）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心电图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体检结论：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主检医师签名：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备注：1.滴虫、外阴阴道假丝酵母菌指妇科检查项目（均为外取）。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2.胸片检查只限于上岗前及上岗后出现呼吸系统疑似症状者。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 xml:space="preserve"> “既往病史”一栏，申请人必须如实填写，如发现有隐瞒严重病史，不符合认定条件者，即使取得资格，一经发现取消教师资格。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4. 主检医师作体检结论要填写合格、不合格、受限三种结论，并简单说明原因。</w:t>
            </w:r>
          </w:p>
        </w:tc>
      </w:tr>
    </w:tbl>
    <w:p/>
    <w:p>
      <w:r>
        <w:rPr>
          <w:rFonts w:hint="eastAsia" w:ascii="Times New Roman" w:hAnsi="Times New Roman" w:eastAsia="方正仿宋_GBK" w:cs="方正仿宋_GBK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93B69"/>
    <w:rsid w:val="3C981EE2"/>
    <w:rsid w:val="6E69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2025-03-27T10:55:00Z</dcterms:created>
  <dc:creator>我叫小宇子</dc:creator>
  <cp:lastModifiedBy>27160</cp:lastModifiedBy>
  <dcterms:modified xsi:type="dcterms:W3CDTF">2025-03-27T11:17:05Z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2052-12.8.2.15286</vt:lpwstr>
  </property>
  <property fmtid="{D5CDD505-2E9C-101B-9397-08002B2CF9AE}" pid="3" name="ICV">
    <vt:lpwstr>14BFD35BFBB443419823E4F9CC2D62C6_13</vt:lpwstr>
  </property>
  <property fmtid="{D5CDD505-2E9C-101B-9397-08002B2CF9AE}" pid="4" name="KSOTemplateDocerSaveRecord">
    <vt:lpwstr>eyJoZGlkIjoiMWM1NWZlMjIzNGY2NjFlMDYyNDljMTMxMGI1NTIyZmYiLCJ1c2VySWQiOiIzODg5MTQ4MjUifQ==</vt:lpwstr>
  </property>
</Properties>
</file>