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val="en-US" w:eastAsia="zh-CN"/>
        </w:rPr>
      </w:pPr>
      <w:r>
        <w:rPr>
          <w:rFonts w:hint="eastAsia" w:ascii="方正小标宋_GBK" w:hAnsi="宋体" w:eastAsia="方正小标宋_GBK"/>
          <w:kern w:val="0"/>
          <w:sz w:val="44"/>
          <w:szCs w:val="44"/>
          <w:highlight w:val="none"/>
          <w:lang w:eastAsia="zh-CN"/>
        </w:rPr>
        <w:t>呼图壁县农业农村局</w:t>
      </w:r>
      <w:r>
        <w:rPr>
          <w:rFonts w:hint="eastAsia" w:ascii="方正小标宋_GBK" w:hAnsi="宋体" w:eastAsia="方正小标宋_GBK"/>
          <w:kern w:val="0"/>
          <w:sz w:val="44"/>
          <w:szCs w:val="44"/>
          <w:highlight w:val="none"/>
          <w:lang w:val="en-US" w:eastAsia="zh-CN"/>
        </w:rPr>
        <w:t>2025年</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部门</w:t>
      </w:r>
      <w:r>
        <w:rPr>
          <w:rFonts w:hint="eastAsia" w:ascii="方正小标宋_GBK" w:hAnsi="宋体" w:eastAsia="方正小标宋_GBK"/>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呼图壁县农业农村局部门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rPr>
        <w:t xml:space="preserve">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lang w:eastAsia="zh-CN"/>
        </w:rPr>
        <w:t>年呼图壁县农业农村局部门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呼图壁县农业农村局是政府下属职能部门，属于执行行政单位会计制度的一级预算单位。主要职能：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一、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二、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三、贯彻落实深化农村经济体制改革和稳定完善农村基本经营制度的政策；负责农村土地承包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四、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自治区、自治州、县农业产业化龙头企业的初审报批和监测工作；监测分析农业农村经济运行，发布农业农村经济信息；承担农业统计和农业农村信息化有关工作，建立农业信息搜集、整理和发布制度。</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五、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品质改善；提出有关农产品及农业生产资料价格、农村信贷、税收及农业财政补贴的政策建议。</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六、负责农产品质量安全监督管理。组织开展农产品质量安全监测、追溯、风险评估；参与制定农产品质量安全地方标准并会同有关部门组织实施；指导农产品质量安全监管、检验检测体系建设；推进农产品基地建设，指导协调农产品“三品一标”认证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七、组织县农业资源区划可持续发展工作。指导农用地、渔业水域以及农业生物物种的保护与管理，负责耕地及永久基本农田质量保护工作；指导农产品产地环境管理和农业清洁生产；指导设施农业、生态循环农业、节水农业发展以及农村可再生能源综合开发利用，指导农作物秸秆、畜禽粪便、农产品加工副产品等农业生物质产业发展；负责农业生物物种资源的保护、利用；承担外来物种相关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八、负责县有关农业生产资料和农业投入品的监督管理。组织农业生产资料市场体系建设，监督实施有关农业生产资料地方标准；依法开展农作物种子（种苗）、种畜禽、农药、化肥等农业投入品的许可及监督管理。</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九、负责畜牧兽医工作。指导全县畜牧业生产、养殖基地建设、畜禽产业化发展工作；监督管理兽医医政和兽药药政工作；负责官方兽医和执业兽医管理以及兽医实验室生物安全管理；负责兽药、饲料及饲料添加剂、生鲜乳生产、收购、运输环节、畜禽屠宰环节质量安全监督管理。</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十、负责全县农业防灾减灾、农作物重大病虫害防治工作，监测农业灾情；制定重大动物疫病控制和扑灭计划；指导动植物防疫检疫体系建设，组织监督动植物防疫、检疫及疫情扑灭工作；组织协调实施农业抗灾、防灾减灾和农业保险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十一、负责农业投资管理。提出县农业投融资体制机制改革建议。研究拟订县农业重点建设项目及投资计划并监督实施；管理利用外资项目，负责农牧业投资项目、农业综合开发项目、农田整治项目、农田水利建设等农业投资项目资金安排和监督管理。</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十二、承担县农业科技体制改革和农业科技创新体系建设。指导农业产业技术体系和农技推广体系建设，组织开展农业领域的高新技术和应用技术研究、科技成果转化和技术推广；组织协调和实施农业科技推广项目的遴选工作；负责农业转基因生物安全监督管理和农业植物新品种保护。</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十三、指导农业农村人才工作。拟定县农业农村人才队伍建设规划并组织实施；指导农业教育和农业职业技能开发，指导新型职业农民培育、农业科技人才培养和农村实用人才培训工作。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十四、牵头开展农业对外合作工作。承办县农业涉外事务，参与县农业贸易促进和农业对外交流合作，提出促进县外向型农业发展的政策建议，协助有关部门组织实施有关农业援外项目。</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宋体" w:eastAsia="仿宋_GB2312" w:cs="宋体"/>
          <w:kern w:val="0"/>
          <w:sz w:val="32"/>
          <w:szCs w:val="32"/>
          <w:highlight w:val="none"/>
          <w:lang w:eastAsia="zh-CN"/>
        </w:rPr>
        <w:t>十五、完成县党委、县人民政府交办的其他事项。</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r>
        <w:rPr>
          <w:rFonts w:hint="eastAsia" w:ascii="黑体" w:hAnsi="黑体" w:eastAsia="黑体" w:cs="宋体"/>
          <w:b/>
          <w:bCs/>
          <w:color w:val="auto"/>
          <w:kern w:val="0"/>
          <w:sz w:val="32"/>
          <w:szCs w:val="32"/>
          <w:highlight w:val="none"/>
        </w:rPr>
        <w:t xml:space="preserve">  </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呼图壁县农业农村局</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hAnsi="仿宋_GB2312" w:eastAsia="仿宋_GB2312" w:cs="仿宋_GB2312"/>
          <w:sz w:val="32"/>
          <w:szCs w:val="32"/>
          <w:highlight w:val="none"/>
          <w:lang w:val="en-US" w:eastAsia="zh-CN"/>
        </w:rPr>
        <w:t>综合科（计划财务科）、科教法规科（行政审批科）、产业发展科（县畜禽屠宰管理办公室）、市场与信息化科、农业科、畜牧兽医科（县重大动物疫病防控指挥部办公室）；下设2个副科级事业单位，分别是：农业综合执法大队、畜牧业发展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呼图壁县农业农村局</w:t>
      </w:r>
      <w:r>
        <w:rPr>
          <w:rFonts w:hint="eastAsia" w:ascii="仿宋_GB2312" w:hAnsi="仿宋_GB2312" w:eastAsia="仿宋_GB2312" w:cs="仿宋_GB2312"/>
          <w:color w:val="000000"/>
          <w:kern w:val="0"/>
          <w:sz w:val="32"/>
          <w:szCs w:val="32"/>
          <w:highlight w:val="none"/>
          <w:lang w:val="en-US" w:eastAsia="zh-CN" w:bidi="ar"/>
        </w:rPr>
        <w:t>单位编制数59，实有人数119人，</w:t>
      </w:r>
      <w:r>
        <w:rPr>
          <w:rFonts w:hint="eastAsia" w:ascii="仿宋_GB2312" w:hAnsi="宋体" w:eastAsia="仿宋_GB2312" w:cs="宋体"/>
          <w:color w:val="auto"/>
          <w:kern w:val="0"/>
          <w:sz w:val="32"/>
          <w:szCs w:val="32"/>
          <w:highlight w:val="none"/>
        </w:rPr>
        <w:t>其中：在职</w:t>
      </w:r>
      <w:r>
        <w:rPr>
          <w:rFonts w:hint="eastAsia" w:ascii="仿宋_GB2312" w:hAnsi="宋体" w:eastAsia="仿宋_GB2312" w:cs="宋体"/>
          <w:color w:val="auto"/>
          <w:kern w:val="0"/>
          <w:sz w:val="32"/>
          <w:szCs w:val="32"/>
          <w:highlight w:val="none"/>
          <w:lang w:val="en-US" w:eastAsia="zh-CN"/>
        </w:rPr>
        <w:t>57</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增加3人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s="Times New Roman"/>
          <w:color w:val="auto"/>
          <w:kern w:val="0"/>
          <w:sz w:val="32"/>
          <w:szCs w:val="32"/>
          <w:highlight w:val="none"/>
          <w:lang w:eastAsia="zh-CN"/>
        </w:rPr>
        <w:t>2024年部门</w:t>
      </w:r>
      <w:r>
        <w:rPr>
          <w:rFonts w:hint="eastAsia" w:ascii="黑体" w:hAnsi="黑体" w:eastAsia="黑体"/>
          <w:color w:val="auto"/>
          <w:kern w:val="0"/>
          <w:sz w:val="32"/>
          <w:szCs w:val="32"/>
          <w:highlight w:val="none"/>
        </w:rPr>
        <w:t>预算公开表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line="440" w:lineRule="exact"/>
        <w:jc w:val="both"/>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s="Times New Roman"/>
          <w:color w:val="auto"/>
          <w:kern w:val="0"/>
          <w:sz w:val="24"/>
          <w:highlight w:val="none"/>
          <w:lang w:eastAsia="zh-CN"/>
        </w:rPr>
        <w:t>编制部门：呼图壁县农业农村局</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10"/>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26331.96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25130.96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1600.31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23530.65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316.38</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164.36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428.72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1201.001201.001201.00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1201.00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36261.60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1.54</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1201.00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42103.98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42103.98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11395.58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180.23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30708.40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226.25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30706.86</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68435.94</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68435.94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呼图壁县农业农村局</w:t>
      </w:r>
      <w:r>
        <w:rPr>
          <w:rFonts w:hint="eastAsia" w:ascii="仿宋_GB2312" w:hAnsi="宋体" w:eastAsia="仿宋_GB2312"/>
          <w:color w:val="auto"/>
          <w:kern w:val="0"/>
          <w:sz w:val="24"/>
          <w:highlight w:val="none"/>
        </w:rPr>
        <w:t xml:space="preserve">                             单位：万元</w:t>
      </w:r>
    </w:p>
    <w:tbl>
      <w:tblPr>
        <w:tblStyle w:val="10"/>
        <w:tblW w:w="10740" w:type="dxa"/>
        <w:tblInd w:w="-925" w:type="dxa"/>
        <w:tblLayout w:type="fixed"/>
        <w:tblCellMar>
          <w:top w:w="0" w:type="dxa"/>
          <w:left w:w="108" w:type="dxa"/>
          <w:bottom w:w="0" w:type="dxa"/>
          <w:right w:w="108" w:type="dxa"/>
        </w:tblCellMar>
      </w:tblPr>
      <w:tblGrid>
        <w:gridCol w:w="555"/>
        <w:gridCol w:w="420"/>
        <w:gridCol w:w="495"/>
        <w:gridCol w:w="820"/>
        <w:gridCol w:w="851"/>
        <w:gridCol w:w="900"/>
        <w:gridCol w:w="930"/>
        <w:gridCol w:w="855"/>
        <w:gridCol w:w="345"/>
        <w:gridCol w:w="333"/>
        <w:gridCol w:w="792"/>
        <w:gridCol w:w="618"/>
        <w:gridCol w:w="583"/>
        <w:gridCol w:w="743"/>
        <w:gridCol w:w="1026"/>
        <w:gridCol w:w="474"/>
      </w:tblGrid>
      <w:tr>
        <w:tblPrEx>
          <w:tblCellMar>
            <w:top w:w="0" w:type="dxa"/>
            <w:left w:w="108" w:type="dxa"/>
            <w:bottom w:w="0" w:type="dxa"/>
            <w:right w:w="108" w:type="dxa"/>
          </w:tblCellMar>
        </w:tblPrEx>
        <w:trPr>
          <w:trHeight w:val="697" w:hRule="atLeast"/>
        </w:trPr>
        <w:tc>
          <w:tcPr>
            <w:tcW w:w="147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73"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4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102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7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55"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95"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5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3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5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3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9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1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4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2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7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2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一般公共服务支出</w:t>
            </w:r>
          </w:p>
        </w:tc>
        <w:tc>
          <w:tcPr>
            <w:tcW w:w="85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150.00</w:t>
            </w:r>
            <w:r>
              <w:rPr>
                <w:rFonts w:hint="eastAsia" w:ascii="仿宋_GB2312" w:eastAsia="仿宋_GB2312"/>
                <w:color w:val="auto"/>
                <w:sz w:val="18"/>
                <w:szCs w:val="18"/>
                <w:highlight w:val="none"/>
              </w:rPr>
              <w:t>　</w:t>
            </w:r>
          </w:p>
        </w:tc>
        <w:tc>
          <w:tcPr>
            <w:tcW w:w="90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93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5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3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9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1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150.00</w:t>
            </w:r>
          </w:p>
        </w:tc>
        <w:tc>
          <w:tcPr>
            <w:tcW w:w="47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20"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发展与改革事务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150.00</w:t>
            </w:r>
            <w:r>
              <w:rPr>
                <w:rFonts w:hint="eastAsia" w:ascii="仿宋_GB2312" w:eastAsia="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150.00</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06</w:t>
            </w:r>
            <w:r>
              <w:rPr>
                <w:rFonts w:hint="eastAsia" w:ascii="仿宋_GB2312" w:eastAsia="仿宋_GB2312"/>
                <w:color w:val="auto"/>
                <w:sz w:val="18"/>
                <w:szCs w:val="18"/>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5"/>
                <w:szCs w:val="15"/>
                <w:highlight w:val="none"/>
              </w:rPr>
              <w:t>社会事业发展规划</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150.00</w:t>
            </w:r>
            <w:r>
              <w:rPr>
                <w:rFonts w:hint="eastAsia" w:ascii="仿宋_GB2312" w:eastAsia="仿宋_GB2312"/>
                <w:color w:val="auto"/>
                <w:sz w:val="15"/>
                <w:szCs w:val="15"/>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5"/>
                <w:szCs w:val="15"/>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5"/>
                <w:szCs w:val="15"/>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150.00</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社会保障和就业支出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316.38</w:t>
            </w:r>
            <w:r>
              <w:rPr>
                <w:rFonts w:hint="eastAsia" w:ascii="仿宋_GB2312" w:eastAsia="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136.38</w:t>
            </w:r>
            <w:r>
              <w:rPr>
                <w:rFonts w:hint="eastAsia" w:ascii="仿宋_GB2312" w:eastAsia="仿宋_GB2312"/>
                <w:color w:val="auto"/>
                <w:sz w:val="18"/>
                <w:szCs w:val="18"/>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136.38</w:t>
            </w:r>
            <w:r>
              <w:rPr>
                <w:rFonts w:hint="eastAsia" w:ascii="仿宋_GB2312" w:eastAsia="仿宋_GB2312"/>
                <w:color w:val="auto"/>
                <w:sz w:val="18"/>
                <w:szCs w:val="18"/>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行政事业单位养老支出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316.38</w:t>
            </w:r>
            <w:r>
              <w:rPr>
                <w:rFonts w:hint="eastAsia" w:ascii="仿宋_GB2312" w:eastAsia="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136.38</w:t>
            </w:r>
            <w:r>
              <w:rPr>
                <w:rFonts w:hint="eastAsia" w:ascii="仿宋_GB2312" w:eastAsia="仿宋_GB2312"/>
                <w:color w:val="auto"/>
                <w:sz w:val="18"/>
                <w:szCs w:val="18"/>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136.38</w:t>
            </w:r>
            <w:r>
              <w:rPr>
                <w:rFonts w:hint="eastAsia" w:ascii="仿宋_GB2312" w:eastAsia="仿宋_GB2312"/>
                <w:color w:val="auto"/>
                <w:sz w:val="18"/>
                <w:szCs w:val="18"/>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5"/>
                <w:szCs w:val="15"/>
                <w:highlight w:val="none"/>
              </w:rPr>
            </w:pPr>
            <w:r>
              <w:rPr>
                <w:rFonts w:hint="eastAsia" w:ascii="仿宋_GB2312" w:hAnsi="宋体" w:eastAsia="仿宋_GB2312" w:cs="宋体"/>
                <w:color w:val="auto"/>
                <w:sz w:val="15"/>
                <w:szCs w:val="15"/>
                <w:highlight w:val="none"/>
              </w:rPr>
              <w:t>行政单位离退休</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39.36</w:t>
            </w:r>
            <w:r>
              <w:rPr>
                <w:rFonts w:hint="eastAsia" w:ascii="仿宋_GB2312" w:eastAsia="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39.36</w:t>
            </w:r>
            <w:r>
              <w:rPr>
                <w:rFonts w:hint="eastAsia" w:ascii="仿宋_GB2312" w:eastAsia="仿宋_GB2312"/>
                <w:color w:val="auto"/>
                <w:sz w:val="18"/>
                <w:szCs w:val="18"/>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39.36</w:t>
            </w:r>
            <w:r>
              <w:rPr>
                <w:rFonts w:hint="eastAsia" w:ascii="仿宋_GB2312" w:eastAsia="仿宋_GB2312"/>
                <w:color w:val="auto"/>
                <w:sz w:val="18"/>
                <w:szCs w:val="18"/>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机关事业单位基本养老保险缴费支出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247.01</w:t>
            </w:r>
            <w:r>
              <w:rPr>
                <w:rFonts w:hint="eastAsia" w:ascii="仿宋_GB2312" w:eastAsia="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97.01</w:t>
            </w:r>
            <w:r>
              <w:rPr>
                <w:rFonts w:hint="eastAsia" w:ascii="仿宋_GB2312" w:eastAsia="仿宋_GB2312"/>
                <w:color w:val="auto"/>
                <w:sz w:val="18"/>
                <w:szCs w:val="18"/>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97.01</w:t>
            </w:r>
            <w:r>
              <w:rPr>
                <w:rFonts w:hint="eastAsia" w:ascii="仿宋_GB2312" w:eastAsia="仿宋_GB2312"/>
                <w:color w:val="auto"/>
                <w:sz w:val="18"/>
                <w:szCs w:val="18"/>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208</w:t>
            </w:r>
            <w:r>
              <w:rPr>
                <w:rFonts w:hint="eastAsia" w:ascii="仿宋_GB2312" w:eastAsia="仿宋_GB2312"/>
                <w:color w:val="auto"/>
                <w:sz w:val="16"/>
                <w:szCs w:val="16"/>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05</w:t>
            </w:r>
            <w:r>
              <w:rPr>
                <w:rFonts w:hint="eastAsia" w:ascii="仿宋_GB2312" w:eastAsia="仿宋_GB2312"/>
                <w:color w:val="auto"/>
                <w:sz w:val="16"/>
                <w:szCs w:val="16"/>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06</w:t>
            </w:r>
            <w:r>
              <w:rPr>
                <w:rFonts w:hint="eastAsia" w:ascii="仿宋_GB2312" w:eastAsia="仿宋_GB2312"/>
                <w:color w:val="auto"/>
                <w:sz w:val="16"/>
                <w:szCs w:val="16"/>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机关事业单位职业年金缴费支出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30.00</w:t>
            </w:r>
            <w:r>
              <w:rPr>
                <w:rFonts w:hint="eastAsia" w:ascii="仿宋_GB2312" w:eastAsia="仿宋_GB2312"/>
                <w:color w:val="auto"/>
                <w:sz w:val="21"/>
                <w:szCs w:val="21"/>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30.00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210</w:t>
            </w:r>
            <w:r>
              <w:rPr>
                <w:rFonts w:hint="eastAsia" w:ascii="仿宋_GB2312" w:eastAsia="仿宋_GB2312"/>
                <w:color w:val="auto"/>
                <w:sz w:val="16"/>
                <w:szCs w:val="16"/>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卫生健康支出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164.36</w:t>
            </w:r>
            <w:r>
              <w:rPr>
                <w:rFonts w:hint="eastAsia" w:ascii="仿宋_GB2312" w:eastAsia="仿宋_GB2312"/>
                <w:color w:val="auto"/>
                <w:sz w:val="21"/>
                <w:szCs w:val="21"/>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73.36</w:t>
            </w:r>
            <w:r>
              <w:rPr>
                <w:rFonts w:hint="eastAsia" w:ascii="仿宋_GB2312" w:eastAsia="仿宋_GB2312"/>
                <w:color w:val="auto"/>
                <w:sz w:val="21"/>
                <w:szCs w:val="21"/>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73.36</w:t>
            </w:r>
            <w:r>
              <w:rPr>
                <w:rFonts w:hint="eastAsia" w:ascii="仿宋_GB2312" w:eastAsia="仿宋_GB2312"/>
                <w:color w:val="auto"/>
                <w:sz w:val="21"/>
                <w:szCs w:val="21"/>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91.00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210</w:t>
            </w:r>
            <w:r>
              <w:rPr>
                <w:rFonts w:hint="eastAsia" w:ascii="仿宋_GB2312" w:eastAsia="仿宋_GB2312"/>
                <w:color w:val="auto"/>
                <w:sz w:val="16"/>
                <w:szCs w:val="16"/>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行政事业单位医疗</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164.36</w:t>
            </w:r>
            <w:r>
              <w:rPr>
                <w:rFonts w:hint="eastAsia" w:ascii="仿宋_GB2312" w:eastAsia="仿宋_GB2312"/>
                <w:color w:val="auto"/>
                <w:sz w:val="21"/>
                <w:szCs w:val="21"/>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73.36</w:t>
            </w:r>
            <w:r>
              <w:rPr>
                <w:rFonts w:hint="eastAsia" w:ascii="仿宋_GB2312" w:eastAsia="仿宋_GB2312"/>
                <w:color w:val="auto"/>
                <w:sz w:val="21"/>
                <w:szCs w:val="21"/>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73.36</w:t>
            </w:r>
            <w:r>
              <w:rPr>
                <w:rFonts w:hint="eastAsia" w:ascii="仿宋_GB2312" w:eastAsia="仿宋_GB2312"/>
                <w:color w:val="auto"/>
                <w:sz w:val="21"/>
                <w:szCs w:val="21"/>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r>
              <w:rPr>
                <w:rFonts w:hint="eastAsia" w:ascii="仿宋_GB2312" w:eastAsia="仿宋_GB2312"/>
                <w:color w:val="auto"/>
                <w:sz w:val="21"/>
                <w:szCs w:val="21"/>
                <w:highlight w:val="none"/>
                <w:lang w:val="en-US" w:eastAsia="zh-CN"/>
              </w:rPr>
              <w:t>91.00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210</w:t>
            </w:r>
            <w:r>
              <w:rPr>
                <w:rFonts w:hint="eastAsia" w:ascii="仿宋_GB2312" w:eastAsia="仿宋_GB2312"/>
                <w:color w:val="auto"/>
                <w:sz w:val="16"/>
                <w:szCs w:val="16"/>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01</w:t>
            </w:r>
            <w:r>
              <w:rPr>
                <w:rFonts w:hint="eastAsia" w:ascii="仿宋_GB2312" w:eastAsia="仿宋_GB2312"/>
                <w:color w:val="auto"/>
                <w:sz w:val="16"/>
                <w:szCs w:val="16"/>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rPr>
              <w:t>行政单位医疗</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79.14</w:t>
            </w:r>
            <w:r>
              <w:rPr>
                <w:rFonts w:hint="eastAsia" w:ascii="仿宋_GB2312" w:eastAsia="仿宋_GB2312"/>
                <w:color w:val="auto"/>
                <w:sz w:val="21"/>
                <w:szCs w:val="21"/>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39.14</w:t>
            </w:r>
            <w:r>
              <w:rPr>
                <w:rFonts w:hint="eastAsia" w:ascii="仿宋_GB2312" w:eastAsia="仿宋_GB2312"/>
                <w:color w:val="auto"/>
                <w:sz w:val="21"/>
                <w:szCs w:val="21"/>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lang w:val="en-US" w:eastAsia="zh-CN"/>
              </w:rPr>
              <w:t>39.14</w:t>
            </w:r>
            <w:r>
              <w:rPr>
                <w:rFonts w:hint="eastAsia" w:ascii="仿宋_GB2312" w:eastAsia="仿宋_GB2312"/>
                <w:color w:val="auto"/>
                <w:sz w:val="21"/>
                <w:szCs w:val="21"/>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1"/>
                <w:szCs w:val="21"/>
                <w:highlight w:val="none"/>
              </w:rPr>
            </w:pPr>
            <w:r>
              <w:rPr>
                <w:rFonts w:hint="eastAsia" w:ascii="仿宋_GB2312" w:eastAsia="仿宋_GB2312"/>
                <w:color w:val="auto"/>
                <w:sz w:val="21"/>
                <w:szCs w:val="21"/>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40.00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lang w:val="en-US" w:eastAsia="zh-CN"/>
              </w:rPr>
              <w:t>34.36</w:t>
            </w:r>
            <w:r>
              <w:rPr>
                <w:rFonts w:hint="eastAsia" w:ascii="仿宋_GB2312" w:eastAsia="仿宋_GB2312"/>
                <w:color w:val="auto"/>
                <w:sz w:val="22"/>
                <w:szCs w:val="22"/>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lang w:val="en-US" w:eastAsia="zh-CN"/>
              </w:rPr>
              <w:t>9.36</w:t>
            </w:r>
            <w:r>
              <w:rPr>
                <w:rFonts w:hint="eastAsia" w:ascii="仿宋_GB2312" w:eastAsia="仿宋_GB2312"/>
                <w:color w:val="auto"/>
                <w:sz w:val="22"/>
                <w:szCs w:val="22"/>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lang w:val="en-US" w:eastAsia="zh-CN"/>
              </w:rPr>
              <w:t>9.36</w:t>
            </w:r>
            <w:r>
              <w:rPr>
                <w:rFonts w:hint="eastAsia" w:ascii="仿宋_GB2312" w:eastAsia="仿宋_GB2312"/>
                <w:color w:val="auto"/>
                <w:sz w:val="22"/>
                <w:szCs w:val="22"/>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lang w:val="en-US" w:eastAsia="zh-CN"/>
              </w:rPr>
            </w:pPr>
            <w:r>
              <w:rPr>
                <w:rFonts w:hint="eastAsia" w:ascii="仿宋_GB2312" w:eastAsia="仿宋_GB2312"/>
                <w:color w:val="auto"/>
                <w:sz w:val="22"/>
                <w:szCs w:val="22"/>
                <w:highlight w:val="none"/>
                <w:lang w:val="en-US" w:eastAsia="zh-CN"/>
              </w:rPr>
              <w:t>25.00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公务员医疗补助</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lang w:val="en-US" w:eastAsia="zh-CN"/>
              </w:rPr>
              <w:t>44.25</w:t>
            </w:r>
            <w:r>
              <w:rPr>
                <w:rFonts w:hint="eastAsia" w:ascii="仿宋_GB2312" w:eastAsia="仿宋_GB2312"/>
                <w:color w:val="auto"/>
                <w:sz w:val="22"/>
                <w:szCs w:val="22"/>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lang w:val="en-US" w:eastAsia="zh-CN"/>
              </w:rPr>
              <w:t>24.25</w:t>
            </w:r>
            <w:r>
              <w:rPr>
                <w:rFonts w:hint="eastAsia" w:ascii="仿宋_GB2312" w:eastAsia="仿宋_GB2312"/>
                <w:color w:val="auto"/>
                <w:sz w:val="22"/>
                <w:szCs w:val="22"/>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lang w:val="en-US" w:eastAsia="zh-CN"/>
              </w:rPr>
              <w:t>24.25</w:t>
            </w:r>
            <w:r>
              <w:rPr>
                <w:rFonts w:hint="eastAsia" w:ascii="仿宋_GB2312" w:eastAsia="仿宋_GB2312"/>
                <w:color w:val="auto"/>
                <w:sz w:val="22"/>
                <w:szCs w:val="22"/>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2"/>
                <w:szCs w:val="22"/>
                <w:highlight w:val="none"/>
              </w:rPr>
            </w:pPr>
            <w:r>
              <w:rPr>
                <w:rFonts w:hint="eastAsia" w:ascii="仿宋_GB2312" w:eastAsia="仿宋_GB2312"/>
                <w:color w:val="auto"/>
                <w:sz w:val="22"/>
                <w:szCs w:val="22"/>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lang w:val="en-US" w:eastAsia="zh-CN"/>
              </w:rPr>
            </w:pPr>
            <w:r>
              <w:rPr>
                <w:rFonts w:hint="eastAsia" w:ascii="仿宋_GB2312" w:eastAsia="仿宋_GB2312"/>
                <w:color w:val="auto"/>
                <w:sz w:val="22"/>
                <w:szCs w:val="22"/>
                <w:highlight w:val="none"/>
                <w:lang w:val="en-US" w:eastAsia="zh-CN"/>
              </w:rPr>
              <w:t>20.00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2"/>
                <w:szCs w:val="22"/>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p>
        </w:tc>
        <w:tc>
          <w:tcPr>
            <w:tcW w:w="82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其他行政事业单位医疗支出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6.61</w:t>
            </w:r>
            <w:r>
              <w:rPr>
                <w:rFonts w:hint="eastAsia" w:ascii="仿宋_GB2312" w:eastAsia="仿宋_GB2312"/>
                <w:color w:val="auto"/>
                <w:sz w:val="16"/>
                <w:szCs w:val="16"/>
                <w:highlight w:val="none"/>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0.61</w:t>
            </w:r>
            <w:r>
              <w:rPr>
                <w:rFonts w:hint="eastAsia" w:ascii="仿宋_GB2312" w:eastAsia="仿宋_GB2312"/>
                <w:color w:val="auto"/>
                <w:sz w:val="16"/>
                <w:szCs w:val="16"/>
                <w:highlight w:val="none"/>
              </w:rPr>
              <w:t>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0.61</w:t>
            </w:r>
            <w:r>
              <w:rPr>
                <w:rFonts w:hint="eastAsia" w:ascii="仿宋_GB2312" w:eastAsia="仿宋_GB2312"/>
                <w:color w:val="auto"/>
                <w:sz w:val="16"/>
                <w:szCs w:val="16"/>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211</w:t>
            </w:r>
          </w:p>
        </w:tc>
        <w:tc>
          <w:tcPr>
            <w:tcW w:w="42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49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820" w:type="dxa"/>
            <w:tcBorders>
              <w:top w:val="nil"/>
              <w:left w:val="nil"/>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r>
              <w:rPr>
                <w:rFonts w:hint="eastAsia" w:ascii="仿宋_GB2312" w:eastAsia="仿宋_GB2312"/>
                <w:color w:val="auto"/>
                <w:sz w:val="18"/>
                <w:szCs w:val="18"/>
                <w:highlight w:val="none"/>
              </w:rPr>
              <w:t>节能环保支出</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428.72</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428.72</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211</w:t>
            </w:r>
          </w:p>
        </w:tc>
        <w:tc>
          <w:tcPr>
            <w:tcW w:w="42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03</w:t>
            </w:r>
          </w:p>
        </w:tc>
        <w:tc>
          <w:tcPr>
            <w:tcW w:w="49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c>
          <w:tcPr>
            <w:tcW w:w="820" w:type="dxa"/>
            <w:tcBorders>
              <w:top w:val="nil"/>
              <w:left w:val="nil"/>
              <w:bottom w:val="single" w:color="auto" w:sz="4" w:space="0"/>
              <w:right w:val="single" w:color="auto" w:sz="4" w:space="0"/>
            </w:tcBorders>
            <w:vAlign w:val="center"/>
          </w:tcPr>
          <w:p>
            <w:pPr>
              <w:jc w:val="center"/>
              <w:rPr>
                <w:rFonts w:hint="eastAsia" w:ascii="仿宋_GB2312" w:eastAsia="仿宋_GB2312"/>
                <w:b w:val="0"/>
                <w:bCs w:val="0"/>
                <w:color w:val="auto"/>
                <w:sz w:val="18"/>
                <w:szCs w:val="18"/>
                <w:highlight w:val="none"/>
              </w:rPr>
            </w:pPr>
            <w:r>
              <w:rPr>
                <w:rFonts w:hint="eastAsia" w:ascii="仿宋_GB2312" w:eastAsia="仿宋_GB2312"/>
                <w:b w:val="0"/>
                <w:bCs w:val="0"/>
                <w:color w:val="auto"/>
                <w:sz w:val="18"/>
                <w:szCs w:val="18"/>
                <w:highlight w:val="none"/>
              </w:rPr>
              <w:t>污染防治</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428.72</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427.72</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211</w:t>
            </w:r>
          </w:p>
        </w:tc>
        <w:tc>
          <w:tcPr>
            <w:tcW w:w="42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03</w:t>
            </w:r>
          </w:p>
        </w:tc>
        <w:tc>
          <w:tcPr>
            <w:tcW w:w="49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1"/>
                <w:szCs w:val="21"/>
                <w:highlight w:val="none"/>
                <w:lang w:val="en-US" w:eastAsia="zh-CN"/>
              </w:rPr>
            </w:pPr>
            <w:r>
              <w:rPr>
                <w:rFonts w:hint="eastAsia" w:ascii="仿宋_GB2312" w:eastAsia="仿宋_GB2312"/>
                <w:color w:val="auto"/>
                <w:sz w:val="21"/>
                <w:szCs w:val="21"/>
                <w:highlight w:val="none"/>
                <w:lang w:val="en-US" w:eastAsia="zh-CN"/>
              </w:rPr>
              <w:t>01</w:t>
            </w:r>
          </w:p>
        </w:tc>
        <w:tc>
          <w:tcPr>
            <w:tcW w:w="820" w:type="dxa"/>
            <w:tcBorders>
              <w:top w:val="nil"/>
              <w:left w:val="nil"/>
              <w:bottom w:val="single" w:color="auto" w:sz="4" w:space="0"/>
              <w:right w:val="single" w:color="auto" w:sz="4" w:space="0"/>
            </w:tcBorders>
            <w:vAlign w:val="center"/>
          </w:tcPr>
          <w:p>
            <w:pPr>
              <w:jc w:val="center"/>
              <w:rPr>
                <w:rFonts w:hint="eastAsia" w:ascii="仿宋_GB2312" w:eastAsia="仿宋_GB2312"/>
                <w:b w:val="0"/>
                <w:bCs w:val="0"/>
                <w:color w:val="auto"/>
                <w:sz w:val="18"/>
                <w:szCs w:val="18"/>
                <w:highlight w:val="none"/>
              </w:rPr>
            </w:pPr>
            <w:r>
              <w:rPr>
                <w:rFonts w:hint="eastAsia" w:ascii="仿宋_GB2312" w:eastAsia="仿宋_GB2312"/>
                <w:b w:val="0"/>
                <w:bCs w:val="0"/>
                <w:color w:val="auto"/>
                <w:sz w:val="18"/>
                <w:szCs w:val="18"/>
                <w:highlight w:val="none"/>
              </w:rPr>
              <w:t>大气</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428.72</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49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b/>
                <w:bCs/>
                <w:color w:val="auto"/>
                <w:sz w:val="16"/>
                <w:szCs w:val="16"/>
                <w:highlight w:val="none"/>
              </w:rPr>
            </w:pPr>
            <w:r>
              <w:rPr>
                <w:rFonts w:hint="eastAsia" w:ascii="仿宋_GB2312" w:eastAsia="仿宋_GB2312"/>
                <w:color w:val="auto"/>
                <w:sz w:val="16"/>
                <w:szCs w:val="16"/>
                <w:highlight w:val="none"/>
              </w:rPr>
              <w:t>农林水支出</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36261.60</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24614.74</w:t>
            </w: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1310.34</w:t>
            </w:r>
          </w:p>
        </w:tc>
        <w:tc>
          <w:tcPr>
            <w:tcW w:w="855"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23304.40</w:t>
            </w: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830.00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10816.86</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b/>
                <w:bCs/>
                <w:color w:val="auto"/>
                <w:sz w:val="16"/>
                <w:szCs w:val="16"/>
                <w:highlight w:val="none"/>
              </w:rPr>
            </w:pPr>
            <w:r>
              <w:rPr>
                <w:rFonts w:hint="eastAsia" w:ascii="仿宋_GB2312" w:eastAsia="仿宋_GB2312"/>
                <w:color w:val="auto"/>
                <w:sz w:val="16"/>
                <w:szCs w:val="16"/>
                <w:highlight w:val="none"/>
              </w:rPr>
              <w:t>农业农村</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25827.14</w:t>
            </w:r>
          </w:p>
        </w:tc>
        <w:tc>
          <w:tcPr>
            <w:tcW w:w="90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21710.74</w:t>
            </w: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1310.34</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hAnsi="宋体" w:eastAsia="仿宋_GB2312" w:cs="宋体"/>
                <w:color w:val="auto"/>
                <w:sz w:val="16"/>
                <w:szCs w:val="16"/>
                <w:highlight w:val="none"/>
                <w:lang w:val="en-US" w:eastAsia="zh-CN"/>
              </w:rPr>
              <w:t>20400.40</w:t>
            </w: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630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3486.40</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01</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行政运行</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674.22</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594.22</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594.22</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04</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事业运行</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130.12</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130.12</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130.12</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06</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科技转化与推广服务</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80.00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80.00</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80.00</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08</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病虫害控制</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250.28</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250.28</w:t>
            </w:r>
          </w:p>
        </w:tc>
        <w:tc>
          <w:tcPr>
            <w:tcW w:w="93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165.00</w:t>
            </w:r>
          </w:p>
        </w:tc>
        <w:tc>
          <w:tcPr>
            <w:tcW w:w="855"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85.28</w:t>
            </w: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09</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农产品质量安全</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4.00</w:t>
            </w: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w:t>
            </w:r>
          </w:p>
        </w:tc>
        <w:tc>
          <w:tcPr>
            <w:tcW w:w="855"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18"/>
                <w:szCs w:val="18"/>
                <w:highlight w:val="none"/>
                <w:lang w:val="en-US" w:eastAsia="zh-CN"/>
              </w:rPr>
            </w:pP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19</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防灾救灾</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45.00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45.00</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稳定农民收入补贴</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1774.56</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1656.00</w:t>
            </w:r>
          </w:p>
        </w:tc>
        <w:tc>
          <w:tcPr>
            <w:tcW w:w="9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p>
        </w:tc>
        <w:tc>
          <w:tcPr>
            <w:tcW w:w="855"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1656.00</w:t>
            </w:r>
          </w:p>
        </w:tc>
        <w:tc>
          <w:tcPr>
            <w:tcW w:w="3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33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9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61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rPr>
            </w:pP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118.56</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农业生产发展</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4715.17</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4485.00</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4485.00</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230.17</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25</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农产品加工与促销</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293.30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293.30</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35</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农业生态资源保护</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5070.75</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3837.12</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3837.12</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783.63</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48</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渔业发展</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205.00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205.00</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205.00</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90"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53</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耕地建设与利用</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12534.73</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10549.00</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417.00</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10132.00</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1985.73</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99</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其他农业农村支出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30.00</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03</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水利</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1283.27</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1283.27</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03</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99</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其他水利支出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1283.27</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1283.27</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巩固脱贫攻坚成果衔接乡村振兴</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9151.19</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2904.00</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2904.00</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6047.19</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04</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农村基础设施建设</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8945.70</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2904.00</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2904.00</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6041.7</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213</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05</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生产发展</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205.49</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5.49</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资源勘探工业信息等支出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1.54</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1.54</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98</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超长期特别国债安排的支出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1.54</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1.54</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98</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制造业</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1.54</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1.54</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住房保障支出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02</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住房改革支出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100.00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02</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01</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住房公积金</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180.23</w:t>
            </w: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100.00</w:t>
            </w: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222</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粮油物资储备支出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222</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粮油物资事务</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222</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99</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其他粮油物资事务支出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226.25</w:t>
            </w: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229</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其他支出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30706.86</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30706.86</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229</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04</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其他政府性基金及对应专项债务收入安排的支出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30706.86</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30706.86</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229</w:t>
            </w:r>
          </w:p>
        </w:tc>
        <w:tc>
          <w:tcPr>
            <w:tcW w:w="4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04</w:t>
            </w:r>
          </w:p>
        </w:tc>
        <w:tc>
          <w:tcPr>
            <w:tcW w:w="49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82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其他地方自行试点项目收益专项债券收入安排的支出</w:t>
            </w:r>
          </w:p>
        </w:tc>
        <w:tc>
          <w:tcPr>
            <w:tcW w:w="851"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30706.86</w:t>
            </w:r>
          </w:p>
        </w:tc>
        <w:tc>
          <w:tcPr>
            <w:tcW w:w="9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93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85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45"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33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92"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618"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58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743"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p>
        </w:tc>
        <w:tc>
          <w:tcPr>
            <w:tcW w:w="1026"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30706.86</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68435.94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25130.96　</w:t>
            </w:r>
          </w:p>
        </w:tc>
        <w:tc>
          <w:tcPr>
            <w:tcW w:w="9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1600.31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23530.65</w:t>
            </w:r>
          </w:p>
        </w:tc>
        <w:tc>
          <w:tcPr>
            <w:tcW w:w="3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4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1201.00</w:t>
            </w:r>
          </w:p>
        </w:tc>
        <w:tc>
          <w:tcPr>
            <w:tcW w:w="102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42103.98</w:t>
            </w:r>
          </w:p>
        </w:tc>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呼图壁县农业农村局</w:t>
      </w:r>
      <w:r>
        <w:rPr>
          <w:rFonts w:hint="eastAsia" w:ascii="仿宋_GB2312" w:hAnsi="宋体" w:eastAsia="仿宋_GB2312"/>
          <w:color w:val="auto"/>
          <w:kern w:val="0"/>
          <w:sz w:val="24"/>
          <w:highlight w:val="none"/>
        </w:rPr>
        <w:t xml:space="preserve">                                  单位：万元</w:t>
      </w:r>
    </w:p>
    <w:tbl>
      <w:tblPr>
        <w:tblStyle w:val="10"/>
        <w:tblW w:w="9559" w:type="dxa"/>
        <w:tblInd w:w="-379" w:type="dxa"/>
        <w:tblLayout w:type="fixed"/>
        <w:tblCellMar>
          <w:top w:w="0" w:type="dxa"/>
          <w:left w:w="108" w:type="dxa"/>
          <w:bottom w:w="0" w:type="dxa"/>
          <w:right w:w="108" w:type="dxa"/>
        </w:tblCellMar>
      </w:tblPr>
      <w:tblGrid>
        <w:gridCol w:w="615"/>
        <w:gridCol w:w="450"/>
        <w:gridCol w:w="435"/>
        <w:gridCol w:w="2477"/>
        <w:gridCol w:w="1844"/>
        <w:gridCol w:w="1845"/>
        <w:gridCol w:w="1893"/>
      </w:tblGrid>
      <w:tr>
        <w:tblPrEx>
          <w:tblCellMar>
            <w:top w:w="0" w:type="dxa"/>
            <w:left w:w="108" w:type="dxa"/>
            <w:bottom w:w="0" w:type="dxa"/>
            <w:right w:w="108" w:type="dxa"/>
          </w:tblCellMar>
        </w:tblPrEx>
        <w:trPr>
          <w:trHeight w:val="328" w:hRule="atLeast"/>
        </w:trPr>
        <w:tc>
          <w:tcPr>
            <w:tcW w:w="3977"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50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7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7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hAnsi="宋体" w:eastAsia="仿宋_GB2312" w:cs="宋体"/>
                <w:color w:val="auto"/>
                <w:sz w:val="20"/>
                <w:szCs w:val="20"/>
                <w:highlight w:val="none"/>
              </w:rPr>
              <w:t>一般公共服务支出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150.00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150.00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04</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发展与改革事务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150.00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150.00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201</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04</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06</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社会事业发展规划</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社会保障和就业支出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316.38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316.38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hAnsi="宋体" w:eastAsia="仿宋_GB2312" w:cs="宋体"/>
                <w:color w:val="auto"/>
                <w:sz w:val="20"/>
                <w:szCs w:val="20"/>
                <w:highlight w:val="none"/>
              </w:rPr>
              <w:t>行政事业单位养老支出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316.38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316.38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01</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hAnsi="宋体" w:eastAsia="仿宋_GB2312" w:cs="宋体"/>
                <w:color w:val="auto"/>
                <w:sz w:val="20"/>
                <w:szCs w:val="20"/>
                <w:highlight w:val="none"/>
              </w:rPr>
              <w:t>行政单位离退休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39.36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39.36</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机关事业单位基本养老保险缴费支出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247.01</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247.01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06</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机关事业单位职业年金缴费支出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30.00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卫生健康支出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164.36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164.36</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行政事业单位医疗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164.36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164.36</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行政单位医疗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79.14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79.14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34.36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34.36</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公务员医疗补助</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44.25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44.25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其他行政事业单位医疗支出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6.61</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节能环保支出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428.72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36261.60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污染防治</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428.72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36261.60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大气</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428.72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36261.60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农林水支出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36261.60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804.34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35457.26</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农业农村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25827.14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804.34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25022.80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3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47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行政运行</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674.22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674.22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04</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事业运行</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130.12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130.12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06</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科技转化与推广服务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5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3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lang w:val="en-US" w:eastAsia="zh-CN"/>
              </w:rPr>
              <w:t>08</w:t>
            </w:r>
          </w:p>
        </w:tc>
        <w:tc>
          <w:tcPr>
            <w:tcW w:w="247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0"/>
                <w:szCs w:val="20"/>
                <w:highlight w:val="none"/>
              </w:rPr>
            </w:pPr>
            <w:r>
              <w:rPr>
                <w:rFonts w:hint="eastAsia" w:ascii="仿宋_GB2312" w:eastAsia="仿宋_GB2312"/>
                <w:color w:val="auto"/>
                <w:sz w:val="20"/>
                <w:szCs w:val="20"/>
                <w:highlight w:val="none"/>
              </w:rPr>
              <w:t>病虫害控制</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250.28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250.28</w:t>
            </w:r>
          </w:p>
        </w:tc>
      </w:tr>
      <w:tr>
        <w:tblPrEx>
          <w:tblCellMar>
            <w:top w:w="0" w:type="dxa"/>
            <w:left w:w="108" w:type="dxa"/>
            <w:bottom w:w="0" w:type="dxa"/>
            <w:right w:w="108" w:type="dxa"/>
          </w:tblCellMar>
        </w:tblPrEx>
        <w:trPr>
          <w:trHeight w:val="480"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09</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农产品质量安全</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4.00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4.00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19</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防灾救灾</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45.00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45.00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20</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稳定农民收入补贴</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1774.56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1774.56</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22</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农业生产发展</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4715.17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4715.17</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25</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农产品加工与促销</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293.30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293.30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35</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农业生态资源保护</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5070.75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5070.75</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48</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渔业发展</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205.00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205.00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53</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耕地建设与利用</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12534.73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12534.73</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99</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其他农业农村支出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50.00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50.00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03</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水利</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1283.27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1283.27</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03</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99</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其他水利支出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1283.27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1283.27</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05</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巩固脱贫攻坚成果衔接乡村振兴</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9151.19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9151.19</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05</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04</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农村基础设施建设</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8945.70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8945.70</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213</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05</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05</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生产发展</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205.49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205.49</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215</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资源勘探工业信息等支出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1.54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1.54</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215</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98</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超长期特别国债安排的支出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1.54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1.54</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215</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98</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02</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制造业</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highlight w:val="none"/>
              </w:rPr>
            </w:pPr>
            <w:r>
              <w:rPr>
                <w:rFonts w:hint="eastAsia"/>
                <w:highlight w:val="none"/>
              </w:rPr>
              <w:t>1.54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1.54</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221</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住房保障支出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180.23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180.23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221</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02</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住房改革支出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180.23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180.23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221</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02</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01</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住房公积金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180.23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180.23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222</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粮油物资储备支出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226.25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226.25</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222</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粮油物资事务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226.25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226.25</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222</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01</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99</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其他粮油物资事务支出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226.25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226.25</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229</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其他支出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30706.86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30706.86</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229</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04</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其他政府性基金及对应专项债务收入安排的支出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30706.86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30706.86</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229</w:t>
            </w:r>
          </w:p>
        </w:tc>
        <w:tc>
          <w:tcPr>
            <w:tcW w:w="450" w:type="dxa"/>
            <w:tcBorders>
              <w:top w:val="nil"/>
              <w:left w:val="nil"/>
              <w:bottom w:val="single" w:color="auto" w:sz="4" w:space="0"/>
              <w:right w:val="single" w:color="auto" w:sz="4" w:space="0"/>
            </w:tcBorders>
            <w:vAlign w:val="center"/>
          </w:tcPr>
          <w:p>
            <w:pPr>
              <w:rPr>
                <w:rFonts w:hint="eastAsia" w:ascii="仿宋_GB2312" w:eastAsia="仿宋_GB2312"/>
                <w:color w:val="auto"/>
                <w:sz w:val="18"/>
                <w:szCs w:val="18"/>
                <w:highlight w:val="none"/>
              </w:rPr>
            </w:pPr>
            <w:r>
              <w:rPr>
                <w:rFonts w:hint="eastAsia" w:ascii="仿宋_GB2312" w:eastAsia="仿宋_GB2312"/>
                <w:color w:val="auto"/>
                <w:sz w:val="16"/>
                <w:szCs w:val="16"/>
                <w:highlight w:val="none"/>
                <w:lang w:val="en-US" w:eastAsia="zh-CN"/>
              </w:rPr>
              <w:t>04</w:t>
            </w:r>
          </w:p>
        </w:tc>
        <w:tc>
          <w:tcPr>
            <w:tcW w:w="435" w:type="dxa"/>
            <w:tcBorders>
              <w:top w:val="nil"/>
              <w:left w:val="nil"/>
              <w:bottom w:val="single" w:color="auto" w:sz="4" w:space="0"/>
              <w:right w:val="single" w:color="auto" w:sz="4" w:space="0"/>
            </w:tcBorders>
            <w:vAlign w:val="center"/>
          </w:tcPr>
          <w:p>
            <w:pPr>
              <w:rPr>
                <w:rFonts w:ascii="宋体" w:hAnsi="宋体" w:cs="宋体"/>
                <w:b/>
                <w:bCs/>
                <w:color w:val="auto"/>
                <w:kern w:val="0"/>
                <w:sz w:val="16"/>
                <w:szCs w:val="16"/>
                <w:highlight w:val="none"/>
              </w:rPr>
            </w:pPr>
            <w:r>
              <w:rPr>
                <w:rFonts w:hint="eastAsia" w:ascii="仿宋_GB2312" w:eastAsia="仿宋_GB2312"/>
                <w:color w:val="auto"/>
                <w:sz w:val="16"/>
                <w:szCs w:val="16"/>
                <w:highlight w:val="none"/>
                <w:lang w:val="en-US" w:eastAsia="zh-CN"/>
              </w:rPr>
              <w:t>02</w:t>
            </w:r>
          </w:p>
        </w:tc>
        <w:tc>
          <w:tcPr>
            <w:tcW w:w="247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16"/>
                <w:szCs w:val="16"/>
                <w:highlight w:val="none"/>
              </w:rPr>
              <w:t>其他地方自行试点项目收益专项债券收入安排的支出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30706.86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highlight w:val="none"/>
              </w:rPr>
              <w:t>30706.86</w:t>
            </w:r>
          </w:p>
        </w:tc>
      </w:tr>
      <w:tr>
        <w:tblPrEx>
          <w:tblCellMar>
            <w:top w:w="0" w:type="dxa"/>
            <w:left w:w="108" w:type="dxa"/>
            <w:bottom w:w="0" w:type="dxa"/>
            <w:right w:w="108" w:type="dxa"/>
          </w:tblCellMar>
        </w:tblPrEx>
        <w:trPr>
          <w:trHeight w:val="405" w:hRule="atLeast"/>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68435.94</w:t>
            </w:r>
          </w:p>
        </w:tc>
        <w:tc>
          <w:tcPr>
            <w:tcW w:w="184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1465.31</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66970.63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呼图壁县农业农村局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p>
    <w:tbl>
      <w:tblPr>
        <w:tblStyle w:val="10"/>
        <w:tblW w:w="9449" w:type="dxa"/>
        <w:tblInd w:w="-240" w:type="dxa"/>
        <w:tblLayout w:type="fixed"/>
        <w:tblCellMar>
          <w:top w:w="0" w:type="dxa"/>
          <w:left w:w="108" w:type="dxa"/>
          <w:bottom w:w="0" w:type="dxa"/>
          <w:right w:w="108" w:type="dxa"/>
        </w:tblCellMar>
      </w:tblPr>
      <w:tblGrid>
        <w:gridCol w:w="1936"/>
        <w:gridCol w:w="1030"/>
        <w:gridCol w:w="2464"/>
        <w:gridCol w:w="1166"/>
        <w:gridCol w:w="1095"/>
        <w:gridCol w:w="855"/>
        <w:gridCol w:w="903"/>
      </w:tblGrid>
      <w:tr>
        <w:tblPrEx>
          <w:tblCellMar>
            <w:top w:w="0" w:type="dxa"/>
            <w:left w:w="108" w:type="dxa"/>
            <w:bottom w:w="0" w:type="dxa"/>
            <w:right w:w="108" w:type="dxa"/>
          </w:tblCellMar>
        </w:tblPrEx>
        <w:trPr>
          <w:trHeight w:val="285" w:hRule="atLeast"/>
        </w:trPr>
        <w:tc>
          <w:tcPr>
            <w:tcW w:w="2966"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483"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6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16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9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903"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3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25130.96</w:t>
            </w: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3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25130.96</w:t>
            </w: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3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136.38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136.38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73.36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73.36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24614.74</w:t>
            </w: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24614.74</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80.23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80.23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226.25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226.25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30"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0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4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3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25130.96</w:t>
            </w:r>
            <w:r>
              <w:rPr>
                <w:rFonts w:hint="eastAsia" w:ascii="仿宋_GB2312" w:hAnsi="宋体" w:eastAsia="仿宋_GB2312" w:cs="宋体"/>
                <w:b/>
                <w:bCs/>
                <w:color w:val="auto"/>
                <w:kern w:val="0"/>
                <w:sz w:val="20"/>
                <w:szCs w:val="20"/>
                <w:highlight w:val="none"/>
              </w:rPr>
              <w:t>　</w:t>
            </w:r>
          </w:p>
        </w:tc>
        <w:tc>
          <w:tcPr>
            <w:tcW w:w="246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116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5"/>
                <w:szCs w:val="15"/>
                <w:highlight w:val="none"/>
              </w:rPr>
            </w:pPr>
            <w:r>
              <w:rPr>
                <w:rFonts w:hint="eastAsia" w:ascii="宋体" w:hAnsi="宋体" w:cs="宋体"/>
                <w:color w:val="auto"/>
                <w:kern w:val="0"/>
                <w:sz w:val="20"/>
                <w:szCs w:val="20"/>
                <w:highlight w:val="none"/>
                <w:lang w:val="en-US" w:eastAsia="zh-CN"/>
              </w:rPr>
              <w:t>25130.96</w:t>
            </w:r>
            <w:r>
              <w:rPr>
                <w:rFonts w:hint="eastAsia" w:ascii="宋体" w:hAnsi="宋体" w:cs="宋体"/>
                <w:color w:val="auto"/>
                <w:kern w:val="0"/>
                <w:sz w:val="20"/>
                <w:szCs w:val="20"/>
                <w:highlight w:val="none"/>
              </w:rPr>
              <w:t>　</w:t>
            </w:r>
          </w:p>
        </w:tc>
        <w:tc>
          <w:tcPr>
            <w:tcW w:w="109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5"/>
                <w:szCs w:val="15"/>
                <w:highlight w:val="none"/>
              </w:rPr>
            </w:pPr>
            <w:r>
              <w:rPr>
                <w:rFonts w:hint="eastAsia" w:ascii="宋体" w:hAnsi="宋体" w:cs="宋体"/>
                <w:color w:val="auto"/>
                <w:kern w:val="0"/>
                <w:sz w:val="20"/>
                <w:szCs w:val="20"/>
                <w:highlight w:val="none"/>
                <w:lang w:val="en-US" w:eastAsia="zh-CN"/>
              </w:rPr>
              <w:t>25130.96</w:t>
            </w:r>
            <w:r>
              <w:rPr>
                <w:rFonts w:hint="eastAsia" w:ascii="宋体" w:hAnsi="宋体" w:cs="宋体"/>
                <w:color w:val="auto"/>
                <w:kern w:val="0"/>
                <w:sz w:val="20"/>
                <w:szCs w:val="20"/>
                <w:highlight w:val="none"/>
              </w:rPr>
              <w:t>　</w:t>
            </w:r>
          </w:p>
        </w:tc>
        <w:tc>
          <w:tcPr>
            <w:tcW w:w="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0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呼图壁县农业农村局</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rPr>
              <w:t>　</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auto"/>
                <w:sz w:val="15"/>
                <w:szCs w:val="15"/>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5"/>
                <w:szCs w:val="15"/>
                <w:highlight w:val="none"/>
              </w:rPr>
              <w:t>社会保障和就业支出</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136.38</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136.38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宋体" w:eastAsia="仿宋_GB2312" w:cs="宋体"/>
                <w:color w:val="auto"/>
                <w:sz w:val="15"/>
                <w:szCs w:val="15"/>
                <w:highlight w:val="none"/>
              </w:rPr>
              <w:t>行政事业单位养老支出</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136.38</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136.38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宋体" w:eastAsia="仿宋_GB2312" w:cs="宋体"/>
                <w:color w:val="auto"/>
                <w:sz w:val="15"/>
                <w:szCs w:val="15"/>
                <w:highlight w:val="none"/>
              </w:rPr>
              <w:t>行政单位离退休</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39.36</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39.36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5"/>
                <w:szCs w:val="15"/>
                <w:highlight w:val="none"/>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97.01</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97.01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210</w:t>
            </w:r>
            <w:r>
              <w:rPr>
                <w:rFonts w:hint="eastAsia" w:ascii="仿宋_GB2312" w:eastAsia="仿宋_GB2312"/>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6"/>
                <w:szCs w:val="16"/>
                <w:highlight w:val="none"/>
              </w:rPr>
              <w:t>卫生健康支出</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73.36</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73.36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210</w:t>
            </w:r>
            <w:r>
              <w:rPr>
                <w:rFonts w:hint="eastAsia" w:ascii="仿宋_GB2312" w:eastAsia="仿宋_GB2312"/>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6"/>
                <w:szCs w:val="16"/>
                <w:highlight w:val="none"/>
              </w:rPr>
              <w:t>行政事业单位医疗</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73.36</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73.36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210</w:t>
            </w:r>
            <w:r>
              <w:rPr>
                <w:rFonts w:hint="eastAsia" w:ascii="仿宋_GB2312" w:eastAsia="仿宋_GB2312"/>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11</w:t>
            </w:r>
            <w:r>
              <w:rPr>
                <w:rFonts w:hint="eastAsia" w:ascii="仿宋_GB2312" w:eastAsia="仿宋_GB2312"/>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r>
              <w:rPr>
                <w:rFonts w:hint="eastAsia" w:ascii="仿宋_GB2312" w:eastAsia="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宋体" w:eastAsia="仿宋_GB2312" w:cs="宋体"/>
                <w:color w:val="auto"/>
                <w:sz w:val="16"/>
                <w:szCs w:val="16"/>
                <w:highlight w:val="none"/>
              </w:rPr>
              <w:t>行政单位医疗</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39.14</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39.14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8"/>
                <w:szCs w:val="18"/>
                <w:highlight w:val="none"/>
              </w:rPr>
              <w:t>事业单位医疗　</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9.36</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9.36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宋体" w:eastAsia="仿宋_GB2312" w:cs="宋体"/>
                <w:color w:val="auto"/>
                <w:sz w:val="20"/>
                <w:szCs w:val="20"/>
                <w:highlight w:val="none"/>
              </w:rPr>
              <w:t>公务员医疗补助</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24.25</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24.25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8"/>
                <w:szCs w:val="18"/>
                <w:highlight w:val="none"/>
              </w:rPr>
              <w:t>其他行政事业单位医疗支出</w:t>
            </w:r>
          </w:p>
        </w:tc>
        <w:tc>
          <w:tcPr>
            <w:tcW w:w="168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0.61</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highlight w:val="none"/>
              </w:rPr>
              <w:t>0.61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农林水支出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24614.74</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724.34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23890.40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农业农村</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21710.74</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724.34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20986.40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行政运行</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594.22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594.22</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04</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事业运行</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130.12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130.12</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08</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病虫害控制</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250.28</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250.28</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09</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农产品质量安全</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4.00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4.00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稳定农民收入补贴</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1656.00</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1656.00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w:t>
            </w: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 xml:space="preserve"> 农业生产发展</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4485.00</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4485.00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35</w:t>
            </w: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农业生态资源保护</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3837.12</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3837.12</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48</w:t>
            </w: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渔业发展</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205.00</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53</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eastAsia="仿宋_GB2312"/>
                <w:color w:val="auto"/>
                <w:sz w:val="16"/>
                <w:szCs w:val="16"/>
                <w:highlight w:val="none"/>
              </w:rPr>
              <w:t>耕地建设与利用</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10549.00</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10549.00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巩固脱贫攻坚成果衔接乡村振兴</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2904.00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2904.00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 xml:space="preserve"> 农村基础设施建设</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2904.00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2904.00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住房保障支出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住房改革支出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eastAsia="仿宋_GB2312"/>
                <w:color w:val="auto"/>
                <w:sz w:val="16"/>
                <w:szCs w:val="16"/>
                <w:highlight w:val="none"/>
              </w:rPr>
              <w:t>住房公积金</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222</w:t>
            </w:r>
          </w:p>
        </w:tc>
        <w:tc>
          <w:tcPr>
            <w:tcW w:w="50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粮油物资储备支出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226.25</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222</w:t>
            </w:r>
          </w:p>
        </w:tc>
        <w:tc>
          <w:tcPr>
            <w:tcW w:w="500" w:type="dxa"/>
            <w:tcBorders>
              <w:top w:val="nil"/>
              <w:left w:val="nil"/>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粮油物资事务</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226.25</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222</w:t>
            </w:r>
          </w:p>
        </w:tc>
        <w:tc>
          <w:tcPr>
            <w:tcW w:w="500" w:type="dxa"/>
            <w:tcBorders>
              <w:top w:val="nil"/>
              <w:left w:val="nil"/>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99</w:t>
            </w:r>
          </w:p>
        </w:tc>
        <w:tc>
          <w:tcPr>
            <w:tcW w:w="2510" w:type="dxa"/>
            <w:tcBorders>
              <w:top w:val="nil"/>
              <w:left w:val="nil"/>
              <w:bottom w:val="single" w:color="auto" w:sz="4" w:space="0"/>
              <w:right w:val="single" w:color="auto" w:sz="4" w:space="0"/>
            </w:tcBorders>
            <w:vAlign w:val="center"/>
          </w:tcPr>
          <w:p>
            <w:pP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其他粮油物资事务支出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226.25</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25130.96</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1014.32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24116.65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呼图壁县农业农村局</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15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922.17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922.17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highlight w:val="none"/>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242.5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242.5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203.90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203.90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190.70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190.70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31.46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31.46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97.01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97.01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48.50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48.50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24.25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24.25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3.62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3.62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80.23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1.68</w:t>
            </w:r>
          </w:p>
        </w:tc>
      </w:tr>
      <w:tr>
        <w:tblPrEx>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6.10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培训费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劳务费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11.72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11.20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46.88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46.88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宋体" w:hAnsi="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39.36</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39.36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宋体" w:hAnsi="宋体" w:cs="宋体"/>
                <w:color w:val="auto"/>
                <w:kern w:val="0"/>
                <w:sz w:val="20"/>
                <w:szCs w:val="20"/>
                <w:highlight w:val="none"/>
              </w:rPr>
              <w:t>生活补助</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3.94</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3.94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3.58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3.58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1014.30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969.05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45.25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0501" w:type="dxa"/>
        <w:tblInd w:w="-610" w:type="dxa"/>
        <w:tblLayout w:type="fixed"/>
        <w:tblCellMar>
          <w:top w:w="0" w:type="dxa"/>
          <w:left w:w="108" w:type="dxa"/>
          <w:bottom w:w="0" w:type="dxa"/>
          <w:right w:w="108" w:type="dxa"/>
        </w:tblCellMar>
      </w:tblPr>
      <w:tblGrid>
        <w:gridCol w:w="258"/>
        <w:gridCol w:w="312"/>
        <w:gridCol w:w="51"/>
        <w:gridCol w:w="463"/>
        <w:gridCol w:w="417"/>
        <w:gridCol w:w="828"/>
        <w:gridCol w:w="1400"/>
        <w:gridCol w:w="741"/>
        <w:gridCol w:w="555"/>
        <w:gridCol w:w="450"/>
        <w:gridCol w:w="765"/>
        <w:gridCol w:w="375"/>
        <w:gridCol w:w="619"/>
        <w:gridCol w:w="746"/>
        <w:gridCol w:w="645"/>
        <w:gridCol w:w="480"/>
        <w:gridCol w:w="236"/>
        <w:gridCol w:w="372"/>
        <w:gridCol w:w="788"/>
      </w:tblGrid>
      <w:tr>
        <w:tblPrEx>
          <w:tblCellMar>
            <w:top w:w="0" w:type="dxa"/>
            <w:left w:w="108" w:type="dxa"/>
            <w:bottom w:w="0" w:type="dxa"/>
            <w:right w:w="108" w:type="dxa"/>
          </w:tblCellMar>
        </w:tblPrEx>
        <w:trPr>
          <w:gridBefore w:val="1"/>
          <w:gridAfter w:val="1"/>
          <w:wBefore w:w="258" w:type="dxa"/>
          <w:wAfter w:w="788"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258" w:type="dxa"/>
          <w:wAfter w:w="788" w:type="dxa"/>
          <w:trHeight w:val="405" w:hRule="atLeast"/>
        </w:trPr>
        <w:tc>
          <w:tcPr>
            <w:tcW w:w="4212"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呼图壁县农业农村局</w:t>
            </w:r>
          </w:p>
        </w:tc>
        <w:tc>
          <w:tcPr>
            <w:tcW w:w="1005"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759"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5"/>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01" w:type="dxa"/>
            <w:gridSpan w:val="5"/>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4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4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4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4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23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1160"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70"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14"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4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4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4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23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160"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570" w:type="dxa"/>
            <w:gridSpan w:val="2"/>
            <w:vAlign w:val="center"/>
          </w:tcPr>
          <w:p>
            <w:pPr>
              <w:jc w:val="right"/>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213</w:t>
            </w:r>
          </w:p>
        </w:tc>
        <w:tc>
          <w:tcPr>
            <w:tcW w:w="514" w:type="dxa"/>
            <w:gridSpan w:val="2"/>
            <w:vAlign w:val="center"/>
          </w:tcPr>
          <w:p>
            <w:pPr>
              <w:jc w:val="right"/>
              <w:rPr>
                <w:rFonts w:hint="eastAsia" w:ascii="仿宋_GB2312" w:hAnsi="宋体" w:eastAsia="仿宋_GB2312"/>
                <w:color w:val="auto"/>
                <w:kern w:val="0"/>
                <w:sz w:val="18"/>
                <w:szCs w:val="18"/>
                <w:highlight w:val="none"/>
                <w:lang w:eastAsia="zh-Hans"/>
              </w:rPr>
            </w:pPr>
          </w:p>
        </w:tc>
        <w:tc>
          <w:tcPr>
            <w:tcW w:w="417" w:type="dxa"/>
            <w:vAlign w:val="center"/>
          </w:tcPr>
          <w:p>
            <w:pPr>
              <w:jc w:val="right"/>
              <w:rPr>
                <w:rFonts w:ascii="仿宋_GB2312" w:hAnsi="宋体" w:eastAsia="仿宋_GB2312"/>
                <w:color w:val="auto"/>
                <w:kern w:val="0"/>
                <w:sz w:val="18"/>
                <w:szCs w:val="18"/>
                <w:highlight w:val="none"/>
              </w:rPr>
            </w:pPr>
          </w:p>
        </w:tc>
        <w:tc>
          <w:tcPr>
            <w:tcW w:w="828"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rPr>
              <w:t>农林水支出</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6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0"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70" w:type="dxa"/>
            <w:gridSpan w:val="2"/>
            <w:vAlign w:val="center"/>
          </w:tcPr>
          <w:p>
            <w:pPr>
              <w:jc w:val="right"/>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213</w:t>
            </w:r>
          </w:p>
        </w:tc>
        <w:tc>
          <w:tcPr>
            <w:tcW w:w="514" w:type="dxa"/>
            <w:gridSpan w:val="2"/>
            <w:vAlign w:val="center"/>
          </w:tcPr>
          <w:p>
            <w:pPr>
              <w:jc w:val="right"/>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01</w:t>
            </w:r>
          </w:p>
        </w:tc>
        <w:tc>
          <w:tcPr>
            <w:tcW w:w="417" w:type="dxa"/>
            <w:vAlign w:val="center"/>
          </w:tcPr>
          <w:p>
            <w:pPr>
              <w:jc w:val="right"/>
              <w:rPr>
                <w:rFonts w:ascii="仿宋_GB2312" w:hAnsi="宋体" w:eastAsia="仿宋_GB2312"/>
                <w:color w:val="auto"/>
                <w:kern w:val="0"/>
                <w:sz w:val="18"/>
                <w:szCs w:val="18"/>
                <w:highlight w:val="none"/>
              </w:rPr>
            </w:pPr>
          </w:p>
        </w:tc>
        <w:tc>
          <w:tcPr>
            <w:tcW w:w="828"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rPr>
              <w:t>农业农村</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6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0"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570" w:type="dxa"/>
            <w:gridSpan w:val="2"/>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213</w:t>
            </w:r>
          </w:p>
        </w:tc>
        <w:tc>
          <w:tcPr>
            <w:tcW w:w="514" w:type="dxa"/>
            <w:gridSpan w:val="2"/>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01</w:t>
            </w:r>
          </w:p>
        </w:tc>
        <w:tc>
          <w:tcPr>
            <w:tcW w:w="417"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08</w:t>
            </w:r>
          </w:p>
        </w:tc>
        <w:tc>
          <w:tcPr>
            <w:tcW w:w="828"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rPr>
              <w:t>病虫害控制</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2025年</w:t>
            </w:r>
            <w:r>
              <w:rPr>
                <w:rFonts w:hint="eastAsia" w:ascii="仿宋_GB2312" w:hAnsi="宋体" w:eastAsia="仿宋_GB2312"/>
                <w:color w:val="auto"/>
                <w:kern w:val="0"/>
                <w:sz w:val="18"/>
                <w:szCs w:val="18"/>
                <w:highlight w:val="none"/>
              </w:rPr>
              <w:t>政府购买动物防疫服务项目</w:t>
            </w:r>
          </w:p>
        </w:tc>
        <w:tc>
          <w:tcPr>
            <w:tcW w:w="741" w:type="dxa"/>
            <w:vAlign w:val="top"/>
          </w:tcPr>
          <w:p>
            <w:pPr>
              <w:widowControl/>
              <w:jc w:val="center"/>
              <w:outlineLvl w:val="1"/>
              <w:rPr>
                <w:rFonts w:hint="eastAsia" w:ascii="仿宋_GB2312" w:hAnsi="宋体" w:eastAsia="仿宋_GB2312"/>
                <w:color w:val="auto"/>
                <w:kern w:val="0"/>
                <w:sz w:val="16"/>
                <w:szCs w:val="16"/>
                <w:highlight w:val="none"/>
                <w:lang w:val="en-US" w:eastAsia="zh-CN"/>
              </w:rPr>
            </w:pPr>
          </w:p>
          <w:p>
            <w:pPr>
              <w:widowControl/>
              <w:jc w:val="center"/>
              <w:outlineLvl w:val="1"/>
              <w:rPr>
                <w:rFonts w:hint="eastAsia" w:ascii="仿宋_GB2312" w:hAnsi="宋体" w:eastAsia="仿宋_GB2312"/>
                <w:color w:val="auto"/>
                <w:kern w:val="0"/>
                <w:sz w:val="16"/>
                <w:szCs w:val="16"/>
                <w:highlight w:val="none"/>
                <w:lang w:val="en-US" w:eastAsia="zh-CN"/>
              </w:rPr>
            </w:pPr>
          </w:p>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85.28</w:t>
            </w:r>
          </w:p>
        </w:tc>
        <w:tc>
          <w:tcPr>
            <w:tcW w:w="55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5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85.28</w:t>
            </w:r>
          </w:p>
        </w:tc>
        <w:tc>
          <w:tcPr>
            <w:tcW w:w="76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37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19"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746" w:type="dxa"/>
            <w:vAlign w:val="top"/>
          </w:tcPr>
          <w:p>
            <w:pPr>
              <w:widowControl/>
              <w:jc w:val="left"/>
              <w:outlineLvl w:val="1"/>
              <w:rPr>
                <w:rFonts w:hint="eastAsia"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p>
            <w:pPr>
              <w:widowControl/>
              <w:jc w:val="left"/>
              <w:outlineLvl w:val="1"/>
              <w:rPr>
                <w:rFonts w:hint="eastAsia" w:ascii="仿宋_GB2312" w:hAnsi="宋体" w:eastAsia="仿宋_GB2312"/>
                <w:color w:val="auto"/>
                <w:kern w:val="0"/>
                <w:sz w:val="16"/>
                <w:szCs w:val="16"/>
                <w:highlight w:val="none"/>
              </w:rPr>
            </w:pPr>
          </w:p>
          <w:p>
            <w:pPr>
              <w:widowControl/>
              <w:jc w:val="left"/>
              <w:outlineLvl w:val="1"/>
              <w:rPr>
                <w:rFonts w:ascii="仿宋_GB2312" w:hAnsi="宋体" w:eastAsia="仿宋_GB2312"/>
                <w:color w:val="auto"/>
                <w:kern w:val="0"/>
                <w:sz w:val="16"/>
                <w:szCs w:val="16"/>
                <w:highlight w:val="none"/>
              </w:rPr>
            </w:pPr>
          </w:p>
        </w:tc>
        <w:tc>
          <w:tcPr>
            <w:tcW w:w="64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8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23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1160" w:type="dxa"/>
            <w:gridSpan w:val="2"/>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570" w:type="dxa"/>
            <w:gridSpan w:val="2"/>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213</w:t>
            </w:r>
          </w:p>
        </w:tc>
        <w:tc>
          <w:tcPr>
            <w:tcW w:w="514" w:type="dxa"/>
            <w:gridSpan w:val="2"/>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01</w:t>
            </w:r>
          </w:p>
        </w:tc>
        <w:tc>
          <w:tcPr>
            <w:tcW w:w="417"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08</w:t>
            </w:r>
          </w:p>
        </w:tc>
        <w:tc>
          <w:tcPr>
            <w:tcW w:w="828"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rPr>
              <w:t>病虫害控制</w:t>
            </w:r>
          </w:p>
        </w:tc>
        <w:tc>
          <w:tcPr>
            <w:tcW w:w="1400" w:type="dxa"/>
            <w:vAlign w:val="center"/>
          </w:tcPr>
          <w:p>
            <w:pPr>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各类农业、畜牧业工作开展经费-农药监督、畜禽屠宰监督管理工作（非定额）</w:t>
            </w:r>
          </w:p>
        </w:tc>
        <w:tc>
          <w:tcPr>
            <w:tcW w:w="741" w:type="dxa"/>
            <w:vAlign w:val="top"/>
          </w:tcPr>
          <w:p>
            <w:pPr>
              <w:widowControl/>
              <w:jc w:val="left"/>
              <w:outlineLvl w:val="1"/>
              <w:rPr>
                <w:rFonts w:hint="eastAsia" w:ascii="仿宋_GB2312" w:hAnsi="宋体" w:eastAsia="仿宋_GB2312"/>
                <w:color w:val="auto"/>
                <w:kern w:val="0"/>
                <w:sz w:val="16"/>
                <w:szCs w:val="16"/>
                <w:highlight w:val="none"/>
              </w:rPr>
            </w:pPr>
          </w:p>
          <w:p>
            <w:pPr>
              <w:widowControl/>
              <w:jc w:val="left"/>
              <w:outlineLvl w:val="1"/>
              <w:rPr>
                <w:rFonts w:hint="eastAsia" w:ascii="仿宋_GB2312" w:hAnsi="宋体" w:eastAsia="仿宋_GB2312"/>
                <w:color w:val="auto"/>
                <w:kern w:val="0"/>
                <w:sz w:val="16"/>
                <w:szCs w:val="16"/>
                <w:highlight w:val="none"/>
              </w:rPr>
            </w:pPr>
          </w:p>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3.00</w:t>
            </w:r>
          </w:p>
        </w:tc>
        <w:tc>
          <w:tcPr>
            <w:tcW w:w="55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50" w:type="dxa"/>
            <w:vAlign w:val="top"/>
          </w:tcPr>
          <w:p>
            <w:pPr>
              <w:widowControl/>
              <w:jc w:val="left"/>
              <w:outlineLvl w:val="1"/>
              <w:rPr>
                <w:rFonts w:hint="eastAsia"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p>
            <w:pPr>
              <w:widowControl/>
              <w:jc w:val="left"/>
              <w:outlineLvl w:val="1"/>
              <w:rPr>
                <w:rFonts w:hint="eastAsia" w:ascii="仿宋_GB2312" w:hAnsi="宋体" w:eastAsia="仿宋_GB2312"/>
                <w:color w:val="auto"/>
                <w:kern w:val="0"/>
                <w:sz w:val="16"/>
                <w:szCs w:val="16"/>
                <w:highlight w:val="none"/>
              </w:rPr>
            </w:pPr>
          </w:p>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3.00</w:t>
            </w:r>
          </w:p>
        </w:tc>
        <w:tc>
          <w:tcPr>
            <w:tcW w:w="76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37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19"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74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4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8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23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1160" w:type="dxa"/>
            <w:gridSpan w:val="2"/>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70" w:type="dxa"/>
            <w:gridSpan w:val="2"/>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213</w:t>
            </w:r>
          </w:p>
        </w:tc>
        <w:tc>
          <w:tcPr>
            <w:tcW w:w="514" w:type="dxa"/>
            <w:gridSpan w:val="2"/>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01</w:t>
            </w:r>
          </w:p>
        </w:tc>
        <w:tc>
          <w:tcPr>
            <w:tcW w:w="417"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lang w:val="en-US" w:eastAsia="zh-CN"/>
              </w:rPr>
              <w:t>08</w:t>
            </w:r>
          </w:p>
        </w:tc>
        <w:tc>
          <w:tcPr>
            <w:tcW w:w="828"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8"/>
                <w:szCs w:val="18"/>
                <w:highlight w:val="none"/>
              </w:rPr>
              <w:t>病虫害控制</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村级防疫员县级配套补助资金（非定额）</w:t>
            </w:r>
          </w:p>
        </w:tc>
        <w:tc>
          <w:tcPr>
            <w:tcW w:w="741" w:type="dxa"/>
            <w:vAlign w:val="top"/>
          </w:tcPr>
          <w:p>
            <w:pPr>
              <w:widowControl/>
              <w:jc w:val="left"/>
              <w:outlineLvl w:val="1"/>
              <w:rPr>
                <w:rFonts w:hint="eastAsia" w:ascii="仿宋_GB2312" w:hAnsi="宋体" w:eastAsia="仿宋_GB2312"/>
                <w:color w:val="auto"/>
                <w:kern w:val="0"/>
                <w:sz w:val="16"/>
                <w:szCs w:val="16"/>
                <w:highlight w:val="none"/>
              </w:rPr>
            </w:pPr>
          </w:p>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162.00</w:t>
            </w:r>
          </w:p>
        </w:tc>
        <w:tc>
          <w:tcPr>
            <w:tcW w:w="55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70.00</w:t>
            </w:r>
          </w:p>
        </w:tc>
        <w:tc>
          <w:tcPr>
            <w:tcW w:w="450" w:type="dxa"/>
            <w:vAlign w:val="top"/>
          </w:tcPr>
          <w:p>
            <w:pPr>
              <w:widowControl/>
              <w:jc w:val="left"/>
              <w:outlineLvl w:val="1"/>
              <w:rPr>
                <w:rFonts w:hint="eastAsia"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92.00</w:t>
            </w:r>
          </w:p>
        </w:tc>
        <w:tc>
          <w:tcPr>
            <w:tcW w:w="76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37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19"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74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4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8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23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1160" w:type="dxa"/>
            <w:gridSpan w:val="2"/>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570"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514"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09</w:t>
            </w:r>
          </w:p>
        </w:tc>
        <w:tc>
          <w:tcPr>
            <w:tcW w:w="828"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农产品质量安全</w:t>
            </w:r>
          </w:p>
        </w:tc>
        <w:tc>
          <w:tcPr>
            <w:tcW w:w="1400" w:type="dxa"/>
            <w:vAlign w:val="top"/>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各类农业、畜牧业工作开展经费-农产品质量安全工作（非定额）</w:t>
            </w:r>
          </w:p>
        </w:tc>
        <w:tc>
          <w:tcPr>
            <w:tcW w:w="741" w:type="dxa"/>
            <w:vAlign w:val="top"/>
          </w:tcPr>
          <w:p>
            <w:pPr>
              <w:widowControl/>
              <w:jc w:val="center"/>
              <w:outlineLvl w:val="1"/>
              <w:rPr>
                <w:rFonts w:hint="eastAsia" w:ascii="仿宋_GB2312" w:hAnsi="宋体" w:eastAsia="仿宋_GB2312"/>
                <w:color w:val="auto"/>
                <w:kern w:val="0"/>
                <w:sz w:val="16"/>
                <w:szCs w:val="16"/>
                <w:highlight w:val="none"/>
              </w:rPr>
            </w:pPr>
          </w:p>
          <w:p>
            <w:pPr>
              <w:widowControl/>
              <w:jc w:val="center"/>
              <w:outlineLvl w:val="1"/>
              <w:rPr>
                <w:rFonts w:hint="eastAsia" w:ascii="仿宋_GB2312" w:hAnsi="宋体" w:eastAsia="仿宋_GB2312"/>
                <w:color w:val="auto"/>
                <w:kern w:val="0"/>
                <w:sz w:val="16"/>
                <w:szCs w:val="16"/>
                <w:highlight w:val="none"/>
              </w:rPr>
            </w:pPr>
          </w:p>
          <w:p>
            <w:pPr>
              <w:widowControl/>
              <w:ind w:firstLine="320" w:firstLineChars="200"/>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4.00</w:t>
            </w:r>
          </w:p>
        </w:tc>
        <w:tc>
          <w:tcPr>
            <w:tcW w:w="555" w:type="dxa"/>
            <w:vAlign w:val="top"/>
          </w:tcPr>
          <w:p>
            <w:pPr>
              <w:widowControl/>
              <w:jc w:val="center"/>
              <w:outlineLvl w:val="1"/>
              <w:rPr>
                <w:rFonts w:ascii="仿宋_GB2312" w:hAnsi="宋体" w:eastAsia="仿宋_GB2312"/>
                <w:color w:val="auto"/>
                <w:kern w:val="0"/>
                <w:sz w:val="16"/>
                <w:szCs w:val="16"/>
                <w:highlight w:val="none"/>
              </w:rPr>
            </w:pPr>
          </w:p>
        </w:tc>
        <w:tc>
          <w:tcPr>
            <w:tcW w:w="450" w:type="dxa"/>
            <w:vAlign w:val="top"/>
          </w:tcPr>
          <w:p>
            <w:pPr>
              <w:widowControl/>
              <w:jc w:val="center"/>
              <w:outlineLvl w:val="1"/>
              <w:rPr>
                <w:rFonts w:hint="eastAsia" w:ascii="仿宋_GB2312" w:hAnsi="宋体" w:eastAsia="仿宋_GB2312"/>
                <w:color w:val="auto"/>
                <w:kern w:val="0"/>
                <w:sz w:val="16"/>
                <w:szCs w:val="16"/>
                <w:highlight w:val="none"/>
              </w:rPr>
            </w:pPr>
          </w:p>
          <w:p>
            <w:pPr>
              <w:widowControl/>
              <w:jc w:val="center"/>
              <w:outlineLvl w:val="1"/>
              <w:rPr>
                <w:rFonts w:hint="eastAsia" w:ascii="仿宋_GB2312" w:hAnsi="宋体" w:eastAsia="仿宋_GB2312"/>
                <w:color w:val="auto"/>
                <w:kern w:val="0"/>
                <w:sz w:val="16"/>
                <w:szCs w:val="16"/>
                <w:highlight w:val="none"/>
              </w:rPr>
            </w:pPr>
          </w:p>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2.50</w:t>
            </w:r>
          </w:p>
        </w:tc>
        <w:tc>
          <w:tcPr>
            <w:tcW w:w="765" w:type="dxa"/>
            <w:vAlign w:val="top"/>
          </w:tcPr>
          <w:p>
            <w:pPr>
              <w:widowControl/>
              <w:jc w:val="center"/>
              <w:outlineLvl w:val="1"/>
              <w:rPr>
                <w:rFonts w:ascii="仿宋_GB2312" w:hAnsi="宋体" w:eastAsia="仿宋_GB2312"/>
                <w:color w:val="auto"/>
                <w:kern w:val="0"/>
                <w:sz w:val="16"/>
                <w:szCs w:val="16"/>
                <w:highlight w:val="none"/>
              </w:rPr>
            </w:pPr>
          </w:p>
        </w:tc>
        <w:tc>
          <w:tcPr>
            <w:tcW w:w="375" w:type="dxa"/>
            <w:vAlign w:val="top"/>
          </w:tcPr>
          <w:p>
            <w:pPr>
              <w:widowControl/>
              <w:jc w:val="center"/>
              <w:outlineLvl w:val="1"/>
              <w:rPr>
                <w:rFonts w:ascii="仿宋_GB2312" w:hAnsi="宋体" w:eastAsia="仿宋_GB2312"/>
                <w:color w:val="auto"/>
                <w:kern w:val="0"/>
                <w:sz w:val="16"/>
                <w:szCs w:val="16"/>
                <w:highlight w:val="none"/>
              </w:rPr>
            </w:pPr>
          </w:p>
        </w:tc>
        <w:tc>
          <w:tcPr>
            <w:tcW w:w="619" w:type="dxa"/>
            <w:vAlign w:val="top"/>
          </w:tcPr>
          <w:p>
            <w:pPr>
              <w:widowControl/>
              <w:jc w:val="center"/>
              <w:outlineLvl w:val="1"/>
              <w:rPr>
                <w:rFonts w:ascii="仿宋_GB2312" w:hAnsi="宋体" w:eastAsia="仿宋_GB2312"/>
                <w:color w:val="auto"/>
                <w:kern w:val="0"/>
                <w:sz w:val="16"/>
                <w:szCs w:val="16"/>
                <w:highlight w:val="none"/>
              </w:rPr>
            </w:pPr>
          </w:p>
        </w:tc>
        <w:tc>
          <w:tcPr>
            <w:tcW w:w="746" w:type="dxa"/>
            <w:vAlign w:val="top"/>
          </w:tcPr>
          <w:p>
            <w:pPr>
              <w:widowControl/>
              <w:jc w:val="center"/>
              <w:outlineLvl w:val="1"/>
              <w:rPr>
                <w:rFonts w:hint="eastAsia" w:ascii="仿宋_GB2312" w:hAnsi="宋体" w:eastAsia="仿宋_GB2312"/>
                <w:color w:val="auto"/>
                <w:kern w:val="0"/>
                <w:sz w:val="16"/>
                <w:szCs w:val="16"/>
                <w:highlight w:val="none"/>
              </w:rPr>
            </w:pPr>
          </w:p>
          <w:p>
            <w:pPr>
              <w:widowControl/>
              <w:jc w:val="center"/>
              <w:outlineLvl w:val="1"/>
              <w:rPr>
                <w:rFonts w:hint="eastAsia" w:ascii="仿宋_GB2312" w:hAnsi="宋体" w:eastAsia="仿宋_GB2312"/>
                <w:color w:val="auto"/>
                <w:kern w:val="0"/>
                <w:sz w:val="16"/>
                <w:szCs w:val="16"/>
                <w:highlight w:val="none"/>
              </w:rPr>
            </w:pPr>
          </w:p>
          <w:p>
            <w:pPr>
              <w:widowControl/>
              <w:jc w:val="center"/>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1.50</w:t>
            </w:r>
          </w:p>
        </w:tc>
        <w:tc>
          <w:tcPr>
            <w:tcW w:w="64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8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23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1160" w:type="dxa"/>
            <w:gridSpan w:val="2"/>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70"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514"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稳定农民收入补贴</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2025年耕地地力保护补贴项目</w:t>
            </w:r>
          </w:p>
        </w:tc>
        <w:tc>
          <w:tcPr>
            <w:tcW w:w="741"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1656.00</w:t>
            </w:r>
          </w:p>
        </w:tc>
        <w:tc>
          <w:tcPr>
            <w:tcW w:w="55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5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76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r>
              <w:rPr>
                <w:rFonts w:hint="eastAsia" w:ascii="仿宋_GB2312" w:hAnsi="宋体" w:eastAsia="仿宋_GB2312"/>
                <w:color w:val="auto"/>
                <w:kern w:val="0"/>
                <w:sz w:val="16"/>
                <w:szCs w:val="16"/>
                <w:highlight w:val="none"/>
                <w:lang w:val="en-US" w:eastAsia="zh-CN"/>
              </w:rPr>
              <w:t>1656.00</w:t>
            </w:r>
          </w:p>
        </w:tc>
        <w:tc>
          <w:tcPr>
            <w:tcW w:w="37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19"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74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645"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480"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236" w:type="dxa"/>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c>
          <w:tcPr>
            <w:tcW w:w="1160" w:type="dxa"/>
            <w:gridSpan w:val="2"/>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70"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514"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农业生产发展</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2025年粮改饲项目补助资金</w:t>
            </w:r>
          </w:p>
        </w:tc>
        <w:tc>
          <w:tcPr>
            <w:tcW w:w="741"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400.00</w:t>
            </w:r>
          </w:p>
        </w:tc>
        <w:tc>
          <w:tcPr>
            <w:tcW w:w="55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6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400.00</w:t>
            </w:r>
          </w:p>
        </w:tc>
        <w:tc>
          <w:tcPr>
            <w:tcW w:w="37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0"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70"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514"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农业生产发展</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2025年牧区畜牧良种补贴项目资金　</w:t>
            </w:r>
          </w:p>
        </w:tc>
        <w:tc>
          <w:tcPr>
            <w:tcW w:w="741"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6.00</w:t>
            </w:r>
          </w:p>
        </w:tc>
        <w:tc>
          <w:tcPr>
            <w:tcW w:w="55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6.00</w:t>
            </w:r>
          </w:p>
        </w:tc>
        <w:tc>
          <w:tcPr>
            <w:tcW w:w="37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0"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70"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514"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农业生产发展</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2025年种畜禽生产性能测定项目资金</w:t>
            </w:r>
          </w:p>
        </w:tc>
        <w:tc>
          <w:tcPr>
            <w:tcW w:w="741"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100.00</w:t>
            </w:r>
          </w:p>
        </w:tc>
        <w:tc>
          <w:tcPr>
            <w:tcW w:w="55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6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7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9"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4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100.00</w:t>
            </w:r>
            <w:r>
              <w:rPr>
                <w:rFonts w:hint="eastAsia" w:ascii="仿宋_GB2312" w:hAnsi="宋体" w:eastAsia="仿宋_GB2312"/>
                <w:color w:val="auto"/>
                <w:kern w:val="0"/>
                <w:sz w:val="18"/>
                <w:szCs w:val="18"/>
                <w:highlight w:val="none"/>
              </w:rPr>
              <w:t>　</w:t>
            </w:r>
          </w:p>
        </w:tc>
        <w:tc>
          <w:tcPr>
            <w:tcW w:w="23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60" w:type="dxa"/>
            <w:gridSpan w:val="2"/>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70"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514"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农业生产发展</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2025年农机购置补贴项目　</w:t>
            </w:r>
          </w:p>
        </w:tc>
        <w:tc>
          <w:tcPr>
            <w:tcW w:w="741"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1153.00</w:t>
            </w:r>
          </w:p>
        </w:tc>
        <w:tc>
          <w:tcPr>
            <w:tcW w:w="55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6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1153.00</w:t>
            </w:r>
          </w:p>
        </w:tc>
        <w:tc>
          <w:tcPr>
            <w:tcW w:w="37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9"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4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3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60" w:type="dxa"/>
            <w:gridSpan w:val="2"/>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农业生产发展</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-2025年奶业生产能力提升整县推进项目资金</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2000.00</w:t>
            </w:r>
          </w:p>
        </w:tc>
        <w:tc>
          <w:tcPr>
            <w:tcW w:w="555" w:type="dxa"/>
            <w:vAlign w:val="top"/>
          </w:tcPr>
          <w:p>
            <w:pPr>
              <w:widowControl/>
              <w:jc w:val="left"/>
              <w:outlineLvl w:val="1"/>
              <w:rPr>
                <w:rFonts w:ascii="仿宋_GB2312" w:hAnsi="宋体" w:eastAsia="仿宋_GB2312"/>
                <w:color w:val="auto"/>
                <w:kern w:val="0"/>
                <w:sz w:val="18"/>
                <w:szCs w:val="18"/>
                <w:highlight w:val="none"/>
              </w:rPr>
            </w:pPr>
          </w:p>
        </w:tc>
        <w:tc>
          <w:tcPr>
            <w:tcW w:w="450" w:type="dxa"/>
            <w:vAlign w:val="top"/>
          </w:tcPr>
          <w:p>
            <w:pPr>
              <w:widowControl/>
              <w:jc w:val="left"/>
              <w:outlineLvl w:val="1"/>
              <w:rPr>
                <w:rFonts w:ascii="仿宋_GB2312" w:hAnsi="宋体" w:eastAsia="仿宋_GB2312"/>
                <w:color w:val="auto"/>
                <w:kern w:val="0"/>
                <w:sz w:val="18"/>
                <w:szCs w:val="18"/>
                <w:highlight w:val="none"/>
              </w:rPr>
            </w:pPr>
          </w:p>
        </w:tc>
        <w:tc>
          <w:tcPr>
            <w:tcW w:w="765" w:type="dxa"/>
            <w:vAlign w:val="top"/>
          </w:tcPr>
          <w:p>
            <w:pPr>
              <w:widowControl/>
              <w:jc w:val="left"/>
              <w:outlineLvl w:val="1"/>
              <w:rPr>
                <w:rFonts w:ascii="仿宋_GB2312" w:hAnsi="宋体" w:eastAsia="仿宋_GB2312"/>
                <w:color w:val="auto"/>
                <w:kern w:val="0"/>
                <w:sz w:val="18"/>
                <w:szCs w:val="18"/>
                <w:highlight w:val="none"/>
              </w:rPr>
            </w:pPr>
          </w:p>
        </w:tc>
        <w:tc>
          <w:tcPr>
            <w:tcW w:w="375" w:type="dxa"/>
            <w:vAlign w:val="top"/>
          </w:tcPr>
          <w:p>
            <w:pPr>
              <w:widowControl/>
              <w:jc w:val="left"/>
              <w:outlineLvl w:val="1"/>
              <w:rPr>
                <w:rFonts w:ascii="仿宋_GB2312" w:hAnsi="宋体" w:eastAsia="仿宋_GB2312"/>
                <w:color w:val="auto"/>
                <w:kern w:val="0"/>
                <w:sz w:val="18"/>
                <w:szCs w:val="18"/>
                <w:highlight w:val="none"/>
              </w:rPr>
            </w:pPr>
          </w:p>
        </w:tc>
        <w:tc>
          <w:tcPr>
            <w:tcW w:w="619" w:type="dxa"/>
            <w:vAlign w:val="top"/>
          </w:tcPr>
          <w:p>
            <w:pPr>
              <w:widowControl/>
              <w:jc w:val="left"/>
              <w:outlineLvl w:val="1"/>
              <w:rPr>
                <w:rFonts w:ascii="仿宋_GB2312" w:hAnsi="宋体" w:eastAsia="仿宋_GB2312"/>
                <w:color w:val="auto"/>
                <w:kern w:val="0"/>
                <w:sz w:val="18"/>
                <w:szCs w:val="18"/>
                <w:highlight w:val="none"/>
              </w:rPr>
            </w:pPr>
          </w:p>
        </w:tc>
        <w:tc>
          <w:tcPr>
            <w:tcW w:w="746" w:type="dxa"/>
            <w:vAlign w:val="top"/>
          </w:tcPr>
          <w:p>
            <w:pPr>
              <w:widowControl/>
              <w:jc w:val="left"/>
              <w:outlineLvl w:val="1"/>
              <w:rPr>
                <w:rFonts w:ascii="仿宋_GB2312" w:hAnsi="宋体" w:eastAsia="仿宋_GB2312"/>
                <w:color w:val="auto"/>
                <w:kern w:val="0"/>
                <w:sz w:val="18"/>
                <w:szCs w:val="18"/>
                <w:highlight w:val="none"/>
              </w:rPr>
            </w:pPr>
          </w:p>
        </w:tc>
        <w:tc>
          <w:tcPr>
            <w:tcW w:w="645" w:type="dxa"/>
            <w:vAlign w:val="top"/>
          </w:tcPr>
          <w:p>
            <w:pPr>
              <w:widowControl/>
              <w:jc w:val="left"/>
              <w:outlineLvl w:val="1"/>
              <w:rPr>
                <w:rFonts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2000.00</w:t>
            </w:r>
          </w:p>
        </w:tc>
        <w:tc>
          <w:tcPr>
            <w:tcW w:w="236" w:type="dxa"/>
            <w:vAlign w:val="top"/>
          </w:tcPr>
          <w:p>
            <w:pPr>
              <w:widowControl/>
              <w:jc w:val="left"/>
              <w:outlineLvl w:val="1"/>
              <w:rPr>
                <w:rFonts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22</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农业生产发展</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2025年优势特色产业集群棉花产业集群项目资金</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826.00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826.00</w:t>
            </w: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35</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农业生态资源保护</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2025年草原禁牧补助与草畜平衡奖励</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2617.12</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2617.12</w:t>
            </w: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35</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农业生态资源保护</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2025年农作物秸秆综合利用项目</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770.00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770.00</w:t>
            </w: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35</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农业生态资源保护</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2025年地膜科学使用回收项目</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450.00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450.00</w:t>
            </w: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48</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xml:space="preserve"> 渔业发展</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2025年中央成品油价格调整对渔业发展补助资金</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205.00</w:t>
            </w: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53</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耕地建设与利用</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呼图壁县第三次全国土壤普查工作县级配套资金（非定额）</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417.00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417.00</w:t>
            </w: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p>
        </w:tc>
        <w:tc>
          <w:tcPr>
            <w:tcW w:w="417"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53</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耕地建设与利用</w:t>
            </w:r>
          </w:p>
        </w:tc>
        <w:tc>
          <w:tcPr>
            <w:tcW w:w="1400" w:type="dxa"/>
            <w:vAlign w:val="top"/>
          </w:tcPr>
          <w:p>
            <w:pPr>
              <w:jc w:val="left"/>
              <w:rPr>
                <w:rFonts w:hint="eastAsia"/>
                <w:highlight w:val="none"/>
                <w:lang w:val="en-US" w:eastAsia="zh-CN"/>
              </w:rPr>
            </w:pPr>
            <w:r>
              <w:rPr>
                <w:rFonts w:hint="eastAsia" w:ascii="仿宋_GB2312" w:hAnsi="宋体" w:eastAsia="仿宋_GB2312"/>
                <w:color w:val="auto"/>
                <w:kern w:val="0"/>
                <w:sz w:val="18"/>
                <w:szCs w:val="18"/>
                <w:highlight w:val="none"/>
                <w:lang w:val="en-US" w:eastAsia="zh-CN"/>
              </w:rPr>
              <w:t>2025年高标准农田建设项目</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10132.00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10132.00</w:t>
            </w: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63"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05</w:t>
            </w:r>
          </w:p>
        </w:tc>
        <w:tc>
          <w:tcPr>
            <w:tcW w:w="417"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828"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农村基础设施建设</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2025年财政衔接推进乡村振兴补助资金</w:t>
            </w:r>
          </w:p>
        </w:tc>
        <w:tc>
          <w:tcPr>
            <w:tcW w:w="741"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2904.00</w:t>
            </w: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2904.00</w:t>
            </w: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center"/>
          </w:tcPr>
          <w:p>
            <w:pPr>
              <w:rPr>
                <w:rFonts w:hint="eastAsia" w:ascii="仿宋_GB2312" w:hAnsi="宋体" w:eastAsia="仿宋_GB2312"/>
                <w:color w:val="auto"/>
                <w:kern w:val="0"/>
                <w:sz w:val="18"/>
                <w:szCs w:val="18"/>
                <w:highlight w:val="none"/>
              </w:rPr>
            </w:pPr>
            <w:r>
              <w:rPr>
                <w:rFonts w:hint="eastAsia" w:ascii="仿宋_GB2312" w:eastAsia="仿宋_GB2312"/>
                <w:color w:val="auto"/>
                <w:sz w:val="16"/>
                <w:szCs w:val="16"/>
                <w:highlight w:val="none"/>
                <w:lang w:val="en-US" w:eastAsia="zh-CN"/>
              </w:rPr>
              <w:t>222</w:t>
            </w:r>
          </w:p>
        </w:tc>
        <w:tc>
          <w:tcPr>
            <w:tcW w:w="463" w:type="dxa"/>
            <w:vAlign w:val="center"/>
          </w:tcPr>
          <w:p>
            <w:pPr>
              <w:rPr>
                <w:rFonts w:hint="eastAsia" w:ascii="仿宋_GB2312" w:hAnsi="宋体" w:eastAsia="仿宋_GB2312"/>
                <w:color w:val="auto"/>
                <w:kern w:val="0"/>
                <w:sz w:val="18"/>
                <w:szCs w:val="18"/>
                <w:highlight w:val="none"/>
              </w:rPr>
            </w:pPr>
          </w:p>
        </w:tc>
        <w:tc>
          <w:tcPr>
            <w:tcW w:w="417" w:type="dxa"/>
            <w:vAlign w:val="center"/>
          </w:tcPr>
          <w:p>
            <w:pPr>
              <w:rPr>
                <w:rFonts w:hint="eastAsia" w:ascii="仿宋_GB2312" w:hAnsi="宋体" w:eastAsia="仿宋_GB2312"/>
                <w:color w:val="auto"/>
                <w:kern w:val="0"/>
                <w:sz w:val="18"/>
                <w:szCs w:val="18"/>
                <w:highlight w:val="none"/>
              </w:rPr>
            </w:pPr>
          </w:p>
        </w:tc>
        <w:tc>
          <w:tcPr>
            <w:tcW w:w="828" w:type="dxa"/>
            <w:vAlign w:val="center"/>
          </w:tcPr>
          <w:p>
            <w:pPr>
              <w:rPr>
                <w:rFonts w:hint="eastAsia" w:ascii="仿宋_GB2312" w:hAnsi="宋体" w:eastAsia="仿宋_GB2312"/>
                <w:color w:val="auto"/>
                <w:kern w:val="0"/>
                <w:sz w:val="18"/>
                <w:szCs w:val="18"/>
                <w:highlight w:val="none"/>
              </w:rPr>
            </w:pPr>
            <w:r>
              <w:rPr>
                <w:rFonts w:hint="eastAsia" w:ascii="仿宋_GB2312" w:eastAsia="仿宋_GB2312"/>
                <w:color w:val="auto"/>
                <w:sz w:val="16"/>
                <w:szCs w:val="16"/>
                <w:highlight w:val="none"/>
              </w:rPr>
              <w:t>粮油物资储备支出</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p>
        </w:tc>
        <w:tc>
          <w:tcPr>
            <w:tcW w:w="741" w:type="dxa"/>
            <w:vAlign w:val="top"/>
          </w:tcPr>
          <w:p>
            <w:pPr>
              <w:widowControl/>
              <w:jc w:val="left"/>
              <w:outlineLvl w:val="1"/>
              <w:rPr>
                <w:rFonts w:hint="eastAsia" w:ascii="仿宋_GB2312" w:hAnsi="宋体" w:eastAsia="仿宋_GB2312"/>
                <w:color w:val="auto"/>
                <w:kern w:val="0"/>
                <w:sz w:val="18"/>
                <w:szCs w:val="18"/>
                <w:highlight w:val="none"/>
              </w:rPr>
            </w:pP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center"/>
          </w:tcPr>
          <w:p>
            <w:pPr>
              <w:rPr>
                <w:rFonts w:hint="eastAsia" w:ascii="仿宋_GB2312" w:hAnsi="宋体" w:eastAsia="仿宋_GB2312"/>
                <w:color w:val="auto"/>
                <w:kern w:val="0"/>
                <w:sz w:val="18"/>
                <w:szCs w:val="18"/>
                <w:highlight w:val="none"/>
              </w:rPr>
            </w:pPr>
            <w:r>
              <w:rPr>
                <w:rFonts w:hint="eastAsia" w:ascii="仿宋_GB2312" w:eastAsia="仿宋_GB2312"/>
                <w:color w:val="auto"/>
                <w:sz w:val="16"/>
                <w:szCs w:val="16"/>
                <w:highlight w:val="none"/>
                <w:lang w:val="en-US" w:eastAsia="zh-CN"/>
              </w:rPr>
              <w:t>222</w:t>
            </w:r>
          </w:p>
        </w:tc>
        <w:tc>
          <w:tcPr>
            <w:tcW w:w="463" w:type="dxa"/>
            <w:vAlign w:val="center"/>
          </w:tcPr>
          <w:p>
            <w:pPr>
              <w:rPr>
                <w:rFonts w:hint="eastAsia" w:ascii="仿宋_GB2312" w:hAnsi="宋体" w:eastAsia="仿宋_GB2312"/>
                <w:color w:val="auto"/>
                <w:kern w:val="0"/>
                <w:sz w:val="18"/>
                <w:szCs w:val="18"/>
                <w:highlight w:val="none"/>
              </w:rPr>
            </w:pPr>
            <w:r>
              <w:rPr>
                <w:rFonts w:hint="eastAsia" w:ascii="仿宋_GB2312" w:eastAsia="仿宋_GB2312"/>
                <w:color w:val="auto"/>
                <w:sz w:val="16"/>
                <w:szCs w:val="16"/>
                <w:highlight w:val="none"/>
                <w:lang w:val="en-US" w:eastAsia="zh-CN"/>
              </w:rPr>
              <w:t>01</w:t>
            </w:r>
          </w:p>
        </w:tc>
        <w:tc>
          <w:tcPr>
            <w:tcW w:w="417" w:type="dxa"/>
            <w:vAlign w:val="center"/>
          </w:tcPr>
          <w:p>
            <w:pPr>
              <w:rPr>
                <w:rFonts w:hint="eastAsia" w:ascii="仿宋_GB2312" w:hAnsi="宋体" w:eastAsia="仿宋_GB2312"/>
                <w:color w:val="auto"/>
                <w:kern w:val="0"/>
                <w:sz w:val="18"/>
                <w:szCs w:val="18"/>
                <w:highlight w:val="none"/>
              </w:rPr>
            </w:pPr>
          </w:p>
        </w:tc>
        <w:tc>
          <w:tcPr>
            <w:tcW w:w="828" w:type="dxa"/>
            <w:vAlign w:val="center"/>
          </w:tcPr>
          <w:p>
            <w:pPr>
              <w:rPr>
                <w:rFonts w:hint="eastAsia" w:ascii="仿宋_GB2312" w:hAnsi="宋体" w:eastAsia="仿宋_GB2312"/>
                <w:color w:val="auto"/>
                <w:kern w:val="0"/>
                <w:sz w:val="18"/>
                <w:szCs w:val="18"/>
                <w:highlight w:val="none"/>
              </w:rPr>
            </w:pPr>
            <w:r>
              <w:rPr>
                <w:rFonts w:hint="eastAsia" w:ascii="仿宋_GB2312" w:eastAsia="仿宋_GB2312"/>
                <w:color w:val="auto"/>
                <w:sz w:val="16"/>
                <w:szCs w:val="16"/>
                <w:highlight w:val="none"/>
              </w:rPr>
              <w:t>粮油物资事务</w:t>
            </w:r>
          </w:p>
        </w:tc>
        <w:tc>
          <w:tcPr>
            <w:tcW w:w="1400" w:type="dxa"/>
            <w:vAlign w:val="top"/>
          </w:tcPr>
          <w:p>
            <w:pPr>
              <w:widowControl/>
              <w:jc w:val="left"/>
              <w:outlineLvl w:val="1"/>
              <w:rPr>
                <w:rFonts w:hint="eastAsia" w:ascii="仿宋_GB2312" w:hAnsi="宋体" w:eastAsia="仿宋_GB2312"/>
                <w:color w:val="auto"/>
                <w:kern w:val="0"/>
                <w:sz w:val="18"/>
                <w:szCs w:val="18"/>
                <w:highlight w:val="none"/>
              </w:rPr>
            </w:pPr>
          </w:p>
        </w:tc>
        <w:tc>
          <w:tcPr>
            <w:tcW w:w="741" w:type="dxa"/>
            <w:vAlign w:val="top"/>
          </w:tcPr>
          <w:p>
            <w:pPr>
              <w:widowControl/>
              <w:jc w:val="left"/>
              <w:outlineLvl w:val="1"/>
              <w:rPr>
                <w:rFonts w:hint="eastAsia" w:ascii="仿宋_GB2312" w:hAnsi="宋体" w:eastAsia="仿宋_GB2312"/>
                <w:color w:val="auto"/>
                <w:kern w:val="0"/>
                <w:sz w:val="18"/>
                <w:szCs w:val="18"/>
                <w:highlight w:val="none"/>
              </w:rPr>
            </w:pPr>
          </w:p>
        </w:tc>
        <w:tc>
          <w:tcPr>
            <w:tcW w:w="555" w:type="dxa"/>
            <w:vAlign w:val="top"/>
          </w:tcPr>
          <w:p>
            <w:pPr>
              <w:widowControl/>
              <w:jc w:val="left"/>
              <w:outlineLvl w:val="1"/>
              <w:rPr>
                <w:rFonts w:hint="eastAsia" w:ascii="仿宋_GB2312" w:hAnsi="宋体" w:eastAsia="仿宋_GB2312"/>
                <w:color w:val="auto"/>
                <w:kern w:val="0"/>
                <w:sz w:val="18"/>
                <w:szCs w:val="18"/>
                <w:highlight w:val="none"/>
              </w:rPr>
            </w:pPr>
          </w:p>
        </w:tc>
        <w:tc>
          <w:tcPr>
            <w:tcW w:w="450" w:type="dxa"/>
            <w:vAlign w:val="top"/>
          </w:tcPr>
          <w:p>
            <w:pPr>
              <w:widowControl/>
              <w:jc w:val="left"/>
              <w:outlineLvl w:val="1"/>
              <w:rPr>
                <w:rFonts w:hint="eastAsia" w:ascii="仿宋_GB2312" w:hAnsi="宋体" w:eastAsia="仿宋_GB2312"/>
                <w:color w:val="auto"/>
                <w:kern w:val="0"/>
                <w:sz w:val="18"/>
                <w:szCs w:val="18"/>
                <w:highlight w:val="none"/>
              </w:rPr>
            </w:pPr>
          </w:p>
        </w:tc>
        <w:tc>
          <w:tcPr>
            <w:tcW w:w="765" w:type="dxa"/>
            <w:vAlign w:val="top"/>
          </w:tcPr>
          <w:p>
            <w:pPr>
              <w:widowControl/>
              <w:jc w:val="left"/>
              <w:outlineLvl w:val="1"/>
              <w:rPr>
                <w:rFonts w:hint="eastAsia" w:ascii="仿宋_GB2312" w:hAnsi="宋体" w:eastAsia="仿宋_GB2312"/>
                <w:color w:val="auto"/>
                <w:kern w:val="0"/>
                <w:sz w:val="18"/>
                <w:szCs w:val="18"/>
                <w:highlight w:val="none"/>
              </w:rPr>
            </w:pPr>
          </w:p>
        </w:tc>
        <w:tc>
          <w:tcPr>
            <w:tcW w:w="375" w:type="dxa"/>
            <w:vAlign w:val="top"/>
          </w:tcPr>
          <w:p>
            <w:pPr>
              <w:widowControl/>
              <w:jc w:val="left"/>
              <w:outlineLvl w:val="1"/>
              <w:rPr>
                <w:rFonts w:hint="eastAsia" w:ascii="仿宋_GB2312" w:hAnsi="宋体" w:eastAsia="仿宋_GB2312"/>
                <w:color w:val="auto"/>
                <w:kern w:val="0"/>
                <w:sz w:val="18"/>
                <w:szCs w:val="18"/>
                <w:highlight w:val="none"/>
              </w:rPr>
            </w:pPr>
          </w:p>
        </w:tc>
        <w:tc>
          <w:tcPr>
            <w:tcW w:w="619" w:type="dxa"/>
            <w:vAlign w:val="top"/>
          </w:tcPr>
          <w:p>
            <w:pPr>
              <w:widowControl/>
              <w:jc w:val="left"/>
              <w:outlineLvl w:val="1"/>
              <w:rPr>
                <w:rFonts w:hint="eastAsia" w:ascii="仿宋_GB2312" w:hAnsi="宋体" w:eastAsia="仿宋_GB2312"/>
                <w:color w:val="auto"/>
                <w:kern w:val="0"/>
                <w:sz w:val="18"/>
                <w:szCs w:val="18"/>
                <w:highlight w:val="none"/>
              </w:rPr>
            </w:pPr>
          </w:p>
        </w:tc>
        <w:tc>
          <w:tcPr>
            <w:tcW w:w="746" w:type="dxa"/>
            <w:vAlign w:val="top"/>
          </w:tcPr>
          <w:p>
            <w:pPr>
              <w:widowControl/>
              <w:jc w:val="left"/>
              <w:outlineLvl w:val="1"/>
              <w:rPr>
                <w:rFonts w:hint="eastAsia" w:ascii="仿宋_GB2312" w:hAnsi="宋体" w:eastAsia="仿宋_GB2312"/>
                <w:color w:val="auto"/>
                <w:kern w:val="0"/>
                <w:sz w:val="18"/>
                <w:szCs w:val="18"/>
                <w:highlight w:val="none"/>
              </w:rPr>
            </w:pPr>
          </w:p>
        </w:tc>
        <w:tc>
          <w:tcPr>
            <w:tcW w:w="645" w:type="dxa"/>
            <w:vAlign w:val="top"/>
          </w:tcPr>
          <w:p>
            <w:pPr>
              <w:widowControl/>
              <w:jc w:val="left"/>
              <w:outlineLvl w:val="1"/>
              <w:rPr>
                <w:rFonts w:hint="eastAsia" w:ascii="仿宋_GB2312" w:hAnsi="宋体" w:eastAsia="仿宋_GB2312"/>
                <w:color w:val="auto"/>
                <w:kern w:val="0"/>
                <w:sz w:val="18"/>
                <w:szCs w:val="18"/>
                <w:highlight w:val="none"/>
              </w:rPr>
            </w:pPr>
          </w:p>
        </w:tc>
        <w:tc>
          <w:tcPr>
            <w:tcW w:w="480" w:type="dxa"/>
            <w:vAlign w:val="top"/>
          </w:tcPr>
          <w:p>
            <w:pPr>
              <w:widowControl/>
              <w:jc w:val="left"/>
              <w:outlineLvl w:val="1"/>
              <w:rPr>
                <w:rFonts w:hint="eastAsia" w:ascii="仿宋_GB2312" w:hAnsi="宋体" w:eastAsia="仿宋_GB2312"/>
                <w:color w:val="auto"/>
                <w:kern w:val="0"/>
                <w:sz w:val="18"/>
                <w:szCs w:val="18"/>
                <w:highlight w:val="none"/>
              </w:rPr>
            </w:pPr>
          </w:p>
        </w:tc>
        <w:tc>
          <w:tcPr>
            <w:tcW w:w="236" w:type="dxa"/>
            <w:vAlign w:val="top"/>
          </w:tcPr>
          <w:p>
            <w:pPr>
              <w:widowControl/>
              <w:jc w:val="left"/>
              <w:outlineLvl w:val="1"/>
              <w:rPr>
                <w:rFonts w:hint="eastAsia" w:ascii="仿宋_GB2312" w:hAnsi="宋体" w:eastAsia="仿宋_GB2312"/>
                <w:color w:val="auto"/>
                <w:kern w:val="0"/>
                <w:sz w:val="18"/>
                <w:szCs w:val="18"/>
                <w:highlight w:val="none"/>
              </w:rPr>
            </w:pPr>
          </w:p>
        </w:tc>
        <w:tc>
          <w:tcPr>
            <w:tcW w:w="1160" w:type="dxa"/>
            <w:gridSpan w:val="2"/>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6"/>
                <w:szCs w:val="16"/>
                <w:highlight w:val="none"/>
                <w:lang w:val="en-US" w:eastAsia="zh-CN"/>
              </w:rPr>
              <w:t>222</w:t>
            </w:r>
          </w:p>
        </w:tc>
        <w:tc>
          <w:tcPr>
            <w:tcW w:w="463"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6"/>
                <w:szCs w:val="16"/>
                <w:highlight w:val="none"/>
                <w:lang w:val="en-US" w:eastAsia="zh-CN"/>
              </w:rPr>
              <w:t>01</w:t>
            </w:r>
          </w:p>
        </w:tc>
        <w:tc>
          <w:tcPr>
            <w:tcW w:w="417"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6"/>
                <w:szCs w:val="16"/>
                <w:highlight w:val="none"/>
                <w:lang w:val="en-US" w:eastAsia="zh-CN"/>
              </w:rPr>
              <w:t>99</w:t>
            </w:r>
          </w:p>
        </w:tc>
        <w:tc>
          <w:tcPr>
            <w:tcW w:w="828" w:type="dxa"/>
            <w:vAlign w:val="center"/>
          </w:tcPr>
          <w:p>
            <w:pPr>
              <w:rPr>
                <w:rFonts w:ascii="仿宋_GB2312" w:hAnsi="宋体" w:eastAsia="仿宋_GB2312"/>
                <w:color w:val="auto"/>
                <w:kern w:val="0"/>
                <w:sz w:val="18"/>
                <w:szCs w:val="18"/>
                <w:highlight w:val="none"/>
              </w:rPr>
            </w:pPr>
            <w:r>
              <w:rPr>
                <w:rFonts w:hint="eastAsia" w:ascii="仿宋_GB2312" w:eastAsia="仿宋_GB2312"/>
                <w:color w:val="auto"/>
                <w:sz w:val="16"/>
                <w:szCs w:val="16"/>
                <w:highlight w:val="none"/>
              </w:rPr>
              <w:t>其他粮油物资事务支出</w:t>
            </w:r>
          </w:p>
        </w:tc>
        <w:tc>
          <w:tcPr>
            <w:tcW w:w="140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2025年中央产粮大县奖励资金</w:t>
            </w:r>
          </w:p>
        </w:tc>
        <w:tc>
          <w:tcPr>
            <w:tcW w:w="741"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226.25</w:t>
            </w:r>
          </w:p>
        </w:tc>
        <w:tc>
          <w:tcPr>
            <w:tcW w:w="55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6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7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9"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4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226.25</w:t>
            </w:r>
          </w:p>
        </w:tc>
        <w:tc>
          <w:tcPr>
            <w:tcW w:w="23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60" w:type="dxa"/>
            <w:gridSpan w:val="2"/>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1" w:type="dxa"/>
            <w:gridSpan w:val="3"/>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63"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8"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400" w:type="dxa"/>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41" w:type="dxa"/>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24116.65</w:t>
            </w:r>
          </w:p>
        </w:tc>
        <w:tc>
          <w:tcPr>
            <w:tcW w:w="55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70.00</w:t>
            </w:r>
          </w:p>
        </w:tc>
        <w:tc>
          <w:tcPr>
            <w:tcW w:w="45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599.78</w:t>
            </w:r>
            <w:r>
              <w:rPr>
                <w:rFonts w:hint="eastAsia" w:ascii="仿宋_GB2312" w:hAnsi="宋体" w:eastAsia="仿宋_GB2312"/>
                <w:color w:val="auto"/>
                <w:kern w:val="0"/>
                <w:sz w:val="18"/>
                <w:szCs w:val="18"/>
                <w:highlight w:val="none"/>
              </w:rPr>
              <w:t>　</w:t>
            </w:r>
          </w:p>
        </w:tc>
        <w:tc>
          <w:tcPr>
            <w:tcW w:w="76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7257.12</w:t>
            </w:r>
          </w:p>
        </w:tc>
        <w:tc>
          <w:tcPr>
            <w:tcW w:w="37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9"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13037.5</w:t>
            </w:r>
          </w:p>
        </w:tc>
        <w:tc>
          <w:tcPr>
            <w:tcW w:w="645"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3152.25</w:t>
            </w:r>
          </w:p>
        </w:tc>
        <w:tc>
          <w:tcPr>
            <w:tcW w:w="236" w:type="dxa"/>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60" w:type="dxa"/>
            <w:gridSpan w:val="2"/>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呼图壁县农业农村局</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说明：本单位2025年没有政府性基金预算支出情况，该表为空表。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说明：本单位2025年没有国有资本经营预算支出，该表为空表。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w:t>
      </w:r>
    </w:p>
    <w:tbl>
      <w:tblPr>
        <w:tblStyle w:val="11"/>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eastAsia="zh-CN"/>
              </w:rPr>
              <w:t>11.20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eastAsia="zh-CN"/>
              </w:rPr>
              <w:t>11.20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eastAsia="zh-CN"/>
              </w:rPr>
              <w:t>11.20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              </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spacing w:val="-20"/>
                <w:kern w:val="0"/>
                <w:sz w:val="18"/>
                <w:szCs w:val="18"/>
                <w:highlight w:val="none"/>
              </w:rPr>
              <w:t>2024年第一批自治区预算内投资-2024年呼图壁县优质棉基地建设项目前期费</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150.00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150.00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150.00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调整下达2024年度中央大气污染防治资金（第二批）-呼图壁县2024年农业生产领域燃煤设施清洁能源改造补助项目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272.12</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272.12</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272.12</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追加拨付2024年自治区“乌-昌-石”区域大气环境整治奖补资金-呼图壁县2023年度农业生产领域燃煤设备改造补助</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156.60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156.60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156.60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2024年中央农业防灾减灾和水利救灾 资金（防灾救灾第十四批）-2024年购买调运储备防灾饲草料补助资金</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45.00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45.00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45.00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2024年昌吉州耕地地力保护补贴资金</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118.56</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118.56</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118.56</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2024年中央农业产业发展资金-2024年畜牧业生产奶业生产能力提升整县推进项目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100.00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100.00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100.00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2024年中央农业产业发展资金-2024年中央农机购置补贴项目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0.02</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0.02</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0.02</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2024年自治区农业产业化重点龙头企业贷款贴息资金</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293.30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293.30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293.30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2024年中央农业生态资源保护资金-农作物秸秆综合利用项目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31.83</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31.83</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31.83</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2024年中央农业生态资源保护资金-地膜科学使用回收项目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751.80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751.80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751.80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2024年高标准农田建设补助项目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1985.73</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1985.73</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1985.73</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2024年访惠聚为民办实事--村级支出</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30.00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30.00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30.00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2024年末级渠系建设州本级第一批奖补资金-呼图壁县高标准农田配套水利基础设施末级渠系改造项目奖补资金</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1283.27</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1283.27</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1283.27</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2024年自治区第八批地方政府债券转贷资金-呼图壁县乡村振兴农村基础设施及公共服务建设项目（五期）</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478.72</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478.72</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478.72</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2024年中央土地指标跨省域调剂收入安排的支出预算（支持农村厕所革命整村推进财政奖补）</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18.30</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18.30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18.30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2024年自治区第八批地方政府债券转贷资金-呼图壁县农村生活污水治理基础设施建设项目</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1594.70</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1594.70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1594.70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昌州财农（2023）53号--2024年自治区衔接资金农村道路公共照明设施建设项目</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13.21</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13.21</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13.21</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2024年自治区第八批地方政府债券转贷资金-呼图壁县农田水利建设工程</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3360.11</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3360.11</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3360.11</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2024年自治区第八批地方政府债券转贷资金-呼图壁县农村生活污水治理项目</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576.66</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576.66</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576.66</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2024年自治区财政衔接推进乡村振兴补助项目-呼图壁县2024年二十里店镇人居环境提升建设项目</w:t>
            </w: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5.49</w:t>
            </w: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5.49</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5.49</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2024年超长期特别国债支持农业机械报废更新资金</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1.54</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1.54</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1.54</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2024年自治区第十批地方政府债券转贷资金-呼图壁县万头牛农业养殖基地基础设施建设项目</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14000.00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14000.00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14000.00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2024年自治区第十批地方政府债券转贷资金-呼图壁县高产奶牛标准化养殖基地建设项目</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仿宋" w:hAnsi="仿宋" w:eastAsia="仿宋" w:cs="仿宋_GB2312"/>
                <w:bCs/>
                <w:color w:val="auto"/>
                <w:spacing w:val="-20"/>
                <w:kern w:val="0"/>
                <w:sz w:val="18"/>
                <w:szCs w:val="18"/>
                <w:highlight w:val="none"/>
                <w:lang w:val="en-US" w:eastAsia="zh-CN"/>
              </w:rPr>
            </w:pPr>
            <w:r>
              <w:rPr>
                <w:rFonts w:hint="eastAsia" w:ascii="仿宋" w:hAnsi="仿宋" w:eastAsia="仿宋" w:cs="仿宋_GB2312"/>
                <w:bCs/>
                <w:color w:val="auto"/>
                <w:spacing w:val="-20"/>
                <w:kern w:val="0"/>
                <w:sz w:val="18"/>
                <w:szCs w:val="18"/>
                <w:highlight w:val="none"/>
                <w:lang w:val="en-US" w:eastAsia="zh-CN"/>
              </w:rPr>
              <w:t>8706.86</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spacing w:val="-20"/>
                <w:kern w:val="0"/>
                <w:sz w:val="18"/>
                <w:szCs w:val="18"/>
                <w:highlight w:val="none"/>
                <w:lang w:val="en-US" w:eastAsia="zh-CN"/>
              </w:rPr>
              <w:t>8706.86</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spacing w:val="-20"/>
                <w:kern w:val="0"/>
                <w:sz w:val="18"/>
                <w:szCs w:val="18"/>
                <w:highlight w:val="none"/>
                <w:lang w:val="en-US" w:eastAsia="zh-CN"/>
              </w:rPr>
              <w:t>8706.86</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 w:hAnsi="仿宋" w:eastAsia="仿宋" w:cs="仿宋_GB2312"/>
                <w:bCs/>
                <w:color w:val="auto"/>
                <w:spacing w:val="-20"/>
                <w:kern w:val="0"/>
                <w:sz w:val="18"/>
                <w:szCs w:val="18"/>
                <w:highlight w:val="none"/>
              </w:rPr>
            </w:pPr>
            <w:r>
              <w:rPr>
                <w:rFonts w:hint="eastAsia" w:ascii="仿宋" w:hAnsi="仿宋" w:eastAsia="仿宋" w:cs="仿宋_GB2312"/>
                <w:bCs/>
                <w:color w:val="auto"/>
                <w:spacing w:val="-20"/>
                <w:kern w:val="0"/>
                <w:sz w:val="18"/>
                <w:szCs w:val="18"/>
                <w:highlight w:val="none"/>
              </w:rPr>
              <w:t>2024年自治区第十批地方政府债券转贷资金-昌吉州呼图壁县冷链物流中心建设项目（二期）</w:t>
            </w:r>
          </w:p>
        </w:tc>
        <w:tc>
          <w:tcPr>
            <w:tcW w:w="850"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8000.00</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8000.00</w:t>
            </w:r>
          </w:p>
        </w:tc>
        <w:tc>
          <w:tcPr>
            <w:tcW w:w="890"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8000.00</w:t>
            </w: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723" w:type="dxa"/>
            <w:vAlign w:val="center"/>
          </w:tcPr>
          <w:p>
            <w:pPr>
              <w:spacing w:line="600" w:lineRule="exact"/>
              <w:jc w:val="center"/>
              <w:rPr>
                <w:rFonts w:ascii="仿宋" w:hAnsi="仿宋" w:eastAsia="仿宋" w:cs="仿宋_GB2312"/>
                <w:bCs/>
                <w:color w:val="auto"/>
                <w:kern w:val="0"/>
                <w:sz w:val="18"/>
                <w:szCs w:val="18"/>
                <w:highlight w:val="none"/>
              </w:rPr>
            </w:pPr>
          </w:p>
        </w:tc>
        <w:tc>
          <w:tcPr>
            <w:tcW w:w="88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42103.98</w:t>
            </w:r>
          </w:p>
        </w:tc>
        <w:tc>
          <w:tcPr>
            <w:tcW w:w="89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714"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42103.98</w:t>
            </w:r>
          </w:p>
        </w:tc>
        <w:tc>
          <w:tcPr>
            <w:tcW w:w="79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呼图壁县农业农村局2025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呼图壁县农业农村局2025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68435.94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支出预算包括：一般公共服务支出、社会保障和就业支出、卫生健康支出、节能环保支出、农林水支出、资源勘探</w:t>
      </w:r>
      <w:r>
        <w:rPr>
          <w:rFonts w:hint="eastAsia" w:ascii="仿宋_GB2312" w:hAnsi="宋体" w:eastAsia="仿宋_GB2312" w:cs="宋体"/>
          <w:color w:val="auto"/>
          <w:kern w:val="0"/>
          <w:sz w:val="32"/>
          <w:szCs w:val="32"/>
          <w:highlight w:val="none"/>
          <w:lang w:val="en-US" w:eastAsia="zh-Hans"/>
        </w:rPr>
        <w:t>工业</w:t>
      </w:r>
      <w:r>
        <w:rPr>
          <w:rFonts w:hint="eastAsia" w:ascii="仿宋_GB2312" w:hAnsi="宋体" w:eastAsia="仿宋_GB2312" w:cs="宋体"/>
          <w:color w:val="auto"/>
          <w:kern w:val="0"/>
          <w:sz w:val="32"/>
          <w:szCs w:val="32"/>
          <w:highlight w:val="none"/>
        </w:rPr>
        <w:t>信息等支出、住房保障支出、粮油物资储备支出、其他支出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呼图壁县农业农村局2025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呼图壁县农业农村局</w:t>
      </w:r>
      <w:r>
        <w:rPr>
          <w:rFonts w:hint="eastAsia" w:ascii="仿宋_GB2312" w:hAnsi="宋体" w:eastAsia="仿宋_GB2312" w:cs="宋体"/>
          <w:color w:val="auto"/>
          <w:kern w:val="0"/>
          <w:sz w:val="32"/>
          <w:szCs w:val="32"/>
          <w:highlight w:val="none"/>
        </w:rPr>
        <w:t>收入预算68435.94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一般公共预算1600.31万元，占</w:t>
      </w:r>
      <w:r>
        <w:rPr>
          <w:rFonts w:hint="eastAsia" w:ascii="仿宋_GB2312" w:hAnsi="宋体" w:eastAsia="仿宋_GB2312" w:cs="宋体"/>
          <w:color w:val="auto"/>
          <w:kern w:val="0"/>
          <w:sz w:val="32"/>
          <w:szCs w:val="32"/>
          <w:highlight w:val="none"/>
          <w:lang w:val="en-US" w:eastAsia="zh-CN"/>
        </w:rPr>
        <w:t>2.34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13264.11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89.23%，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本年耕地力保护补贴项目资金、高标准农田项目资金、农机购置补贴等项目资金从</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列支。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lang w:val="en-US" w:eastAsia="zh-CN"/>
        </w:rPr>
        <w:t>资金23530.65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34.38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9795.26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71.31%，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本年项目中增加了草原禁牧补助与草畜平衡奖励资金、农作物秸秆综合利用项目资金、渔业发展补助资金、</w:t>
      </w:r>
      <w:r>
        <w:rPr>
          <w:rFonts w:hint="eastAsia" w:ascii="仿宋_GB2312" w:hAnsi="宋体" w:eastAsia="仿宋_GB2312" w:cs="宋体"/>
          <w:color w:val="auto"/>
          <w:kern w:val="0"/>
          <w:sz w:val="32"/>
          <w:szCs w:val="32"/>
          <w:highlight w:val="none"/>
        </w:rPr>
        <w:t>农业生产领域燃煤设施清洁能源改造补助项目</w:t>
      </w:r>
      <w:r>
        <w:rPr>
          <w:rFonts w:hint="eastAsia" w:ascii="仿宋_GB2312" w:hAnsi="宋体" w:eastAsia="仿宋_GB2312" w:cs="宋体"/>
          <w:color w:val="auto"/>
          <w:kern w:val="0"/>
          <w:sz w:val="32"/>
          <w:szCs w:val="32"/>
          <w:highlight w:val="none"/>
          <w:lang w:val="en-US" w:eastAsia="zh-CN"/>
        </w:rPr>
        <w:t>等资金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1201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项目中减少了世行贷款还款资金。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42103.98万元，占</w:t>
      </w:r>
      <w:r>
        <w:rPr>
          <w:rFonts w:hint="eastAsia" w:ascii="仿宋_GB2312" w:hAnsi="宋体" w:eastAsia="仿宋_GB2312" w:cs="宋体"/>
          <w:color w:val="auto"/>
          <w:kern w:val="0"/>
          <w:sz w:val="32"/>
          <w:szCs w:val="32"/>
          <w:highlight w:val="none"/>
          <w:lang w:val="en-US" w:eastAsia="zh-CN"/>
        </w:rPr>
        <w:t>61.52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增加40098.94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增长1999.91%，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2024年年中新</w:t>
      </w:r>
      <w:r>
        <w:rPr>
          <w:rFonts w:hint="eastAsia" w:ascii="仿宋_GB2312" w:hAnsi="宋体" w:eastAsia="仿宋_GB2312" w:cs="宋体"/>
          <w:color w:val="auto"/>
          <w:kern w:val="0"/>
          <w:sz w:val="32"/>
          <w:szCs w:val="32"/>
          <w:highlight w:val="none"/>
          <w:shd w:val="clear" w:fill="FFFFFF" w:themeFill="background1"/>
          <w:lang w:val="en-US" w:eastAsia="zh-CN"/>
        </w:rPr>
        <w:t>增高产奶牛农业养殖基地建设项目、万头牛养殖基地基础设施建设项目、农田水利建设等项目，项目年内未完工，</w:t>
      </w:r>
      <w:r>
        <w:rPr>
          <w:rFonts w:hint="eastAsia" w:ascii="仿宋_GB2312" w:hAnsi="宋体" w:eastAsia="仿宋_GB2312" w:cs="宋体"/>
          <w:color w:val="auto"/>
          <w:kern w:val="0"/>
          <w:sz w:val="32"/>
          <w:szCs w:val="32"/>
          <w:highlight w:val="none"/>
          <w:lang w:val="en-US" w:eastAsia="zh-CN"/>
        </w:rPr>
        <w:t>结转指标较多。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呼图壁县农业农村局2025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呼图壁县农业农村局2025</w:t>
      </w:r>
      <w:r>
        <w:rPr>
          <w:rFonts w:hint="eastAsia" w:ascii="仿宋_GB2312" w:hAnsi="宋体" w:eastAsia="仿宋_GB2312" w:cs="宋体"/>
          <w:color w:val="auto"/>
          <w:kern w:val="0"/>
          <w:sz w:val="32"/>
          <w:szCs w:val="32"/>
          <w:highlight w:val="none"/>
        </w:rPr>
        <w:t>年支出预算68435.94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1465.31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57.72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3.79%，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单位资金预算中社保、公积金等单位部分减少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66970.63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97.86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50368.2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303.38%，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本年结转了上年</w:t>
      </w:r>
      <w:r>
        <w:rPr>
          <w:rFonts w:hint="eastAsia" w:ascii="仿宋_GB2312" w:hAnsi="宋体" w:eastAsia="仿宋_GB2312" w:cs="宋体"/>
          <w:color w:val="auto"/>
          <w:kern w:val="0"/>
          <w:sz w:val="32"/>
          <w:szCs w:val="32"/>
          <w:highlight w:val="none"/>
          <w:lang w:val="en-US" w:eastAsia="zh-CN"/>
        </w:rPr>
        <w:t>高产奶牛农业养殖基地建设项目、万头牛养殖基地基础设施建设项目、农田水利建设等项目指标；本年项目中增加了草原禁牧补助与草畜平衡奖励资金、农作物秸秆综合利用项目资金、渔业发展补助资金、</w:t>
      </w:r>
      <w:r>
        <w:rPr>
          <w:rFonts w:hint="eastAsia" w:ascii="仿宋_GB2312" w:hAnsi="宋体" w:eastAsia="仿宋_GB2312" w:cs="宋体"/>
          <w:color w:val="auto"/>
          <w:kern w:val="0"/>
          <w:sz w:val="32"/>
          <w:szCs w:val="32"/>
          <w:highlight w:val="none"/>
        </w:rPr>
        <w:t>农业生产领域燃煤设施清洁能源改造补助项目</w:t>
      </w:r>
      <w:r>
        <w:rPr>
          <w:rFonts w:hint="eastAsia" w:ascii="仿宋_GB2312" w:hAnsi="宋体" w:eastAsia="仿宋_GB2312" w:cs="宋体"/>
          <w:color w:val="auto"/>
          <w:kern w:val="0"/>
          <w:sz w:val="32"/>
          <w:szCs w:val="32"/>
          <w:highlight w:val="none"/>
          <w:lang w:val="en-US" w:eastAsia="zh-CN"/>
        </w:rPr>
        <w:t>等资金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呼图壁县农业农村局2025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年财政拨款收支总预算25130.96万元。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25130.96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社会保障和就业支出136.38万元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CN"/>
        </w:rPr>
        <w:t>主要用于在职职工社保费用支出；卫生健康支出73.36万元，主要用于职工医疗费用支出；</w:t>
      </w:r>
      <w:r>
        <w:rPr>
          <w:rFonts w:hint="eastAsia" w:ascii="仿宋_GB2312" w:hAnsi="宋体" w:eastAsia="仿宋_GB2312" w:cs="宋体"/>
          <w:kern w:val="0"/>
          <w:sz w:val="32"/>
          <w:szCs w:val="32"/>
          <w:highlight w:val="none"/>
          <w:lang w:eastAsia="zh-CN"/>
        </w:rPr>
        <w:t>农林水支出</w:t>
      </w:r>
      <w:r>
        <w:rPr>
          <w:rFonts w:hint="eastAsia" w:ascii="仿宋_GB2312" w:hAnsi="宋体" w:eastAsia="仿宋_GB2312" w:cs="宋体"/>
          <w:kern w:val="0"/>
          <w:sz w:val="32"/>
          <w:szCs w:val="32"/>
          <w:highlight w:val="none"/>
          <w:lang w:val="en-US" w:eastAsia="zh-CN"/>
        </w:rPr>
        <w:t>24614.74万元，主要用于在职干部职工的工资福利，退休职工的交通费、奖励金、医保费等，保证机关正常办公的商品和服务支出、村级防疫员工资县级配套项目资金、以及农业农村项目支出；住房保障支出80.23万元，主要用于职工住房公积金费用支出；粮油物资储备支出226.25万元，主要用于2025年产粮大县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呼图壁县农业农村局2025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呼图壁县农业农村局2025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25130.96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1014.32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2.72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0.27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本年遗属减少1人，生活补助减少，基本支出减少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24116.65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10269.25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74.16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本年项目中增加了草原禁牧补助与草畜平衡奖励资金、农作物秸秆综合利用项目资金、渔业发展补助资金、</w:t>
      </w:r>
      <w:r>
        <w:rPr>
          <w:rFonts w:hint="eastAsia" w:ascii="仿宋_GB2312" w:hAnsi="宋体" w:eastAsia="仿宋_GB2312" w:cs="宋体"/>
          <w:color w:val="auto"/>
          <w:kern w:val="0"/>
          <w:sz w:val="32"/>
          <w:szCs w:val="32"/>
          <w:highlight w:val="none"/>
        </w:rPr>
        <w:t>农业生产领域燃煤设施清洁能源改造补助项目</w:t>
      </w:r>
      <w:r>
        <w:rPr>
          <w:rFonts w:hint="eastAsia" w:ascii="仿宋_GB2312" w:hAnsi="宋体" w:eastAsia="仿宋_GB2312" w:cs="宋体"/>
          <w:color w:val="auto"/>
          <w:kern w:val="0"/>
          <w:sz w:val="32"/>
          <w:szCs w:val="32"/>
          <w:highlight w:val="none"/>
          <w:lang w:val="en-US" w:eastAsia="zh-CN"/>
        </w:rPr>
        <w:t>等资金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highlight w:val="none"/>
        </w:rPr>
        <w:t>1.</w:t>
      </w:r>
      <w:r>
        <w:rPr>
          <w:rFonts w:hint="eastAsia" w:ascii="仿宋_GB2312" w:hAnsi="宋体" w:eastAsia="仿宋_GB2312" w:cs="宋体"/>
          <w:kern w:val="0"/>
          <w:sz w:val="32"/>
          <w:szCs w:val="32"/>
          <w:highlight w:val="none"/>
          <w:lang w:val="en-US" w:eastAsia="zh-CN"/>
        </w:rPr>
        <w:t>社会保障和就业支出（类）136.38万元，占0.54%；</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2.卫生健康支出（类）73.36万元，占</w:t>
      </w:r>
      <w:r>
        <w:rPr>
          <w:rFonts w:hint="eastAsia" w:ascii="仿宋_GB2312" w:hAnsi="宋体" w:eastAsia="仿宋_GB2312" w:cs="宋体"/>
          <w:color w:val="auto"/>
          <w:kern w:val="0"/>
          <w:sz w:val="32"/>
          <w:szCs w:val="32"/>
          <w:highlight w:val="none"/>
          <w:lang w:val="en-US" w:eastAsia="zh-CN"/>
        </w:rPr>
        <w:t>0.29%；</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lang w:eastAsia="zh-CN"/>
        </w:rPr>
        <w:t>农林水支出</w:t>
      </w:r>
      <w:r>
        <w:rPr>
          <w:rFonts w:hint="eastAsia" w:ascii="仿宋_GB2312" w:hAnsi="宋体" w:eastAsia="仿宋_GB2312" w:cs="宋体"/>
          <w:color w:val="auto"/>
          <w:kern w:val="0"/>
          <w:sz w:val="32"/>
          <w:szCs w:val="32"/>
          <w:highlight w:val="none"/>
          <w:lang w:val="en-US" w:eastAsia="zh-CN"/>
        </w:rPr>
        <w:t>（类）24614.74万元，占97.95%；</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4.住房保障支出（类）80.23万元，占0.32</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5.粮油物资储备支出（类）226.25万元，占0.90%。</w:t>
      </w:r>
    </w:p>
    <w:p>
      <w:pPr>
        <w:pStyle w:val="8"/>
        <w:rPr>
          <w:rFonts w:hint="eastAsia"/>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eastAsia="zh-CN"/>
        </w:rPr>
        <w:t>（类）行政事业单位养老支出（款）</w:t>
      </w:r>
      <w:r>
        <w:rPr>
          <w:rFonts w:hint="eastAsia" w:ascii="仿宋_GB2312" w:hAnsi="宋体" w:eastAsia="仿宋_GB2312" w:cs="宋体"/>
          <w:kern w:val="0"/>
          <w:sz w:val="32"/>
          <w:szCs w:val="32"/>
          <w:highlight w:val="none"/>
        </w:rPr>
        <w:t>行政单位离退休</w:t>
      </w:r>
      <w:r>
        <w:rPr>
          <w:rFonts w:hint="eastAsia" w:ascii="仿宋_GB2312" w:hAnsi="宋体" w:eastAsia="仿宋_GB2312" w:cs="宋体"/>
          <w:kern w:val="0"/>
          <w:sz w:val="32"/>
          <w:szCs w:val="32"/>
          <w:highlight w:val="none"/>
          <w:lang w:eastAsia="zh-CN"/>
        </w:rPr>
        <w:t>（项）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39.36</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减少20.01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w:t>
      </w:r>
      <w:r>
        <w:rPr>
          <w:rFonts w:hint="eastAsia" w:ascii="仿宋_GB2312" w:hAnsi="宋体" w:eastAsia="仿宋_GB2312" w:cs="宋体"/>
          <w:color w:val="auto"/>
          <w:kern w:val="0"/>
          <w:sz w:val="32"/>
          <w:szCs w:val="32"/>
          <w:highlight w:val="none"/>
          <w:lang w:val="en-US" w:eastAsia="zh-CN"/>
        </w:rPr>
        <w:t>33.70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本年预算中不包含退休人员医疗保险费用。</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eastAsia="zh-CN"/>
        </w:rPr>
        <w:t>（类）行政事业单位养老支出（款）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97.01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6.69</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7.41</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2024年年中调入2人，且工资正常晋升，社保基数提高，缴费增加。</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宋体" w:eastAsia="仿宋_GB2312" w:cs="宋体"/>
          <w:kern w:val="0"/>
          <w:sz w:val="32"/>
          <w:szCs w:val="32"/>
          <w:highlight w:val="none"/>
          <w:lang w:val="en-US" w:eastAsia="zh-CN"/>
        </w:rPr>
        <w:t>卫生健康支出（类）行政事业单位医疗（款）行政单位医疗（项）：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39.14</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3.04</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增长8.42</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2024年年中调入2人，且工资正常晋升，社保基数提高，缴费增加。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4.卫生健康支出（类）行政事业单位医疗（款）事业单位医疗（项）：2025年预算数为9.36万元，比上年预算增加0.29万元，增长3.20%，主要原因是：职工工资正常晋升，社保基数提高，缴费增加。</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5.卫生健康支出（类）行政事业单位医疗（款）公务员医疗补助（项）：</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lang w:eastAsia="zh-CN"/>
        </w:rPr>
        <w:t>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24.25</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增加11.83</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增长95.25</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本年缴费比例提高，上年按照社保基数的2.2%缴费，本年调整为按照社保基数的4%缴费，缴费增加。</w:t>
      </w:r>
    </w:p>
    <w:p>
      <w:pPr>
        <w:spacing w:line="560" w:lineRule="exact"/>
        <w:ind w:firstLine="640" w:firstLineChars="200"/>
        <w:rPr>
          <w:rFonts w:hint="default"/>
          <w:highlight w:val="none"/>
          <w:lang w:val="en-US" w:eastAsia="zh-CN"/>
        </w:rPr>
      </w:pPr>
      <w:r>
        <w:rPr>
          <w:rFonts w:hint="eastAsia" w:ascii="仿宋_GB2312" w:hAnsi="宋体" w:eastAsia="仿宋_GB2312" w:cs="宋体"/>
          <w:kern w:val="0"/>
          <w:sz w:val="32"/>
          <w:szCs w:val="32"/>
          <w:highlight w:val="none"/>
          <w:lang w:val="en-US" w:eastAsia="zh-CN"/>
        </w:rPr>
        <w:t>6.卫生健康支出（类）行政事业单位医疗（款）其他行政事业单位医疗支出（项）：2025年预算数为0.61万元，比上年预算增加0.29万元，增长90.63%，主要原因是：本年缴费比例提高，上年按照每人每月5元缴费，本年调整为按照社保基数的0.1%缴费，缴费增加。</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7.农林水支出（类）农业农村（款）行政运行（项）：2025年预算数为594.22万元，比上年预算减少22.06万元，下降3.58%，主要原因是：本年奖励性绩效奖金预算标准降低，预算减少。</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8.农林水支出（类）农业农村（款）事业运行（项）：2025年预算数为130.12万元，比上年预算增加3.77万元，增长2.98%，主要原因是：人员工资调资，支出有所增加。</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9.农林水支出（类）农业农村（款）病虫害控制（项）：2025年预算数为250.28万元，比上年预算增加235.32万元，增长</w:t>
      </w:r>
      <w:r>
        <w:rPr>
          <w:rFonts w:hint="eastAsia" w:ascii="仿宋_GB2312" w:hAnsi="宋体" w:eastAsia="仿宋_GB2312" w:cs="宋体"/>
          <w:color w:val="auto"/>
          <w:kern w:val="0"/>
          <w:sz w:val="32"/>
          <w:szCs w:val="32"/>
          <w:highlight w:val="none"/>
          <w:lang w:val="en-US" w:eastAsia="zh-CN"/>
        </w:rPr>
        <w:t>1572.99</w:t>
      </w:r>
      <w:r>
        <w:rPr>
          <w:rFonts w:hint="eastAsia" w:ascii="仿宋_GB2312" w:hAnsi="宋体" w:eastAsia="仿宋_GB2312" w:cs="宋体"/>
          <w:kern w:val="0"/>
          <w:sz w:val="32"/>
          <w:szCs w:val="32"/>
          <w:highlight w:val="none"/>
          <w:lang w:val="en-US" w:eastAsia="zh-CN"/>
        </w:rPr>
        <w:t>%，主要原因是：增加了2025年动物防疫服务补助资金中防疫员补助项目资金。</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10.农林水支出（类）农业农村（款）农产品质量安全（项）：2025年预算数为4万元，比上年预算减少11万元，下降73.33%，主要原因是：本年非定额预算根据相关法条及工作安排，细化拆分相关业务工作经费。</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11.农林水支出（类）农业农村（款）稳定农民收入补贴（项）：2025年预算数为1656万元，比上年预算减少874.43万元，下降34.56%，主要原因是：2025年耕地力保护补贴项目资金将分批下达。</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12.农林水支出（类）农业农村（款）农业生产发展（项）：2025年预算数为4485万元，比上年预算增加2110万元，提高88.84%，主要原因是：2025年中央农业生产发展项目增加。</w:t>
      </w:r>
    </w:p>
    <w:p>
      <w:pPr>
        <w:spacing w:line="560" w:lineRule="exact"/>
        <w:ind w:firstLine="640" w:firstLineChars="200"/>
        <w:rPr>
          <w:rFonts w:hint="eastAsia"/>
          <w:highlight w:val="none"/>
          <w:lang w:val="en-US" w:eastAsia="zh-CN"/>
        </w:rPr>
      </w:pPr>
      <w:r>
        <w:rPr>
          <w:rFonts w:hint="eastAsia" w:ascii="仿宋_GB2312" w:hAnsi="宋体" w:eastAsia="仿宋_GB2312" w:cs="宋体"/>
          <w:kern w:val="0"/>
          <w:sz w:val="32"/>
          <w:szCs w:val="32"/>
          <w:highlight w:val="none"/>
          <w:lang w:val="en-US" w:eastAsia="zh-CN"/>
        </w:rPr>
        <w:t>13.农林水支出（类）农业农村（款）农业生态资源保护（项）：2025年预算数为3837.12万元，比上年预算增加3837.12万元，提高100%，主要原因是：2025年农业生态资源保护项目增加。</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14.农林水支出（类）农业农村（款）渔业发展（项）：2025年预算数为205万元，比上年预算增加205万元，提高100%，主要原因是：2025年增加渔业发展项目资金。</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15.农林水支出（类）农业农村（款）耕地建设与利用（项）：2025年预算数为10549万元，比上年增加2184万元，提高26.11%，主要原因是：2025年高标准农田项目资金预算高于2024年。</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16.农林水支出（类）巩固脱贫衔接乡村振兴（款）农村基础设施建设（项）：2025年预算数为2904万元，比上年预算增加2454万元，提高545.33%，主要原因是：2025年乡村振兴衔接资金预算增加。</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17.住房保障支出（类）住房改革支出（款）住房公积金（项）：2025年预算数为80.23万元，比上年预算增加5.41万元，提高7.23%，主要原因是：2025年职工工资正常晋升，缴费基数提高，缴费增加。</w:t>
      </w:r>
    </w:p>
    <w:p>
      <w:pPr>
        <w:spacing w:line="560" w:lineRule="exact"/>
        <w:ind w:firstLine="640" w:firstLineChars="200"/>
        <w:rPr>
          <w:rFonts w:hint="eastAsia"/>
          <w:highlight w:val="none"/>
          <w:lang w:val="en-US" w:eastAsia="zh-CN"/>
        </w:rPr>
      </w:pPr>
      <w:r>
        <w:rPr>
          <w:rFonts w:hint="eastAsia" w:ascii="仿宋_GB2312" w:hAnsi="宋体" w:eastAsia="仿宋_GB2312" w:cs="宋体"/>
          <w:kern w:val="0"/>
          <w:sz w:val="32"/>
          <w:szCs w:val="32"/>
          <w:highlight w:val="none"/>
          <w:lang w:val="en-US" w:eastAsia="zh-CN"/>
        </w:rPr>
        <w:t>18.粮油物资储备支出（类）粮油物资事务（款）其他粮油物资事务支出（项）：2025年预算数为226.25万元，比上年预算增加226.25万元，提高100%，主要原因是：2025年增加了产粮大县项目资金支出。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呼图壁县农业农村局2025年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呼图壁县农业农村局2025年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1014.30</w:t>
      </w:r>
      <w:r>
        <w:rPr>
          <w:rFonts w:hint="eastAsia" w:ascii="仿宋_GB2312" w:hAnsi="宋体" w:eastAsia="仿宋_GB2312" w:cs="宋体"/>
          <w:color w:val="auto"/>
          <w:spacing w:val="-6"/>
          <w:kern w:val="0"/>
          <w:sz w:val="32"/>
          <w:szCs w:val="32"/>
          <w:highlight w:val="none"/>
        </w:rPr>
        <w:t>万元，其中：</w:t>
      </w:r>
    </w:p>
    <w:p>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969.06</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津贴补贴、奖金、绩效工资、机关事业单位基本养老保险缴费、职工基本医疗保险缴费、公务员医疗补助缴费、其他社会保障缴费、住房公积金、退休费、生活补助、奖励金</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45.25</w:t>
      </w:r>
      <w:r>
        <w:rPr>
          <w:rFonts w:hint="eastAsia" w:ascii="仿宋_GB2312" w:hAnsi="宋体" w:eastAsia="仿宋_GB2312" w:cs="宋体"/>
          <w:color w:val="auto"/>
          <w:kern w:val="0"/>
          <w:sz w:val="32"/>
          <w:szCs w:val="32"/>
          <w:highlight w:val="none"/>
        </w:rPr>
        <w:t>万元，主要包括：办公费、水费、电费、邮电费、差旅费、维修（护）费、培训费、劳务费、工会经费、公务用车运行维护费</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呼图壁县农业农村局2025年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：提前下达2025年中央农业防灾减灾和水利救灾资金（动物防疫补助）-政府购买动物防疫服务项目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昌州财农[2024]60号</w:t>
      </w:r>
      <w:r>
        <w:rPr>
          <w:rFonts w:hint="eastAsia" w:ascii="仿宋_GB2312" w:hAnsi="宋体" w:eastAsia="仿宋_GB2312" w:cs="宋体"/>
          <w:color w:val="auto"/>
          <w:kern w:val="0"/>
          <w:sz w:val="32"/>
          <w:szCs w:val="32"/>
          <w:highlight w:val="none"/>
          <w:lang w:eastAsia="zh-CN"/>
        </w:rPr>
        <w:t>《关于提前下达</w:t>
      </w:r>
      <w:r>
        <w:rPr>
          <w:rFonts w:hint="eastAsia" w:ascii="仿宋_GB2312" w:hAnsi="宋体" w:eastAsia="仿宋_GB2312" w:cs="宋体"/>
          <w:color w:val="auto"/>
          <w:kern w:val="0"/>
          <w:sz w:val="32"/>
          <w:szCs w:val="32"/>
          <w:highlight w:val="none"/>
          <w:lang w:val="en-US" w:eastAsia="zh-CN"/>
        </w:rPr>
        <w:t>2025年中央农业防灾减灾和水利救灾资金（动物防疫补助）预算的通知》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85.28万元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85.28万元全部用于村级防疫员工资补助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ascii="仿宋_GB2312" w:hAnsi="黑体"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：村级防疫员县级配套补助资金（非定额）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呼财预字【</w:t>
      </w:r>
      <w:r>
        <w:rPr>
          <w:rFonts w:hint="eastAsia" w:ascii="仿宋_GB2312" w:hAnsi="宋体" w:eastAsia="仿宋_GB2312" w:cs="宋体"/>
          <w:color w:val="auto"/>
          <w:kern w:val="0"/>
          <w:sz w:val="32"/>
          <w:szCs w:val="32"/>
          <w:highlight w:val="none"/>
          <w:lang w:val="en-US" w:eastAsia="zh-CN"/>
        </w:rPr>
        <w:t>2025】8号</w:t>
      </w:r>
      <w:r>
        <w:rPr>
          <w:rFonts w:hint="eastAsia" w:ascii="仿宋_GB2312" w:hAnsi="黑体" w:eastAsia="仿宋_GB2312"/>
          <w:color w:val="auto"/>
          <w:sz w:val="32"/>
          <w:szCs w:val="32"/>
          <w:highlight w:val="none"/>
        </w:rPr>
        <w:t>《2025年呼图壁县财经委员会第一次会议纪要》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162万元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村级防疫员工资补助92万元，各乡镇布防队员社保70万元。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提前下达2025年自治区耕地建设与利用资金-2025年高标准农田建设项目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昌州财农【2024】64号《关于提前下达2025年自治区耕地建设与利用资金预算的通知》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5644万元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5644万元</w:t>
      </w:r>
      <w:r>
        <w:rPr>
          <w:rFonts w:hint="eastAsia" w:ascii="仿宋_GB2312" w:hAnsi="黑体" w:eastAsia="仿宋_GB2312"/>
          <w:color w:val="auto"/>
          <w:sz w:val="32"/>
          <w:szCs w:val="32"/>
          <w:highlight w:val="none"/>
          <w:lang w:eastAsia="zh-CN"/>
        </w:rPr>
        <w:t>全部用于高标准农田建设自治区级补助</w:t>
      </w: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提前下达2025年中央耕地建设与利用资金-2025年高标准农田建设项目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昌州财农【2024】54号《关于提前下达2025年中央耕地建设与利用资金预算的通知》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4488万元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4488万元</w:t>
      </w:r>
      <w:r>
        <w:rPr>
          <w:rFonts w:hint="eastAsia" w:ascii="仿宋_GB2312" w:hAnsi="黑体" w:eastAsia="仿宋_GB2312"/>
          <w:color w:val="auto"/>
          <w:sz w:val="32"/>
          <w:szCs w:val="32"/>
          <w:highlight w:val="none"/>
          <w:lang w:eastAsia="zh-CN"/>
        </w:rPr>
        <w:t>全部用于高标准农田建设中央补助</w:t>
      </w: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各类农业、畜牧业工作开展经费-农产品质量安全工作（非定额）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呼财预字【</w:t>
      </w:r>
      <w:r>
        <w:rPr>
          <w:rFonts w:hint="eastAsia" w:ascii="仿宋_GB2312" w:hAnsi="宋体" w:eastAsia="仿宋_GB2312" w:cs="宋体"/>
          <w:color w:val="auto"/>
          <w:kern w:val="0"/>
          <w:sz w:val="32"/>
          <w:szCs w:val="32"/>
          <w:highlight w:val="none"/>
          <w:lang w:val="en-US" w:eastAsia="zh-CN"/>
        </w:rPr>
        <w:t>2025】8号</w:t>
      </w:r>
      <w:r>
        <w:rPr>
          <w:rFonts w:hint="eastAsia" w:ascii="仿宋_GB2312" w:hAnsi="黑体" w:eastAsia="仿宋_GB2312"/>
          <w:color w:val="auto"/>
          <w:sz w:val="32"/>
          <w:szCs w:val="32"/>
          <w:highlight w:val="none"/>
        </w:rPr>
        <w:t>《2025年呼图壁县财经委员会第一次会议纪要》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4万元全部用于农产品质量安全工作经费</w:t>
      </w: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各类农业、畜牧业工作开展经费-农药监督、畜禽屠宰监督管理工作（非定额）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呼财预字【</w:t>
      </w:r>
      <w:r>
        <w:rPr>
          <w:rFonts w:hint="eastAsia" w:ascii="仿宋_GB2312" w:hAnsi="宋体" w:eastAsia="仿宋_GB2312" w:cs="宋体"/>
          <w:color w:val="auto"/>
          <w:kern w:val="0"/>
          <w:sz w:val="32"/>
          <w:szCs w:val="32"/>
          <w:highlight w:val="none"/>
          <w:lang w:val="en-US" w:eastAsia="zh-CN"/>
        </w:rPr>
        <w:t>2025】8号</w:t>
      </w:r>
      <w:r>
        <w:rPr>
          <w:rFonts w:hint="eastAsia" w:ascii="仿宋_GB2312" w:hAnsi="黑体" w:eastAsia="仿宋_GB2312"/>
          <w:color w:val="auto"/>
          <w:sz w:val="32"/>
          <w:szCs w:val="32"/>
          <w:highlight w:val="none"/>
        </w:rPr>
        <w:t>《2025年呼图壁县财经委员会第一次会议纪要》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4万元</w:t>
      </w:r>
      <w:r>
        <w:rPr>
          <w:rFonts w:hint="eastAsia" w:ascii="仿宋_GB2312" w:hAnsi="宋体" w:eastAsia="仿宋_GB2312" w:cs="宋体"/>
          <w:color w:val="auto"/>
          <w:kern w:val="0"/>
          <w:sz w:val="32"/>
          <w:szCs w:val="32"/>
          <w:highlight w:val="none"/>
          <w:lang w:eastAsia="zh-CN"/>
        </w:rPr>
        <w:t>全部用于</w:t>
      </w:r>
      <w:r>
        <w:rPr>
          <w:rFonts w:hint="eastAsia" w:ascii="仿宋_GB2312" w:hAnsi="宋体" w:eastAsia="仿宋_GB2312" w:cs="宋体"/>
          <w:color w:val="auto"/>
          <w:kern w:val="0"/>
          <w:sz w:val="32"/>
          <w:szCs w:val="32"/>
          <w:highlight w:val="none"/>
        </w:rPr>
        <w:t>农业、畜牧业工作</w:t>
      </w:r>
      <w:r>
        <w:rPr>
          <w:rFonts w:hint="eastAsia" w:ascii="仿宋_GB2312" w:hAnsi="宋体" w:eastAsia="仿宋_GB2312" w:cs="宋体"/>
          <w:color w:val="auto"/>
          <w:kern w:val="0"/>
          <w:sz w:val="32"/>
          <w:szCs w:val="32"/>
          <w:highlight w:val="none"/>
          <w:lang w:eastAsia="zh-CN"/>
        </w:rPr>
        <w:t>执法检查</w:t>
      </w:r>
      <w:r>
        <w:rPr>
          <w:rFonts w:hint="eastAsia" w:ascii="仿宋_GB2312" w:hAnsi="宋体" w:eastAsia="仿宋_GB2312" w:cs="宋体"/>
          <w:color w:val="auto"/>
          <w:kern w:val="0"/>
          <w:sz w:val="32"/>
          <w:szCs w:val="32"/>
          <w:highlight w:val="none"/>
          <w:lang w:val="en-US" w:eastAsia="zh-CN"/>
        </w:rPr>
        <w:t>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提前下达2025年中央农业生态资源保护资金-2025年农作物秸秆综合利用项目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昌州财农【2024】61号《关于提前下达2025年中央农业生态资源保护资金预算的通知》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770万元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770万元全部用于2025年农作物秸秆综合利用项目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b w:val="0"/>
          <w:bCs w:val="0"/>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b w:val="0"/>
          <w:bCs w:val="0"/>
          <w:color w:val="auto"/>
          <w:sz w:val="32"/>
          <w:szCs w:val="32"/>
          <w:highlight w:val="none"/>
        </w:rPr>
        <w:t>项目</w:t>
      </w:r>
      <w:r>
        <w:rPr>
          <w:rFonts w:ascii="仿宋_GB2312" w:hAnsi="黑体" w:eastAsia="仿宋_GB2312"/>
          <w:b w:val="0"/>
          <w:bCs w:val="0"/>
          <w:color w:val="auto"/>
          <w:sz w:val="32"/>
          <w:szCs w:val="32"/>
          <w:highlight w:val="none"/>
        </w:rPr>
        <w:t>名称</w:t>
      </w:r>
      <w:r>
        <w:rPr>
          <w:rFonts w:hint="eastAsia" w:ascii="仿宋_GB2312" w:hAnsi="黑体" w:eastAsia="仿宋_GB2312"/>
          <w:b w:val="0"/>
          <w:bCs w:val="0"/>
          <w:color w:val="auto"/>
          <w:sz w:val="32"/>
          <w:szCs w:val="32"/>
          <w:highlight w:val="none"/>
        </w:rPr>
        <w:t>：</w:t>
      </w:r>
      <w:r>
        <w:rPr>
          <w:rFonts w:hint="eastAsia" w:ascii="仿宋_GB2312" w:hAnsi="宋体" w:eastAsia="仿宋_GB2312" w:cs="宋体"/>
          <w:b w:val="0"/>
          <w:bCs w:val="0"/>
          <w:color w:val="auto"/>
          <w:kern w:val="0"/>
          <w:sz w:val="32"/>
          <w:szCs w:val="32"/>
          <w:highlight w:val="none"/>
        </w:rPr>
        <w:t>提前下达2025年中央农业生态资</w:t>
      </w:r>
      <w:r>
        <w:rPr>
          <w:rFonts w:hint="eastAsia" w:ascii="仿宋_GB2312" w:hAnsi="宋体" w:eastAsia="仿宋_GB2312" w:cs="宋体"/>
          <w:color w:val="auto"/>
          <w:kern w:val="0"/>
          <w:sz w:val="32"/>
          <w:szCs w:val="32"/>
          <w:highlight w:val="none"/>
        </w:rPr>
        <w:t>源保护资金-2025年地膜科学使用回收项目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昌州财农【2024】61号《关于提前下达2025年中央农业生态资源保护资金预算的通知》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450万元全部用于</w:t>
      </w:r>
      <w:r>
        <w:rPr>
          <w:rFonts w:hint="eastAsia" w:ascii="仿宋_GB2312" w:hAnsi="宋体" w:eastAsia="仿宋_GB2312" w:cs="宋体"/>
          <w:color w:val="auto"/>
          <w:kern w:val="0"/>
          <w:sz w:val="32"/>
          <w:szCs w:val="32"/>
          <w:highlight w:val="none"/>
        </w:rPr>
        <w:t>2025年地膜科学使用回收项目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b w:val="0"/>
          <w:bCs w:val="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：2025年中央农业产业发展资金-2025年</w:t>
      </w:r>
      <w:r>
        <w:rPr>
          <w:rFonts w:hint="eastAsia" w:ascii="仿宋_GB2312" w:hAnsi="宋体" w:eastAsia="仿宋_GB2312" w:cs="宋体"/>
          <w:color w:val="auto"/>
          <w:kern w:val="0"/>
          <w:sz w:val="32"/>
          <w:szCs w:val="32"/>
          <w:highlight w:val="none"/>
        </w:rPr>
        <w:t>优势特色产业集群棉花产业集群项目资金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昌州财农【2024】65号《关于提前下达2025年中央农业产业发展资金预算的通知》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826万元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826万元全部用于</w:t>
      </w:r>
      <w:r>
        <w:rPr>
          <w:rFonts w:hint="eastAsia" w:ascii="仿宋_GB2312" w:hAnsi="黑体" w:eastAsia="仿宋_GB2312"/>
          <w:color w:val="auto"/>
          <w:sz w:val="32"/>
          <w:szCs w:val="32"/>
          <w:highlight w:val="none"/>
          <w:lang w:val="en-US" w:eastAsia="zh-CN"/>
        </w:rPr>
        <w:t>棉花加工企业及棉纺加工企业的设备技术改造提升工作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2025年中央农业产业发展资金-2025年奶业生产能力提升整县推进项目资金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昌州财农【2024】65号《关于提前下达2025年中央农业产业发展资金预算的通知》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2000万元全部用于</w:t>
      </w:r>
      <w:r>
        <w:rPr>
          <w:rFonts w:hint="eastAsia" w:ascii="仿宋_GB2312" w:hAnsi="黑体" w:eastAsia="仿宋_GB2312"/>
          <w:color w:val="auto"/>
          <w:sz w:val="32"/>
          <w:szCs w:val="32"/>
          <w:highlight w:val="none"/>
          <w:lang w:val="en-US" w:eastAsia="zh-CN"/>
        </w:rPr>
        <w:t>奶业生产企业场地及设备技术改造提升工作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2025年中央成品油价格调整对渔业发展补助资金-呼图壁县加州鲈、河鲈原良种场改扩建项目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昌州财农【2024】58号关于提前下达2025年成品油价格调整对渔业发展补助资金的通知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205万元全部用于</w:t>
      </w:r>
      <w:r>
        <w:rPr>
          <w:rFonts w:hint="eastAsia" w:ascii="仿宋_GB2312" w:hAnsi="宋体" w:eastAsia="仿宋_GB2312" w:cs="宋体"/>
          <w:color w:val="auto"/>
          <w:kern w:val="0"/>
          <w:sz w:val="32"/>
          <w:szCs w:val="32"/>
          <w:highlight w:val="none"/>
        </w:rPr>
        <w:t>呼图壁县加州鲈、河鲈原良种场</w:t>
      </w:r>
      <w:r>
        <w:rPr>
          <w:rFonts w:hint="eastAsia" w:ascii="仿宋_GB2312" w:hAnsi="宋体" w:eastAsia="仿宋_GB2312" w:cs="宋体"/>
          <w:color w:val="auto"/>
          <w:kern w:val="0"/>
          <w:sz w:val="32"/>
          <w:szCs w:val="32"/>
          <w:highlight w:val="none"/>
          <w:lang w:val="en-US" w:eastAsia="zh-CN"/>
        </w:rPr>
        <w:t>改扩建项目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pStyle w:val="8"/>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shd w:val="clear"/>
          <w:lang w:val="en-US" w:eastAsia="zh-CN"/>
        </w:rPr>
        <w:t>12、</w:t>
      </w:r>
      <w:r>
        <w:rPr>
          <w:rFonts w:hint="eastAsia" w:ascii="仿宋_GB2312" w:hAnsi="黑体" w:eastAsia="仿宋_GB2312"/>
          <w:color w:val="auto"/>
          <w:sz w:val="32"/>
          <w:szCs w:val="32"/>
          <w:highlight w:val="none"/>
          <w:shd w:val="clear"/>
        </w:rPr>
        <w:t>项</w:t>
      </w:r>
      <w:r>
        <w:rPr>
          <w:rFonts w:hint="eastAsia" w:ascii="仿宋_GB2312" w:hAnsi="黑体" w:eastAsia="仿宋_GB2312"/>
          <w:color w:val="auto"/>
          <w:sz w:val="32"/>
          <w:szCs w:val="32"/>
          <w:highlight w:val="none"/>
        </w:rPr>
        <w:t>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2025年种畜禽生产性能测定项目资金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昌州财农【2024】65号《关于提前下达2025年中央农业产业发展资金预算的通知》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100万元全部用于</w:t>
      </w:r>
      <w:r>
        <w:rPr>
          <w:rFonts w:hint="eastAsia" w:ascii="仿宋_GB2312" w:hAnsi="黑体" w:eastAsia="仿宋_GB2312"/>
          <w:color w:val="auto"/>
          <w:sz w:val="32"/>
          <w:szCs w:val="32"/>
          <w:highlight w:val="none"/>
          <w:lang w:val="en-US" w:eastAsia="zh-CN"/>
        </w:rPr>
        <w:t>种牛场种畜禽生产性测定工作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呼图壁县第三次全国土壤普查工作县级配套资金（非定额）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呼财预字【2025】8号</w:t>
      </w:r>
      <w:r>
        <w:rPr>
          <w:rFonts w:hint="eastAsia" w:ascii="仿宋_GB2312" w:hAnsi="宋体" w:eastAsia="仿宋_GB2312" w:cs="宋体"/>
          <w:color w:val="auto"/>
          <w:kern w:val="0"/>
          <w:sz w:val="32"/>
          <w:szCs w:val="32"/>
          <w:highlight w:val="none"/>
        </w:rPr>
        <w:t>《2025年呼图壁县财经委员会第一次会议纪要》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417万元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417万元全部用于第三次全国土壤普查土样制备、检测、成果汇总</w:t>
      </w:r>
      <w:r>
        <w:rPr>
          <w:rFonts w:hint="eastAsia" w:ascii="仿宋_GB2312" w:hAnsi="黑体" w:eastAsia="仿宋_GB2312"/>
          <w:color w:val="auto"/>
          <w:sz w:val="32"/>
          <w:szCs w:val="32"/>
          <w:highlight w:val="none"/>
          <w:lang w:val="en-US" w:eastAsia="zh-CN"/>
        </w:rPr>
        <w:t>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14、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2025年中央产粮大县奖励资金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昌州财办建[2024]26号《关于提前下达2025年中央</w:t>
      </w:r>
      <w:r>
        <w:rPr>
          <w:rFonts w:hint="eastAsia" w:ascii="仿宋_GB2312" w:hAnsi="黑体" w:eastAsia="仿宋_GB2312"/>
          <w:color w:val="auto"/>
          <w:sz w:val="32"/>
          <w:szCs w:val="32"/>
          <w:highlight w:val="none"/>
          <w:lang w:val="en-US" w:eastAsia="zh-CN"/>
        </w:rPr>
        <w:t>产粮大县奖励资金资金预算的通知》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226.25万元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226.25万元全部用于中央</w:t>
      </w:r>
      <w:r>
        <w:rPr>
          <w:rFonts w:hint="eastAsia" w:ascii="仿宋_GB2312" w:hAnsi="黑体" w:eastAsia="仿宋_GB2312"/>
          <w:color w:val="auto"/>
          <w:sz w:val="32"/>
          <w:szCs w:val="32"/>
          <w:highlight w:val="none"/>
          <w:lang w:val="en-US" w:eastAsia="zh-CN"/>
        </w:rPr>
        <w:t>产粮大县奖励项目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提前下达</w:t>
      </w:r>
      <w:r>
        <w:rPr>
          <w:rFonts w:hint="eastAsia" w:ascii="仿宋_GB2312" w:hAnsi="黑体" w:eastAsia="仿宋_GB2312"/>
          <w:color w:val="auto"/>
          <w:sz w:val="32"/>
          <w:szCs w:val="32"/>
          <w:highlight w:val="none"/>
          <w:lang w:val="en-US" w:eastAsia="zh-CN"/>
        </w:rPr>
        <w:t>2025年中央财政衔接推进乡村振兴补助资金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昌州财农[2024]47号《关于提前下达</w:t>
      </w:r>
      <w:r>
        <w:rPr>
          <w:rFonts w:hint="eastAsia" w:ascii="仿宋_GB2312" w:hAnsi="黑体" w:eastAsia="仿宋_GB2312"/>
          <w:color w:val="auto"/>
          <w:sz w:val="32"/>
          <w:szCs w:val="32"/>
          <w:highlight w:val="none"/>
          <w:lang w:val="en-US" w:eastAsia="zh-CN"/>
        </w:rPr>
        <w:t>2025年中央财政衔接推进乡村振兴补助资金预算的通知》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2494万元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巩固拓展脱贫攻坚成果和乡村振兴任务资金</w:t>
      </w:r>
      <w:r>
        <w:rPr>
          <w:rFonts w:hint="eastAsia" w:ascii="仿宋_GB2312" w:hAnsi="黑体" w:eastAsia="仿宋_GB2312"/>
          <w:color w:val="auto"/>
          <w:sz w:val="32"/>
          <w:szCs w:val="32"/>
          <w:highlight w:val="none"/>
          <w:lang w:val="en-US" w:eastAsia="zh-CN"/>
        </w:rPr>
        <w:t>2179万元，少数民族发展任务资金315万元。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16、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提前下达2025年中央财政衔接推进乡村振兴补助资金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昌州财农[2024]50号《关于提前下达</w:t>
      </w:r>
      <w:r>
        <w:rPr>
          <w:rFonts w:hint="eastAsia" w:ascii="仿宋_GB2312" w:hAnsi="黑体" w:eastAsia="仿宋_GB2312"/>
          <w:color w:val="auto"/>
          <w:sz w:val="32"/>
          <w:szCs w:val="32"/>
          <w:highlight w:val="none"/>
          <w:lang w:val="en-US" w:eastAsia="zh-CN"/>
        </w:rPr>
        <w:t>2025年自治区财政衔接推进乡村振兴补助资金预算的通知》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410万元</w:t>
      </w:r>
      <w:r>
        <w:rPr>
          <w:rFonts w:hint="eastAsia" w:ascii="仿宋_GB2312" w:hAnsi="黑体" w:eastAsia="仿宋_GB2312"/>
          <w:color w:val="auto"/>
          <w:sz w:val="32"/>
          <w:szCs w:val="32"/>
          <w:highlight w:val="none"/>
          <w:lang w:eastAsia="zh-CN"/>
        </w:rPr>
        <w:t>全部用于巩固拓展脱贫攻坚成果和乡村振兴任务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2025年中央农业产业发展资金-2025年粮改饲项目补助资金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昌州财农【2024】65号《关于提前下达2025年中央农业产业发展资金预算的通知》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400万元全部用于粮改饲补助项目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pStyle w:val="8"/>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提前下达2025年自治区耕地建设与利用资金-2025年耕地地力保护补贴项目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昌州财农【2024】64号《关于提前下达2025年自治区耕地建设与利用资金预算的通知》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288万元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288万元全部用于</w:t>
      </w:r>
      <w:r>
        <w:rPr>
          <w:rFonts w:hint="eastAsia" w:ascii="仿宋_GB2312" w:hAnsi="黑体" w:eastAsia="仿宋_GB2312"/>
          <w:color w:val="auto"/>
          <w:sz w:val="32"/>
          <w:szCs w:val="32"/>
          <w:highlight w:val="none"/>
        </w:rPr>
        <w:t>2025年耕地地力保护补贴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自治区专项资金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每亩补贴230元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种植冬小麦和春小麦的农户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一卡通发放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种植冬小麦和春小麦</w:t>
      </w:r>
      <w:r>
        <w:rPr>
          <w:rFonts w:hint="eastAsia" w:ascii="仿宋_GB2312" w:hAnsi="宋体" w:eastAsia="仿宋_GB2312" w:cs="宋体"/>
          <w:kern w:val="0"/>
          <w:sz w:val="32"/>
          <w:szCs w:val="32"/>
          <w:highlight w:val="none"/>
          <w:lang w:val="en-US" w:eastAsia="zh-CN"/>
        </w:rPr>
        <w:t>，提交申请，农业部门核实，录入系统，一卡通资金发放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种植冬小麦和春小麦的农户满意度高，促进农业可持续发展</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提前下达2025年中央耕地建设与利用资金-2025年耕地地力保护补贴项目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昌州财农【2024】64号《关于提前下达2025年自治区耕地建设与利用资金预算的通知》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1368万元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1368万元全部用于</w:t>
      </w:r>
      <w:r>
        <w:rPr>
          <w:rFonts w:hint="eastAsia" w:ascii="仿宋_GB2312" w:hAnsi="黑体" w:eastAsia="仿宋_GB2312"/>
          <w:color w:val="auto"/>
          <w:sz w:val="32"/>
          <w:szCs w:val="32"/>
          <w:highlight w:val="none"/>
        </w:rPr>
        <w:t>2025年耕地地力保护补贴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每亩补贴230元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种植冬小麦和春小麦的农户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一卡通发放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种植冬小麦和春小麦</w:t>
      </w:r>
      <w:r>
        <w:rPr>
          <w:rFonts w:hint="eastAsia" w:ascii="仿宋_GB2312" w:hAnsi="宋体" w:eastAsia="仿宋_GB2312" w:cs="宋体"/>
          <w:kern w:val="0"/>
          <w:sz w:val="32"/>
          <w:szCs w:val="32"/>
          <w:highlight w:val="none"/>
          <w:lang w:val="en-US" w:eastAsia="zh-CN"/>
        </w:rPr>
        <w:t>，提交申请，农业部门核实，录入系统，一卡通资金发放</w:t>
      </w:r>
    </w:p>
    <w:p>
      <w:pPr>
        <w:pStyle w:val="5"/>
        <w:ind w:firstLine="640" w:firstLineChars="200"/>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种植冬小麦和春小麦的农户满意度高，促进农业可持续发展</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提前下达2025年中央耕地建设与利用资金-2025年</w:t>
      </w:r>
      <w:r>
        <w:rPr>
          <w:rFonts w:hint="eastAsia" w:ascii="仿宋_GB2312" w:hAnsi="宋体" w:eastAsia="仿宋_GB2312" w:cs="宋体"/>
          <w:color w:val="auto"/>
          <w:kern w:val="0"/>
          <w:sz w:val="32"/>
          <w:szCs w:val="32"/>
          <w:highlight w:val="none"/>
          <w:lang w:eastAsia="zh-CN"/>
        </w:rPr>
        <w:t>农机购置</w:t>
      </w:r>
      <w:r>
        <w:rPr>
          <w:rFonts w:hint="eastAsia" w:ascii="仿宋_GB2312" w:hAnsi="宋体" w:eastAsia="仿宋_GB2312" w:cs="宋体"/>
          <w:color w:val="auto"/>
          <w:kern w:val="0"/>
          <w:sz w:val="32"/>
          <w:szCs w:val="32"/>
          <w:highlight w:val="none"/>
        </w:rPr>
        <w:t>补贴项目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昌州财农[2024]65号《关于提前下达2025年中央农业产业发展资金预算的通知》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1153万元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1153万元全部用于农机购置补贴项目</w:t>
      </w:r>
      <w:r>
        <w:rPr>
          <w:rFonts w:ascii="仿宋_GB2312" w:hAnsi="黑体" w:eastAsia="仿宋_GB2312"/>
          <w:color w:val="auto"/>
          <w:sz w:val="32"/>
          <w:szCs w:val="32"/>
          <w:highlight w:val="none"/>
        </w:rPr>
        <w:t>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中央财政补贴资金实行定额补贴，即同一种类、同一档次农业机械实行统一的补贴标准，其中：通用类机具补贴额不超过农业部发布的最高补贴额，补贴额依据同档产品上年市场销售均价测算，原则上比例不超过30%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购买享受补贴的机具农户均可享受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一卡通发放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购买农机</w:t>
      </w:r>
      <w:r>
        <w:rPr>
          <w:rFonts w:hint="eastAsia" w:ascii="仿宋_GB2312" w:hAnsi="宋体" w:eastAsia="仿宋_GB2312" w:cs="宋体"/>
          <w:kern w:val="0"/>
          <w:sz w:val="32"/>
          <w:szCs w:val="32"/>
          <w:highlight w:val="none"/>
          <w:lang w:val="en-US" w:eastAsia="zh-CN"/>
        </w:rPr>
        <w:t>，提交申请，农业部门核实，录入系统，一卡通资金发放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购买享受补贴的机具农户满意度高，促进农业可持续发展</w:t>
      </w:r>
    </w:p>
    <w:p>
      <w:pPr>
        <w:pStyle w:val="8"/>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2025年中央农业生态资源保护资金-2025年草原禁牧补助与草畜平衡奖励</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昌州财农[2024]61号《关于提前下达2025年中央农业资源保护资金预算的通知》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2617.12万元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2617.12万元全部用于2025年草原禁牧补助与草畜平衡奖励金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草原禁牧每亩补助6元，草畜平衡奖励每亩补助2.5元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：依法承包草原并履行草原禁牧、草畜平衡、水源涵养责任及义务的牧民‌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一卡通发放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林草和</w:t>
      </w:r>
      <w:r>
        <w:rPr>
          <w:rFonts w:hint="eastAsia" w:ascii="仿宋_GB2312" w:hAnsi="宋体" w:eastAsia="仿宋_GB2312" w:cs="宋体"/>
          <w:kern w:val="0"/>
          <w:sz w:val="32"/>
          <w:szCs w:val="32"/>
          <w:highlight w:val="none"/>
          <w:lang w:val="en-US" w:eastAsia="zh-CN"/>
        </w:rPr>
        <w:t>农业部门核实，录入系统，一卡通资金发放</w:t>
      </w:r>
    </w:p>
    <w:p>
      <w:pPr>
        <w:pStyle w:val="5"/>
        <w:ind w:firstLine="640" w:firstLineChars="200"/>
        <w:rPr>
          <w:rFonts w:hint="eastAsia"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：依法承包草原并履行草原禁牧、草畜平衡、水源涵养责任及义务的牧民</w:t>
      </w:r>
      <w:r>
        <w:rPr>
          <w:rFonts w:hint="eastAsia" w:ascii="仿宋_GB2312" w:hAnsi="宋体" w:eastAsia="仿宋_GB2312" w:cs="宋体"/>
          <w:kern w:val="0"/>
          <w:sz w:val="32"/>
          <w:szCs w:val="32"/>
          <w:highlight w:val="none"/>
          <w:lang w:val="en-US" w:eastAsia="zh-CN"/>
        </w:rPr>
        <w:t>满意度高，加强草原生态保护，促进牧民增收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2025年中央农业产业发展资金-2025年牧区畜牧良种补贴项目资金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昌州财农【2024】65号</w:t>
      </w:r>
      <w:r>
        <w:rPr>
          <w:rFonts w:hint="eastAsia" w:ascii="仿宋_GB2312" w:hAnsi="宋体" w:eastAsia="仿宋_GB2312" w:cs="宋体"/>
          <w:color w:val="auto"/>
          <w:kern w:val="0"/>
          <w:sz w:val="32"/>
          <w:szCs w:val="32"/>
          <w:highlight w:val="none"/>
          <w:lang w:val="en-US" w:eastAsia="zh-CN"/>
        </w:rPr>
        <w:t>《关于提前下达2025年中央农业产业发展资金预算的通知》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6万元全部用于</w:t>
      </w:r>
      <w:r>
        <w:rPr>
          <w:rFonts w:hint="eastAsia" w:ascii="仿宋_GB2312" w:hAnsi="黑体" w:eastAsia="仿宋_GB2312"/>
          <w:color w:val="auto"/>
          <w:sz w:val="32"/>
          <w:szCs w:val="32"/>
          <w:highlight w:val="none"/>
        </w:rPr>
        <w:t>牧区畜牧良种补贴</w:t>
      </w: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每只种公羊2000元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对购买种公羊的农户进行补贴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农信银行卡发放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购买种公羊</w:t>
      </w:r>
      <w:r>
        <w:rPr>
          <w:rFonts w:hint="eastAsia" w:ascii="仿宋_GB2312" w:hAnsi="宋体" w:eastAsia="仿宋_GB2312" w:cs="宋体"/>
          <w:kern w:val="0"/>
          <w:sz w:val="32"/>
          <w:szCs w:val="32"/>
          <w:highlight w:val="none"/>
          <w:lang w:val="en-US" w:eastAsia="zh-CN"/>
        </w:rPr>
        <w:t>，提交申请，农业部门核实，录入系统，银行卡发放</w:t>
      </w:r>
    </w:p>
    <w:p>
      <w:pPr>
        <w:pStyle w:val="5"/>
        <w:ind w:firstLine="640" w:firstLineChars="200"/>
        <w:rPr>
          <w:rFonts w:hint="eastAsia" w:ascii="仿宋_GB2312" w:hAnsi="宋体" w:eastAsia="仿宋_GB2312" w:cs="宋体"/>
          <w:kern w:val="0"/>
          <w:sz w:val="32"/>
          <w:szCs w:val="32"/>
          <w:highlight w:val="none"/>
          <w:lang w:val="en-US"/>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购买种公羊的农户</w:t>
      </w:r>
      <w:r>
        <w:rPr>
          <w:rFonts w:hint="eastAsia" w:ascii="仿宋_GB2312" w:hAnsi="宋体" w:eastAsia="仿宋_GB2312" w:cs="宋体"/>
          <w:kern w:val="0"/>
          <w:sz w:val="32"/>
          <w:szCs w:val="32"/>
          <w:highlight w:val="none"/>
          <w:lang w:val="en-US" w:eastAsia="zh-CN"/>
        </w:rPr>
        <w:t>满意度高，促进农牧业可持续发展</w:t>
      </w:r>
    </w:p>
    <w:p>
      <w:pPr>
        <w:pStyle w:val="8"/>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呼图壁县农业农村局2025年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呼图壁县农业农村局2025年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呼图壁县农业农村局2025年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呼图壁县农业农村局2025年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呼图壁县农业农村局2025年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呼图壁县农业农村局2025年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11.20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11.20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2.61%，</w:t>
      </w:r>
      <w:r>
        <w:rPr>
          <w:rFonts w:hint="eastAsia" w:ascii="仿宋_GB2312" w:hAnsi="宋体" w:eastAsia="仿宋_GB2312" w:cs="宋体"/>
          <w:color w:val="auto"/>
          <w:kern w:val="0"/>
          <w:sz w:val="32"/>
          <w:szCs w:val="32"/>
          <w:highlight w:val="none"/>
        </w:rPr>
        <w:t>其中：因公出国（境）费减少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2024年-2025年均未安排此项经费；</w:t>
      </w:r>
      <w:r>
        <w:rPr>
          <w:rFonts w:hint="eastAsia" w:ascii="仿宋_GB2312" w:hAnsi="宋体" w:eastAsia="仿宋_GB2312" w:cs="宋体"/>
          <w:color w:val="auto"/>
          <w:kern w:val="0"/>
          <w:sz w:val="32"/>
          <w:szCs w:val="32"/>
          <w:highlight w:val="none"/>
        </w:rPr>
        <w:t>公务用车购置费减少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0%，2024年-2025年预算保持一致，无变化</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单位厉行节约，根据相关规定严格管控公务接待支出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呼图壁县农业农村局2025年上年结转结余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呼图壁县农业农村局2025年上年结转结余42103.98万元，包括：财政拨款42103.98万元，非财政拨款0万元，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1.2024年第一批自治区预算内投资-2024年呼图壁县优质棉基地建设项目前期费150.00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主要用于：2024年呼图壁县优质棉基地建设项目前期费。</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调整下达2024年度中央大气污染防治资金（第二批）-呼图壁县2024年农业生产领域燃煤设施清洁能源改造补助项目272.12万元，主要用于农业领域养殖场、大棚燃煤设备改造补贴。</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追加拨付2024年自治区“乌-昌-石”区域大气环境整治奖补资金-呼图壁县2023年度农业生产领域燃煤设备改造补助156.60万元，主要用于2023年度主要用于农业领域养殖场、大棚燃煤设备改造补贴。</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2024年中央农业防灾减灾和水利救灾资金（防灾救灾第十四批）-2024年购买调运储备防灾饲草料补助资金</w:t>
      </w:r>
      <w:r>
        <w:rPr>
          <w:rFonts w:hint="eastAsia" w:ascii="仿宋_GB2312" w:hAnsi="仿宋_GB2312" w:eastAsia="仿宋_GB2312" w:cs="仿宋_GB2312"/>
          <w:color w:val="auto"/>
          <w:kern w:val="0"/>
          <w:sz w:val="32"/>
          <w:szCs w:val="32"/>
          <w:highlight w:val="none"/>
          <w:lang w:val="en-US" w:eastAsia="zh-CN"/>
        </w:rPr>
        <w:t>45万元，主要用于</w:t>
      </w:r>
      <w:r>
        <w:rPr>
          <w:rFonts w:hint="eastAsia" w:ascii="仿宋_GB2312" w:hAnsi="仿宋_GB2312" w:eastAsia="仿宋_GB2312" w:cs="仿宋_GB2312"/>
          <w:color w:val="auto"/>
          <w:kern w:val="0"/>
          <w:sz w:val="32"/>
          <w:szCs w:val="32"/>
          <w:highlight w:val="none"/>
          <w:lang w:val="en-US" w:eastAsia="zh-Hans"/>
        </w:rPr>
        <w:t>储备防灾饲草料补助</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2024年昌吉州耕地地力保护补贴资金</w:t>
      </w:r>
      <w:r>
        <w:rPr>
          <w:rFonts w:hint="eastAsia" w:ascii="仿宋_GB2312" w:hAnsi="仿宋_GB2312" w:eastAsia="仿宋_GB2312" w:cs="仿宋_GB2312"/>
          <w:color w:val="auto"/>
          <w:kern w:val="0"/>
          <w:sz w:val="32"/>
          <w:szCs w:val="32"/>
          <w:highlight w:val="none"/>
          <w:lang w:val="en-US" w:eastAsia="zh-CN"/>
        </w:rPr>
        <w:t>118.56万元，主要用于发放2024年春小麦种植补贴。</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2024年中央农业产业发展资金-2024年畜牧业生产奶业生产能力提升整县推进项目</w:t>
      </w:r>
      <w:r>
        <w:rPr>
          <w:rFonts w:hint="eastAsia" w:ascii="仿宋_GB2312" w:hAnsi="仿宋_GB2312" w:eastAsia="仿宋_GB2312" w:cs="仿宋_GB2312"/>
          <w:color w:val="auto"/>
          <w:kern w:val="0"/>
          <w:sz w:val="32"/>
          <w:szCs w:val="32"/>
          <w:highlight w:val="none"/>
          <w:lang w:val="en-US" w:eastAsia="zh-CN"/>
        </w:rPr>
        <w:t>100万元，主要用于2024年奶业生产企业设备提升改造项目补贴。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lang w:val="en-US" w:eastAsia="zh-Hans"/>
        </w:rPr>
        <w:t>2024年中央农业产业发展资金-2024年中央农机购置补贴项目</w:t>
      </w:r>
      <w:r>
        <w:rPr>
          <w:rFonts w:hint="eastAsia" w:ascii="仿宋_GB2312" w:hAnsi="仿宋_GB2312" w:eastAsia="仿宋_GB2312" w:cs="仿宋_GB2312"/>
          <w:color w:val="auto"/>
          <w:kern w:val="0"/>
          <w:sz w:val="32"/>
          <w:szCs w:val="32"/>
          <w:highlight w:val="none"/>
          <w:lang w:val="en-US" w:eastAsia="zh-CN"/>
        </w:rPr>
        <w:t>0.02万元，主要用于农机购置补贴发放。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lang w:val="en-US" w:eastAsia="zh-Hans"/>
        </w:rPr>
        <w:t>2024年自治区农业产业化重点龙头企业贷款贴息资金</w:t>
      </w:r>
      <w:r>
        <w:rPr>
          <w:rFonts w:hint="eastAsia" w:ascii="仿宋_GB2312" w:hAnsi="仿宋_GB2312" w:eastAsia="仿宋_GB2312" w:cs="仿宋_GB2312"/>
          <w:color w:val="auto"/>
          <w:kern w:val="0"/>
          <w:sz w:val="32"/>
          <w:szCs w:val="32"/>
          <w:highlight w:val="none"/>
          <w:lang w:val="en-US" w:eastAsia="zh-CN"/>
        </w:rPr>
        <w:t>293.30万元，主要用于三家自治区级农业产业化重点龙头企业贷款贴息。</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9、2024年中央农业生态资源保护资金-农作物秸秆综合利用项目31.83万元，主要用于农作物秸秆综合利用打包回收企业场地硬化、设备提升等补贴。</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none"/>
          <w:lang w:val="en-US" w:eastAsia="zh-CN" w:bidi="ar-SA"/>
        </w:rPr>
        <w:t>1</w:t>
      </w:r>
      <w:r>
        <w:rPr>
          <w:rFonts w:hint="eastAsia" w:ascii="仿宋_GB2312" w:hAnsi="仿宋_GB2312" w:eastAsia="仿宋_GB2312" w:cs="仿宋_GB2312"/>
          <w:color w:val="auto"/>
          <w:kern w:val="0"/>
          <w:sz w:val="32"/>
          <w:szCs w:val="32"/>
          <w:highlight w:val="yellow"/>
          <w:lang w:val="en-US" w:eastAsia="zh-CN" w:bidi="ar-SA"/>
        </w:rPr>
        <w:t>0、2024年中央农业生态资源保护资金-地膜科学使用回收项目751.80万元，主要用于加厚地膜加工、使用、加收等补贴。</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11、2024年高标准农田建设补助项目1985.73万元，主要用于2024年3.05万亩高标准农田建设项目。</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12、2024年访惠聚为民办实事--村级支出30万元，主要用于访惠聚工作队访贫问苦、帮扶慰问等为民好事实事支出。</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13、2024年末级渠系建设州本级第一批奖补资金-呼图壁县高标准农田配套水利基础设施末级渠系改造项目奖补资金1283.27万元，主要用于末级渠系改造工程项目。</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14、2024年自治区第八批地方政府债券转贷资金-呼图壁县乡村振兴农村基础设施及公共服务建设项目（五期）478.42万元，主要用于乡村振兴农村基础设施建设。</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15、2024年中央土地指标跨省域调剂收入安排的支出预算（支持农村厕所革命整村推进财政奖补）18.30万元，主要用于人居环境整治建设项目。</w:t>
      </w:r>
    </w:p>
    <w:p>
      <w:pPr>
        <w:pStyle w:val="8"/>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16、2024年自治区第八批地方政府债券转贷资金-呼图壁县农村生活污水治理基础设施建设项目1594.70万元，主要用于农村生活污水基础设施建设。</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kern w:val="0"/>
          <w:sz w:val="32"/>
          <w:szCs w:val="32"/>
          <w:highlight w:val="yellow"/>
          <w:lang w:val="en-US" w:eastAsia="zh-CN" w:bidi="ar-SA"/>
        </w:rPr>
      </w:pPr>
      <w:r>
        <w:rPr>
          <w:rFonts w:hint="eastAsia" w:ascii="仿宋_GB2312" w:hAnsi="仿宋_GB2312" w:eastAsia="仿宋_GB2312" w:cs="仿宋_GB2312"/>
          <w:color w:val="auto"/>
          <w:kern w:val="0"/>
          <w:sz w:val="32"/>
          <w:szCs w:val="32"/>
          <w:highlight w:val="yellow"/>
          <w:lang w:val="en-US" w:eastAsia="zh-CN" w:bidi="ar-SA"/>
        </w:rPr>
        <w:t>昌州财农（2023）53号--2024年自治区衔接资金农村道路公共照明设施建设项目13.21万元，主要用于二十里店镇基础设施建设。</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default" w:ascii="仿宋_GB2312" w:hAnsi="仿宋_GB2312" w:eastAsia="仿宋_GB2312" w:cs="仿宋_GB2312"/>
          <w:color w:val="auto"/>
          <w:kern w:val="0"/>
          <w:sz w:val="32"/>
          <w:szCs w:val="32"/>
          <w:highlight w:val="yellow"/>
          <w:lang w:val="en-US" w:eastAsia="zh-Hans" w:bidi="ar-SA"/>
        </w:rPr>
      </w:pPr>
      <w:r>
        <w:rPr>
          <w:rFonts w:hint="default" w:ascii="仿宋_GB2312" w:hAnsi="仿宋_GB2312" w:eastAsia="仿宋_GB2312" w:cs="仿宋_GB2312"/>
          <w:color w:val="auto"/>
          <w:kern w:val="0"/>
          <w:sz w:val="32"/>
          <w:szCs w:val="32"/>
          <w:highlight w:val="yellow"/>
          <w:lang w:val="en-US" w:eastAsia="zh-Hans" w:bidi="ar-SA"/>
        </w:rPr>
        <w:t>2024年自治区第八批地方政府债券转贷资金-呼图壁县农村生活污水治理项目</w:t>
      </w:r>
      <w:r>
        <w:rPr>
          <w:rFonts w:hint="eastAsia" w:ascii="仿宋_GB2312" w:hAnsi="仿宋_GB2312" w:eastAsia="仿宋_GB2312" w:cs="仿宋_GB2312"/>
          <w:color w:val="auto"/>
          <w:kern w:val="0"/>
          <w:sz w:val="32"/>
          <w:szCs w:val="32"/>
          <w:highlight w:val="yellow"/>
          <w:lang w:val="en-US" w:eastAsia="zh-CN" w:bidi="ar-SA"/>
        </w:rPr>
        <w:t>576.66万元，主要用于农村生活污水治理建设项目。</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default" w:ascii="仿宋_GB2312" w:hAnsi="仿宋_GB2312" w:eastAsia="仿宋_GB2312" w:cs="仿宋_GB2312"/>
          <w:color w:val="auto"/>
          <w:kern w:val="0"/>
          <w:sz w:val="32"/>
          <w:szCs w:val="32"/>
          <w:highlight w:val="yellow"/>
          <w:lang w:val="en-US" w:eastAsia="zh-Hans" w:bidi="ar-SA"/>
        </w:rPr>
      </w:pPr>
      <w:r>
        <w:rPr>
          <w:rFonts w:hint="default" w:ascii="仿宋_GB2312" w:hAnsi="仿宋_GB2312" w:eastAsia="仿宋_GB2312" w:cs="仿宋_GB2312"/>
          <w:color w:val="auto"/>
          <w:kern w:val="0"/>
          <w:sz w:val="32"/>
          <w:szCs w:val="32"/>
          <w:highlight w:val="yellow"/>
          <w:lang w:val="en-US" w:eastAsia="zh-Hans" w:bidi="ar-SA"/>
        </w:rPr>
        <w:t>2024年自治区财政衔接推进乡村振兴补助项目-呼图壁县2024年二十里店镇人居环境提升建设项目</w:t>
      </w:r>
      <w:r>
        <w:rPr>
          <w:rFonts w:hint="eastAsia" w:ascii="仿宋_GB2312" w:hAnsi="仿宋_GB2312" w:eastAsia="仿宋_GB2312" w:cs="仿宋_GB2312"/>
          <w:color w:val="auto"/>
          <w:kern w:val="0"/>
          <w:sz w:val="32"/>
          <w:szCs w:val="32"/>
          <w:highlight w:val="yellow"/>
          <w:lang w:val="en-US" w:eastAsia="zh-CN" w:bidi="ar-SA"/>
        </w:rPr>
        <w:t>5.49万元，主要用于二十里店镇人居环境提升建设项目。</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default" w:ascii="仿宋_GB2312" w:hAnsi="仿宋_GB2312" w:eastAsia="仿宋_GB2312" w:cs="仿宋_GB2312"/>
          <w:color w:val="auto"/>
          <w:kern w:val="0"/>
          <w:sz w:val="32"/>
          <w:szCs w:val="32"/>
          <w:highlight w:val="yellow"/>
          <w:lang w:val="en-US" w:eastAsia="zh-Hans" w:bidi="ar-SA"/>
        </w:rPr>
      </w:pPr>
      <w:r>
        <w:rPr>
          <w:rFonts w:hint="default" w:ascii="仿宋_GB2312" w:hAnsi="仿宋_GB2312" w:eastAsia="仿宋_GB2312" w:cs="仿宋_GB2312"/>
          <w:color w:val="auto"/>
          <w:kern w:val="0"/>
          <w:sz w:val="32"/>
          <w:szCs w:val="32"/>
          <w:highlight w:val="yellow"/>
          <w:lang w:val="en-US" w:eastAsia="zh-Hans" w:bidi="ar-SA"/>
        </w:rPr>
        <w:t>2024年超长期特别国债支持农业机械报废更新资金</w:t>
      </w:r>
      <w:r>
        <w:rPr>
          <w:rFonts w:hint="eastAsia" w:ascii="仿宋_GB2312" w:hAnsi="仿宋_GB2312" w:eastAsia="仿宋_GB2312" w:cs="仿宋_GB2312"/>
          <w:color w:val="auto"/>
          <w:kern w:val="0"/>
          <w:sz w:val="32"/>
          <w:szCs w:val="32"/>
          <w:highlight w:val="yellow"/>
          <w:lang w:val="en-US" w:eastAsia="zh-CN" w:bidi="ar-SA"/>
        </w:rPr>
        <w:t>1.54万元，主要用于农机报废更新补贴。</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default" w:ascii="仿宋_GB2312" w:hAnsi="仿宋_GB2312" w:eastAsia="仿宋_GB2312" w:cs="仿宋_GB2312"/>
          <w:color w:val="auto"/>
          <w:kern w:val="0"/>
          <w:sz w:val="32"/>
          <w:szCs w:val="32"/>
          <w:highlight w:val="yellow"/>
          <w:lang w:val="en-US" w:eastAsia="zh-Hans" w:bidi="ar-SA"/>
        </w:rPr>
      </w:pPr>
      <w:r>
        <w:rPr>
          <w:rFonts w:hint="default" w:ascii="仿宋_GB2312" w:hAnsi="仿宋_GB2312" w:eastAsia="仿宋_GB2312" w:cs="仿宋_GB2312"/>
          <w:color w:val="auto"/>
          <w:kern w:val="0"/>
          <w:sz w:val="32"/>
          <w:szCs w:val="32"/>
          <w:highlight w:val="yellow"/>
          <w:lang w:val="en-US" w:eastAsia="zh-Hans" w:bidi="ar-SA"/>
        </w:rPr>
        <w:t>2024年自治区第十批地方政府债券转贷资金-呼图壁县万头牛农业养殖基地基础设施建设项目</w:t>
      </w:r>
      <w:r>
        <w:rPr>
          <w:rFonts w:hint="eastAsia" w:ascii="仿宋_GB2312" w:hAnsi="仿宋_GB2312" w:eastAsia="仿宋_GB2312" w:cs="仿宋_GB2312"/>
          <w:color w:val="auto"/>
          <w:kern w:val="0"/>
          <w:sz w:val="32"/>
          <w:szCs w:val="32"/>
          <w:highlight w:val="yellow"/>
          <w:lang w:val="en-US" w:eastAsia="zh-CN" w:bidi="ar-SA"/>
        </w:rPr>
        <w:t>14000万元，主要用于万头牛养殖基地基础设施建设。</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color w:val="FF0000"/>
          <w:kern w:val="0"/>
          <w:sz w:val="32"/>
          <w:szCs w:val="32"/>
          <w:highlight w:val="yellow"/>
          <w:lang w:val="en-US" w:eastAsia="zh-Hans"/>
        </w:rPr>
      </w:pPr>
      <w:r>
        <w:rPr>
          <w:rFonts w:hint="default" w:ascii="仿宋_GB2312" w:hAnsi="仿宋_GB2312" w:eastAsia="仿宋_GB2312" w:cs="仿宋_GB2312"/>
          <w:color w:val="auto"/>
          <w:kern w:val="0"/>
          <w:sz w:val="32"/>
          <w:szCs w:val="32"/>
          <w:highlight w:val="yellow"/>
          <w:lang w:val="en-US" w:eastAsia="zh-Hans" w:bidi="ar-SA"/>
        </w:rPr>
        <w:t>2024年自治区第十批地方政府债券转贷资金-呼图壁县高产奶牛标准化养殖基地建设项目</w:t>
      </w:r>
      <w:r>
        <w:rPr>
          <w:rFonts w:hint="eastAsia" w:ascii="仿宋_GB2312" w:hAnsi="仿宋_GB2312" w:eastAsia="仿宋_GB2312" w:cs="仿宋_GB2312"/>
          <w:color w:val="auto"/>
          <w:kern w:val="0"/>
          <w:sz w:val="32"/>
          <w:szCs w:val="32"/>
          <w:highlight w:val="yellow"/>
          <w:lang w:val="en-US" w:eastAsia="zh-CN" w:bidi="ar-SA"/>
        </w:rPr>
        <w:t>8706.86万元，主要用于石梯子高产奶牛标准化养殖基地建设。</w:t>
      </w:r>
    </w:p>
    <w:p>
      <w:pPr>
        <w:pStyle w:val="8"/>
        <w:keepNext w:val="0"/>
        <w:keepLines w:val="0"/>
        <w:pageBreakBefore w:val="0"/>
        <w:widowControl w:val="0"/>
        <w:numPr>
          <w:ilvl w:val="0"/>
          <w:numId w:val="5"/>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color w:val="FF0000"/>
          <w:kern w:val="0"/>
          <w:sz w:val="32"/>
          <w:szCs w:val="32"/>
          <w:highlight w:val="yellow"/>
          <w:lang w:val="en-US" w:eastAsia="zh-Hans"/>
        </w:rPr>
      </w:pPr>
      <w:r>
        <w:rPr>
          <w:rFonts w:hint="default" w:ascii="仿宋_GB2312" w:hAnsi="仿宋_GB2312" w:eastAsia="仿宋_GB2312" w:cs="仿宋_GB2312"/>
          <w:color w:val="auto"/>
          <w:kern w:val="0"/>
          <w:sz w:val="32"/>
          <w:szCs w:val="32"/>
          <w:highlight w:val="yellow"/>
          <w:lang w:val="en-US" w:eastAsia="zh-Hans" w:bidi="ar-SA"/>
        </w:rPr>
        <w:t>2024年自治区第十批地方政府债券转贷资金-昌吉州呼图壁县冷链物流中心建设项目（二期）</w:t>
      </w:r>
      <w:r>
        <w:rPr>
          <w:rFonts w:hint="eastAsia" w:ascii="仿宋_GB2312" w:hAnsi="仿宋_GB2312" w:eastAsia="仿宋_GB2312" w:cs="仿宋_GB2312"/>
          <w:color w:val="auto"/>
          <w:kern w:val="0"/>
          <w:sz w:val="32"/>
          <w:szCs w:val="32"/>
          <w:highlight w:val="yellow"/>
          <w:lang w:val="en-US" w:eastAsia="zh-CN" w:bidi="ar-SA"/>
        </w:rPr>
        <w:t>8000万元，主要用于</w:t>
      </w:r>
      <w:r>
        <w:rPr>
          <w:rFonts w:hint="default" w:ascii="仿宋_GB2312" w:hAnsi="仿宋_GB2312" w:eastAsia="仿宋_GB2312" w:cs="仿宋_GB2312"/>
          <w:color w:val="auto"/>
          <w:kern w:val="0"/>
          <w:sz w:val="32"/>
          <w:szCs w:val="32"/>
          <w:highlight w:val="yellow"/>
          <w:lang w:val="en-US" w:eastAsia="zh-Hans" w:bidi="ar-SA"/>
        </w:rPr>
        <w:t>冷链物流中心建设</w:t>
      </w:r>
      <w:r>
        <w:rPr>
          <w:rFonts w:hint="eastAsia" w:ascii="仿宋_GB2312" w:hAnsi="仿宋_GB2312" w:eastAsia="仿宋_GB2312" w:cs="仿宋_GB2312"/>
          <w:color w:val="auto"/>
          <w:kern w:val="0"/>
          <w:sz w:val="32"/>
          <w:szCs w:val="32"/>
          <w:highlight w:val="yellow"/>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呼图壁县农业农村局2025年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45.25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12.45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37.96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本年在职增加</w:t>
      </w:r>
      <w:r>
        <w:rPr>
          <w:rFonts w:hint="eastAsia" w:ascii="仿宋_GB2312" w:hAnsi="宋体" w:eastAsia="仿宋_GB2312" w:cs="宋体"/>
          <w:color w:val="auto"/>
          <w:kern w:val="0"/>
          <w:sz w:val="32"/>
          <w:szCs w:val="32"/>
          <w:highlight w:val="none"/>
        </w:rPr>
        <w:t>在职</w:t>
      </w:r>
      <w:r>
        <w:rPr>
          <w:rFonts w:hint="eastAsia" w:ascii="仿宋_GB2312" w:hAnsi="宋体" w:eastAsia="仿宋_GB2312" w:cs="宋体"/>
          <w:color w:val="auto"/>
          <w:kern w:val="0"/>
          <w:sz w:val="32"/>
          <w:szCs w:val="32"/>
          <w:highlight w:val="none"/>
          <w:lang w:val="en-US" w:eastAsia="zh-CN"/>
        </w:rPr>
        <w:t>57</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增加3人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w:t>
      </w:r>
      <w:r>
        <w:rPr>
          <w:rFonts w:hint="eastAsia" w:ascii="仿宋_GB2312" w:hAnsi="仿宋_GB2312" w:eastAsia="仿宋_GB2312" w:cs="仿宋_GB2312"/>
          <w:color w:val="auto"/>
          <w:kern w:val="0"/>
          <w:sz w:val="32"/>
          <w:szCs w:val="32"/>
          <w:highlight w:val="none"/>
          <w:lang w:val="en-US" w:eastAsia="zh-CN"/>
        </w:rPr>
        <w:t>，公用经费增加；人员工资变化，工会经费预算增加。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13.92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8.46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5.46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3.31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3.31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72.0264</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53.08</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18.95</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54.45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153.13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2025年部门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整体预算绩效目标1个，涉及预算金额68435.94万元；当年预算安排项目共27个，其中: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涉及预算金额24116.65万元；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750.00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具体情况见下表：</w:t>
      </w:r>
    </w:p>
    <w:p>
      <w:pPr>
        <w:pStyle w:val="2"/>
        <w:rPr>
          <w:rFonts w:hint="eastAsia"/>
          <w:highlight w:val="none"/>
          <w:lang w:val="en-US" w:eastAsia="zh-CN"/>
        </w:rPr>
      </w:pP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204"/>
        <w:gridCol w:w="1820"/>
        <w:gridCol w:w="1271"/>
        <w:gridCol w:w="2837"/>
        <w:gridCol w:w="10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32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014"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32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091"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王忠海</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086"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13345413311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32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14"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抓好农业生产，推动农业生产提质增效，建设农作物正播面积，其中小麦7.2万亩，玉米23万亩，完成2025年高标准农田建设项目。抓好农作物病虫害绿色防控与专业化统防统治工作。大力推广水肥一体化智能灌溉施肥技术应用；稳固畜牧业全产业链发展。一是继续坚持“预防为主”的方针，认真落实动物防疫工作责任制。充分发挥兽医实验室作用，对全县各养殖场的畜禽免疫抗体效果进行定期监测，确保我县疫病防控安全；加强农产品质量安全风险管理，完成定量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2326"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09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23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2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23530.65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23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43704.29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23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2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20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小麦种植面积</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&gt;=7.20万亩</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呼图壁县农业农村局2024年工作总结暨2025年工作计划</w:t>
            </w:r>
          </w:p>
        </w:tc>
        <w:tc>
          <w:tcPr>
            <w:tcW w:w="10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0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玉米正播面积</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&gt;=23万亩</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呼图壁县农业农村局2024年工作总结暨2025年工作计划</w:t>
            </w:r>
          </w:p>
        </w:tc>
        <w:tc>
          <w:tcPr>
            <w:tcW w:w="10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0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农产品质量安全监测合格率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&gt;=98%</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呼图壁县农业农村局2024年工作总结暨2025年工作计划</w:t>
            </w:r>
          </w:p>
        </w:tc>
        <w:tc>
          <w:tcPr>
            <w:tcW w:w="10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04"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重大动物疫病免疫密度</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呼图壁县农业农村局2024年工作总结暨2025年工作计划</w:t>
            </w:r>
          </w:p>
        </w:tc>
        <w:tc>
          <w:tcPr>
            <w:tcW w:w="10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0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免疫抗体合格率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&gt;=70%</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呼图壁县农业农村局2024年工作总结暨2025年工作计划</w:t>
            </w:r>
          </w:p>
        </w:tc>
        <w:tc>
          <w:tcPr>
            <w:tcW w:w="10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04" w:type="dxa"/>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8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农产品定量监测及时率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&gt;=98%</w:t>
            </w:r>
          </w:p>
        </w:tc>
        <w:tc>
          <w:tcPr>
            <w:tcW w:w="2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呼图壁县农业农村局2024年工作总结暨2025年工作计划</w:t>
            </w:r>
          </w:p>
        </w:tc>
        <w:tc>
          <w:tcPr>
            <w:tcW w:w="10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bl>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27"/>
        <w:gridCol w:w="51"/>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0"/>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0"/>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2025年高标准农田建设项目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张振锋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highlight w:val="none"/>
              </w:rPr>
              <w:t>5644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eastAsia"/>
                <w:highlight w:val="none"/>
              </w:rPr>
              <w:t>5644</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于完成新建2.04万亩高标准农田，改造提升5.15万亩，新建滴灌系统90个，沉砂池40座，系统管理房53座，铺设田间地埋PVC管及地面支管。通过项目的实施，使项目区具有良好的管理运行模式，取得良好经济效益，逐步带动全县高效节水灌溉现代化的发展。改善和提高项目区基础设施条件，减少自然灾害对项目区农民造成的损失，增加项目区农民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新建高标准农田面积</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&gt;=2.04（万亩）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改造提升高标准农田面积</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&gt;=5.15万亩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8"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高标准农田建设项目验收合格率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高标准农田建设及时性</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亩均投入</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&lt;=1400元/亩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提高粮食综合生产能力</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80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0"/>
            <w:tcBorders>
              <w:top w:val="nil"/>
              <w:left w:val="nil"/>
              <w:bottom w:val="nil"/>
              <w:right w:val="nil"/>
            </w:tcBorders>
            <w:vAlign w:val="center"/>
          </w:tcPr>
          <w:p>
            <w:pPr>
              <w:pStyle w:val="2"/>
              <w:ind w:left="0" w:leftChars="0" w:firstLine="0" w:firstLineChars="0"/>
              <w:rPr>
                <w:rFonts w:hint="eastAsia"/>
                <w:lang w:val="en-US" w:eastAsia="zh-CN"/>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0"/>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2025年高标准农田建设项目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张振锋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4488</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eastAsia"/>
                <w:highlight w:val="none"/>
              </w:rPr>
              <w:t>4488</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于完成新建2.04万亩高标准农田，改造提升5.15万亩，新建滴灌系统90个，沉砂池40座，系统管理房53座，铺设田间地埋PVC管及地面支管。通过项目的实施，使项目区具有良好的管理运行模式，取得良好经济效益，逐步带动全县高效节水灌溉现代化的发展。改善和提高项目区基础设施条件，减少自然灾害对项目区农民造成的损失，增加项目区农民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新建高标准农田面积</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&gt;=2.04（万亩）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改造提升高标准农田面积</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&gt;=5.15万亩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高标准农田建设项目验收合格率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高标准农田建设及时性</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亩均投入</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&lt;=1400元/亩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提高粮食综合生产能力</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8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55"/>
        <w:gridCol w:w="936"/>
        <w:gridCol w:w="921"/>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提前下达2025年中央农业产业发展资金-2025年优势特色产业集群棉花产业集群项目资金</w:t>
            </w:r>
          </w:p>
        </w:tc>
        <w:tc>
          <w:tcPr>
            <w:tcW w:w="179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826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826</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通过项目实施</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eastAsia="zh-CN"/>
              </w:rPr>
              <w:t>机械化率达到99%以上，棉花单产逐年提高。棉花加工业设备升级、技术改造成效显著，通过订单农业带动农户，棉花种植户增收</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支持农产品加工企业数量（个）</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r>
              <w:rPr>
                <w:rFonts w:hint="eastAsia"/>
                <w:lang w:eastAsia="zh-CN"/>
              </w:rPr>
              <w:t>个</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集群全产业链产值增长明细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明显</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项目按建设时间完成</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12月30日前</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撬动社会资本投入与中央资金比例</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3：1</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社会</w:t>
            </w:r>
            <w:r>
              <w:rPr>
                <w:rFonts w:hint="eastAsia" w:ascii="宋体" w:hAnsi="宋体" w:eastAsia="宋体" w:cs="宋体"/>
                <w:i w:val="0"/>
                <w:iCs w:val="0"/>
                <w:color w:val="000000"/>
                <w:kern w:val="0"/>
                <w:sz w:val="18"/>
                <w:szCs w:val="18"/>
                <w:highlight w:val="none"/>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资金使用重大违规违纪问题</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无</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带动农户增收能力</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良好</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服务对象对中央财政补助经费使用情况的满意度（%）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8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2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bl>
    <w:p>
      <w:pPr>
        <w:rPr>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rPr>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4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37"/>
        <w:gridCol w:w="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trPr>
        <w:tc>
          <w:tcPr>
            <w:tcW w:w="9449"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49"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3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提前下达2025年中央农业生态资源保护资金-2025年农作物秸秆综合利用项目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770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770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38" w:type="dxa"/>
            <w:gridSpan w:val="7"/>
            <w:tcBorders>
              <w:top w:val="single" w:color="000000" w:sz="4" w:space="0"/>
              <w:left w:val="nil"/>
              <w:bottom w:val="single" w:color="000000" w:sz="4" w:space="0"/>
              <w:right w:val="single" w:color="000000" w:sz="4" w:space="0"/>
            </w:tcBorders>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建设秸秆综合利用重点县1个，全县范围内积极推进安装生物质炉具；开展秸秆综合利用培训，推进农作物秸秆饲料化、肥料化等综合利用，使2025年秸秆综合利用率达到95%以上。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建设秸秆综合利用重点县（个）</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涉及面积</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4.4万亩</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秸秆综合利用重点县秸秆综合利用率（%）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秸秆回收打包及时率（%）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秸秆回收打包补助标准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30元/亩</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2"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改善空气质量</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良好</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良好</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按评判等级赋分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3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9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rPr>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4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1141"/>
        <w:gridCol w:w="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7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7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5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提前下达2025年自治区耕地建设与利用资金-2025年耕地地力保护补贴项目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288</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288</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59" w:type="dxa"/>
            <w:gridSpan w:val="7"/>
            <w:tcBorders>
              <w:top w:val="single" w:color="000000" w:sz="4" w:space="0"/>
              <w:left w:val="nil"/>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ind w:firstLine="360" w:firstLineChars="200"/>
              <w:jc w:val="both"/>
              <w:textAlignment w:val="auto"/>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此次补贴项目覆盖7.2万亩冬小麦种植区域，秉持公平、公正、公开原则，以230元/亩的标准精准发放补贴。从前期广泛调研与数据收集，确认冬小麦实际种植亩数，到组织专业人员进行细致审核，确保每一笔数据真实有效。后续将通过规范的财务流程，让补贴资金快速发放到每一位农户账户。该项目的实施，不请能有效减轻农民种植成本负担，还能激励农民加大种植投入，优化种植管理，进一步稳定粮食产量，为全年农业丰收、乡村经济稳健发展筑牢根基，能提高我县种粮农户积极性，增加种粮户收益，完善农业补贴政策体系，让补贴发放更精准、高效，保障粮食稳产增效，促进农业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9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小麦补贴面积（万亩）</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=7万亩</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highlight w:val="none"/>
                <w:lang w:val="en-US" w:eastAsia="zh-CN"/>
              </w:rPr>
            </w:pPr>
            <w:r>
              <w:rPr>
                <w:rFonts w:hint="eastAsia" w:ascii="宋体" w:hAnsi="宋体" w:cs="宋体"/>
                <w:i w:val="0"/>
                <w:iCs w:val="0"/>
                <w:color w:val="000000"/>
                <w:sz w:val="18"/>
                <w:szCs w:val="18"/>
                <w:highlight w:val="none"/>
                <w:u w:val="none"/>
                <w:lang w:val="en-US" w:eastAsia="zh-CN"/>
              </w:rPr>
              <w:t>15</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补贴单位（乡镇）个数</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≥10个</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=10个</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小麦保苗率</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=60%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小麦面积核查及时率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小麦补贴标准</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=230元/亩</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提高辖区内种植户收入</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按照评判等级赋分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受益群众满意度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4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1141"/>
        <w:gridCol w:w="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7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7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5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提前下达2025年中央耕地建设与利用资金-2025年耕地地力保护补贴项目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1368</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1368</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59" w:type="dxa"/>
            <w:gridSpan w:val="7"/>
            <w:tcBorders>
              <w:top w:val="single" w:color="000000" w:sz="4" w:space="0"/>
              <w:left w:val="nil"/>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ind w:firstLine="360" w:firstLineChars="200"/>
              <w:jc w:val="both"/>
              <w:textAlignment w:val="auto"/>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此次补贴项目覆盖7.2万亩冬小麦种植区域，秉持公平、公正、公开原则，以230元/亩的标准精准发放补贴。从前期广泛调研与数据收集，确认冬小麦实际种植亩数，到组织专业人员进行细致审核，确保每一笔数据真实有效。后续将通过规范的财务流程，让补贴资金快速发放到每一位农户账户。该项目的实施，不请能有效减轻农民种植成本负担，还能激励农民加大种植投入，优化种植管理，进一步稳定粮食产量，为全年农业丰收、乡村经济稳健发展筑牢根基，能提高我县种粮农户积极性，增加种粮户收益，完善农业补贴政策体系，让补贴发放更精准、高效，保障粮食稳产增效，促进农业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9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小麦补贴面积（万亩）</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=7万亩</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highlight w:val="none"/>
                <w:lang w:val="en-US" w:eastAsia="zh-CN"/>
              </w:rPr>
            </w:pPr>
            <w:r>
              <w:rPr>
                <w:rFonts w:hint="eastAsia" w:ascii="宋体" w:hAnsi="宋体" w:cs="宋体"/>
                <w:i w:val="0"/>
                <w:iCs w:val="0"/>
                <w:color w:val="000000"/>
                <w:sz w:val="18"/>
                <w:szCs w:val="18"/>
                <w:highlight w:val="none"/>
                <w:u w:val="none"/>
                <w:lang w:val="en-US" w:eastAsia="zh-CN"/>
              </w:rPr>
              <w:t>15</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补贴单位（乡镇）个数</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≥10个</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=10个</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小麦保苗率</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=60%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小麦面积核查及时率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小麦补贴标准</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=230元/亩</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提高辖区内种植户收入</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按照评判等级赋分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受益群众满意度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6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059"/>
        <w:gridCol w:w="1257"/>
        <w:gridCol w:w="1081"/>
        <w:gridCol w:w="917"/>
        <w:gridCol w:w="827"/>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各类农业、畜牧业工作开展经费-农药监督、畜禽屠宰监督管理工作（非定额）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翟文军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125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通过加强农药销售、使用等环节的监管，确保农药使用符合国家标准，大幅降低不合格农药流入市场的风险。严格执法，及时查处农药违法违规案件有力规范农药市场秩序，促进农药行业健康发展。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完成农药监督抽检（批次）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20批次</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关于2025年自治区农药肥料监督专项行动通知</w:t>
            </w:r>
            <w:r>
              <w:rPr>
                <w:rFonts w:hint="eastAsia" w:ascii="宋体" w:hAnsi="宋体" w:cs="宋体"/>
                <w:i w:val="0"/>
                <w:iCs w:val="0"/>
                <w:color w:val="000000"/>
                <w:sz w:val="18"/>
                <w:szCs w:val="18"/>
                <w:highlight w:val="none"/>
                <w:u w:val="none"/>
                <w:lang w:eastAsia="zh-CN"/>
              </w:rPr>
              <w:t>》</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农药市场检查（次数）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5次</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畜禽屠宰监督</w:t>
            </w:r>
            <w:r>
              <w:rPr>
                <w:rFonts w:hint="eastAsia" w:ascii="宋体" w:hAnsi="宋体" w:cs="宋体"/>
                <w:i w:val="0"/>
                <w:iCs w:val="0"/>
                <w:color w:val="000000"/>
                <w:sz w:val="18"/>
                <w:szCs w:val="18"/>
                <w:highlight w:val="none"/>
                <w:u w:val="none"/>
                <w:lang w:val="en-US" w:eastAsia="zh-CN"/>
              </w:rPr>
              <w:t>检查（次）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w:t>
            </w:r>
            <w:r>
              <w:rPr>
                <w:rFonts w:hint="eastAsia" w:ascii="宋体" w:hAnsi="宋体" w:cs="宋体"/>
                <w:i w:val="0"/>
                <w:iCs w:val="0"/>
                <w:color w:val="000000"/>
                <w:kern w:val="2"/>
                <w:sz w:val="18"/>
                <w:szCs w:val="18"/>
                <w:highlight w:val="none"/>
                <w:u w:val="none"/>
                <w:lang w:val="en-US" w:eastAsia="zh-CN" w:bidi="ar-SA"/>
              </w:rPr>
              <w:t>10</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11</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农药违法案件查处率（%）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规范农药市场经营，防止假劣农药流入市场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年内不发生重大坑农害农农药安全事件</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对发现的畜禽屠宰病害产品及时进行无害化处理</w:t>
            </w:r>
          </w:p>
        </w:tc>
        <w:tc>
          <w:tcPr>
            <w:tcW w:w="105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无害化处理率100%</w:t>
            </w:r>
          </w:p>
        </w:tc>
        <w:tc>
          <w:tcPr>
            <w:tcW w:w="12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农民满意度</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95%以上</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2025年农药监管工作要点</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pStyle w:val="8"/>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25"/>
        <w:gridCol w:w="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各类农业、畜牧业工作开展经费-农产品质量安全工作（非定额）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完成10440批次农产品监测任务，全县农产品检测合格率稳定在98%以上。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完成农畜产品监督抽查（批次）</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1020批次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《2025年昌吉州农产品质量安全监测方案》</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1020批次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完成农畜产品风险监测（批次）</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1920批次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《2025年昌吉州农产品质量安全监测方案》</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1920批次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完成乡镇蔬菜快速检测（批次）</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7500批次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《2025年昌吉州农产品质量安全监测方案》</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7500批次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全县农产品检测合格率（%）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98%以上</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《2025年昌吉州农产品质量安全监测方案》</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98%以上</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农产品监管工作经费</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《2025年昌吉州农产品质量安全监测方案》</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15万</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农产品质量安全案件立案率、办结率（%）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2025年农产品质量安全工作要点</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2025年农产品质量安全工作要点</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85%</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pStyle w:val="8"/>
        <w:rPr>
          <w:rFonts w:hint="eastAsia" w:ascii="楷体_GB2312" w:hAnsi="宋体" w:eastAsia="楷体_GB2312" w:cs="宋体"/>
          <w:b/>
          <w:kern w:val="0"/>
          <w:sz w:val="32"/>
          <w:szCs w:val="32"/>
          <w:highlight w:val="none"/>
        </w:rPr>
      </w:pPr>
    </w:p>
    <w:p>
      <w:pPr>
        <w:pStyle w:val="8"/>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7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066"/>
        <w:gridCol w:w="1250"/>
        <w:gridCol w:w="1081"/>
        <w:gridCol w:w="917"/>
        <w:gridCol w:w="1127"/>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34"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34"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723"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2025年中央农业产业发展资金-2025年农机购置补贴项目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叶尔江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6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1153</w:t>
            </w:r>
          </w:p>
        </w:tc>
        <w:tc>
          <w:tcPr>
            <w:tcW w:w="125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1153</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 xml:space="preserve"> 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723" w:type="dxa"/>
            <w:gridSpan w:val="7"/>
            <w:tcBorders>
              <w:top w:val="single" w:color="000000" w:sz="4" w:space="0"/>
              <w:left w:val="nil"/>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通过实施农机购置补贴项目实施，推广新型适用农机具，不断提升农机装备水平，力争全县农作物耕种收综合机械化率达98.5%以上，资金使用无重大违纪违规问题。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农机购置补贴机具数（台（套））</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default" w:ascii="宋体" w:hAnsi="宋体" w:eastAsia="宋体" w:cs="宋体"/>
                <w:i w:val="0"/>
                <w:iCs w:val="0"/>
                <w:color w:val="000000"/>
                <w:sz w:val="18"/>
                <w:szCs w:val="18"/>
                <w:highlight w:val="none"/>
                <w:u w:val="none"/>
              </w:rPr>
              <w:t>5</w:t>
            </w:r>
            <w:r>
              <w:rPr>
                <w:rFonts w:hint="eastAsia" w:ascii="宋体" w:hAnsi="宋体" w:eastAsia="宋体" w:cs="宋体"/>
                <w:i w:val="0"/>
                <w:iCs w:val="0"/>
                <w:color w:val="000000"/>
                <w:sz w:val="18"/>
                <w:szCs w:val="18"/>
                <w:highlight w:val="none"/>
                <w:u w:val="none"/>
              </w:rPr>
              <w:t>8</w:t>
            </w:r>
            <w:r>
              <w:rPr>
                <w:rFonts w:hint="default" w:ascii="宋体" w:hAnsi="宋体" w:eastAsia="宋体" w:cs="宋体"/>
                <w:i w:val="0"/>
                <w:iCs w:val="0"/>
                <w:color w:val="000000"/>
                <w:sz w:val="18"/>
                <w:szCs w:val="18"/>
                <w:highlight w:val="none"/>
                <w:u w:val="none"/>
                <w:lang w:eastAsia="zh-Hans"/>
              </w:rPr>
              <w:t>2</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1680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补贴政策群众知晓率</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农作物耕种收综合机械化率</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 ≥98.5%</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农机购置补贴资金录入及时率</w:t>
            </w:r>
          </w:p>
        </w:tc>
        <w:tc>
          <w:tcPr>
            <w:tcW w:w="10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农机购置补贴年度资金兑付及时率</w:t>
            </w:r>
          </w:p>
        </w:tc>
        <w:tc>
          <w:tcPr>
            <w:tcW w:w="106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农机购置与应用补贴资金支出</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default" w:ascii="宋体" w:hAnsi="宋体" w:eastAsia="宋体" w:cs="宋体"/>
                <w:i w:val="0"/>
                <w:iCs w:val="0"/>
                <w:color w:val="000000"/>
                <w:sz w:val="18"/>
                <w:szCs w:val="18"/>
                <w:highlight w:val="none"/>
                <w:u w:val="none"/>
              </w:rPr>
              <w:t>1153</w:t>
            </w:r>
            <w:r>
              <w:rPr>
                <w:rFonts w:hint="eastAsia" w:ascii="宋体" w:hAnsi="宋体" w:eastAsia="宋体" w:cs="宋体"/>
                <w:i w:val="0"/>
                <w:iCs w:val="0"/>
                <w:color w:val="000000"/>
                <w:sz w:val="18"/>
                <w:szCs w:val="18"/>
                <w:highlight w:val="none"/>
                <w:u w:val="none"/>
              </w:rPr>
              <w:t>万元</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highlight w:val="none"/>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eastAsia" w:ascii="宋体" w:hAnsi="宋体" w:eastAsia="宋体" w:cs="宋体"/>
                <w:b w:val="0"/>
                <w:i w:val="0"/>
                <w:iCs w:val="0"/>
                <w:color w:val="000000"/>
                <w:kern w:val="2"/>
                <w:sz w:val="18"/>
                <w:szCs w:val="18"/>
                <w:highlight w:val="none"/>
                <w:u w:val="none"/>
                <w:lang w:val="en-US" w:eastAsia="zh-CN" w:bidi="ar-SA"/>
              </w:rPr>
            </w:pPr>
            <w:r>
              <w:rPr>
                <w:rFonts w:hint="eastAsia" w:ascii="宋体" w:hAnsi="宋体" w:eastAsia="宋体" w:cs="宋体"/>
                <w:b w:val="0"/>
                <w:i w:val="0"/>
                <w:iCs w:val="0"/>
                <w:color w:val="000000"/>
                <w:kern w:val="2"/>
                <w:sz w:val="18"/>
                <w:szCs w:val="18"/>
                <w:highlight w:val="none"/>
                <w:u w:val="none"/>
                <w:lang w:val="en-US" w:eastAsia="zh-CN" w:bidi="ar-SA"/>
              </w:rPr>
              <w:t>2992.328万元</w:t>
            </w:r>
          </w:p>
          <w:p>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资金使用重大违规违纪问题</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无</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无</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提高农作物耕种收综合机械化水平</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购置补贴受益户满意率</w:t>
            </w:r>
          </w:p>
        </w:tc>
        <w:tc>
          <w:tcPr>
            <w:tcW w:w="10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12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27"/>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呼图壁县2025年中央衔接资金项目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杨欲峰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2494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2494</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严格按照衔接资金管理办法，资金支持巩固拓展脱贫攻坚成果同乡村振兴有效衔接，健全监测帮扶机制，培育壮大特色优势产业，发展新型农村集体经济，补齐必要的农村人居环境和小型公益性基础设施建设短板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国库集中支付管理执行率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97</w:t>
            </w: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公示公告执行</w:t>
            </w:r>
            <w:r>
              <w:rPr>
                <w:rFonts w:hint="eastAsia" w:ascii="宋体" w:hAnsi="宋体" w:cs="宋体"/>
                <w:i w:val="0"/>
                <w:iCs w:val="0"/>
                <w:color w:val="000000"/>
                <w:sz w:val="18"/>
                <w:szCs w:val="18"/>
                <w:highlight w:val="none"/>
                <w:u w:val="none"/>
                <w:lang w:val="en-US" w:eastAsia="zh-CN"/>
              </w:rPr>
              <w:t>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资金支付及时率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项目完工及时率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中央财政衔接资金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2494万元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2494万元</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农村经济活力和发展后劲</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逐步增强</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逐步增强</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农村人居环境状况</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明显改善</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明显改善</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w:t>
            </w:r>
            <w:r>
              <w:rPr>
                <w:rFonts w:hint="eastAsia" w:ascii="宋体" w:hAnsi="宋体" w:cs="宋体"/>
                <w:i w:val="0"/>
                <w:iCs w:val="0"/>
                <w:color w:val="000000"/>
                <w:sz w:val="18"/>
                <w:szCs w:val="18"/>
                <w:highlight w:val="none"/>
                <w:u w:val="none"/>
                <w:lang w:val="en-US" w:eastAsia="zh-CN"/>
              </w:rPr>
              <w:t>群众</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80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rPr>
          <w:highlight w:val="none"/>
        </w:rPr>
      </w:pPr>
    </w:p>
    <w:p>
      <w:pPr>
        <w:pStyle w:val="2"/>
        <w:ind w:left="0" w:leftChars="0" w:firstLine="0" w:firstLineChars="0"/>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4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78"/>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55"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55"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44"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呼图壁县2025年</w:t>
            </w:r>
            <w:r>
              <w:rPr>
                <w:rFonts w:hint="eastAsia" w:ascii="宋体" w:hAnsi="宋体" w:cs="宋体"/>
                <w:i w:val="0"/>
                <w:iCs w:val="0"/>
                <w:color w:val="000000"/>
                <w:sz w:val="18"/>
                <w:szCs w:val="18"/>
                <w:highlight w:val="none"/>
                <w:u w:val="none"/>
                <w:lang w:val="en-US" w:eastAsia="zh-CN"/>
              </w:rPr>
              <w:t>自治区</w:t>
            </w:r>
            <w:r>
              <w:rPr>
                <w:rFonts w:hint="eastAsia" w:ascii="宋体" w:hAnsi="宋体" w:eastAsia="宋体" w:cs="宋体"/>
                <w:i w:val="0"/>
                <w:iCs w:val="0"/>
                <w:color w:val="000000"/>
                <w:sz w:val="18"/>
                <w:szCs w:val="18"/>
                <w:highlight w:val="none"/>
                <w:u w:val="none"/>
              </w:rPr>
              <w:t>衔接资金项目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杨欲峰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410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410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44" w:type="dxa"/>
            <w:gridSpan w:val="7"/>
            <w:tcBorders>
              <w:top w:val="single" w:color="000000" w:sz="4" w:space="0"/>
              <w:left w:val="nil"/>
              <w:bottom w:val="single" w:color="000000" w:sz="4" w:space="0"/>
              <w:right w:val="single" w:color="000000" w:sz="4" w:space="0"/>
            </w:tcBorders>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严格按照衔接资金管理办法，资金支持巩固拓展脱贫攻坚成果同乡村振兴有效衔接，健全监测帮扶机制，培育壮大特色优势产业，发展新型农村集体经济，补齐必要的农村人居环境和小型公益性基础设施建设短板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国库集中支付管理执行率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97</w:t>
            </w: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公示公告执行</w:t>
            </w:r>
            <w:r>
              <w:rPr>
                <w:rFonts w:hint="eastAsia" w:ascii="宋体" w:hAnsi="宋体" w:cs="宋体"/>
                <w:i w:val="0"/>
                <w:iCs w:val="0"/>
                <w:color w:val="000000"/>
                <w:sz w:val="18"/>
                <w:szCs w:val="18"/>
                <w:highlight w:val="none"/>
                <w:u w:val="none"/>
                <w:lang w:val="en-US" w:eastAsia="zh-CN"/>
              </w:rPr>
              <w:t>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项目完工及时率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资金支付及时率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财政衔接资金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410</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410</w:t>
            </w:r>
            <w:r>
              <w:rPr>
                <w:rFonts w:hint="eastAsia" w:ascii="宋体" w:hAnsi="宋体" w:eastAsia="宋体" w:cs="宋体"/>
                <w:i w:val="0"/>
                <w:iCs w:val="0"/>
                <w:color w:val="000000"/>
                <w:sz w:val="18"/>
                <w:szCs w:val="18"/>
                <w:highlight w:val="none"/>
                <w:u w:val="none"/>
              </w:rPr>
              <w:t>万元</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农村经济活力和发展后劲</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逐步增强</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逐步增强</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农村人居环境状况</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明显改善</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明显改善</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w:t>
            </w:r>
            <w:r>
              <w:rPr>
                <w:rFonts w:hint="eastAsia" w:ascii="宋体" w:hAnsi="宋体" w:cs="宋体"/>
                <w:i w:val="0"/>
                <w:iCs w:val="0"/>
                <w:color w:val="000000"/>
                <w:sz w:val="18"/>
                <w:szCs w:val="18"/>
                <w:highlight w:val="none"/>
                <w:u w:val="none"/>
                <w:lang w:val="en-US" w:eastAsia="zh-CN"/>
              </w:rPr>
              <w:t>群众</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衔接资金管理办法要求</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42"/>
        <w:gridCol w:w="7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提前下达2025年中央农业产业发展资金-2025年粮改饲项目补助资金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w:t>
            </w:r>
          </w:p>
        </w:tc>
        <w:tc>
          <w:tcPr>
            <w:tcW w:w="1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支持畜牧业发展，粮改饲结构调整面积2.7万亩。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收储优质青贮</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≧10万吨</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粮改饲结构调整面积</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2.7</w:t>
            </w:r>
            <w:r>
              <w:rPr>
                <w:rFonts w:hint="eastAsia" w:ascii="宋体" w:hAnsi="宋体" w:eastAsia="宋体" w:cs="宋体"/>
                <w:i w:val="0"/>
                <w:iCs w:val="0"/>
                <w:color w:val="000000"/>
                <w:sz w:val="18"/>
                <w:szCs w:val="18"/>
                <w:highlight w:val="none"/>
                <w:u w:val="none"/>
                <w:lang w:val="en-US" w:eastAsia="zh-CN"/>
              </w:rPr>
              <w:t>万</w:t>
            </w:r>
            <w:r>
              <w:rPr>
                <w:rFonts w:hint="eastAsia" w:ascii="宋体" w:hAnsi="宋体" w:cs="宋体"/>
                <w:i w:val="0"/>
                <w:iCs w:val="0"/>
                <w:color w:val="000000"/>
                <w:sz w:val="18"/>
                <w:szCs w:val="18"/>
                <w:highlight w:val="none"/>
                <w:u w:val="none"/>
                <w:lang w:val="en-US" w:eastAsia="zh-CN"/>
              </w:rPr>
              <w:t>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适度规模经营水平</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稳步提升</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cs="Times New Roman"/>
                <w:color w:val="000000"/>
                <w:kern w:val="0"/>
                <w:sz w:val="21"/>
                <w:szCs w:val="21"/>
                <w:highlight w:val="none"/>
                <w:lang w:bidi="ar"/>
              </w:rPr>
              <w:t>资金兑付时间</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12月15日前</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每吨青贮补助标准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Arial" w:hAnsi="Arial" w:eastAsia="东文宋体" w:cs="Arial"/>
                <w:i w:val="0"/>
                <w:iCs w:val="0"/>
                <w:color w:val="000000"/>
                <w:sz w:val="18"/>
                <w:szCs w:val="18"/>
                <w:highlight w:val="none"/>
                <w:u w:val="none"/>
                <w:lang w:val="en-US" w:eastAsia="zh-CN"/>
              </w:rPr>
              <w:t>34元/吨</w:t>
            </w: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eastAsia="zh-CN"/>
              </w:rPr>
              <w:t>补助</w:t>
            </w: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val="en-US" w:eastAsia="zh-CN"/>
              </w:rPr>
              <w:t>40元/吨</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降低养殖场饲草料成本</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降低</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服务对象对补助经费使用情况的满意度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满意度赋分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48"/>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tabs>
                <w:tab w:val="left" w:pos="478"/>
              </w:tabs>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ab/>
            </w:r>
            <w:r>
              <w:rPr>
                <w:rFonts w:hint="eastAsia" w:ascii="宋体" w:hAnsi="宋体" w:cs="宋体"/>
                <w:i w:val="0"/>
                <w:iCs w:val="0"/>
                <w:color w:val="000000"/>
                <w:sz w:val="18"/>
                <w:szCs w:val="18"/>
                <w:highlight w:val="none"/>
                <w:u w:val="none"/>
                <w:lang w:eastAsia="zh-CN"/>
              </w:rPr>
              <w:t>提前下达2025年中央农业生态资源保护资金-2025年草原禁牧补助与草畜平衡奖励</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2617.12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2617.12</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全县落实草原保护补助奖励政策总面积682.5958 万亩，其中，禁牧草原 197.32万亩(严重退化区和风沙源区禁牧192.32万亩、水源涵养区禁牧5万亩)，草畜平衡区485.28万亩。每年发放补助奖励资金 2617.12 万元。牧民要自觉履行禁牧、草畜平衡义务，监管部门要强化监管职责，确保禁牧、草畜平衡任务落实到位。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补助水源涵养区禁牧面积</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=5万亩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草原生态保护补助资金发放到位时间</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9月30日前</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北沙窝草原禁牧区补助标准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=6元/亩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草畜平衡区补助标准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水源涵养区补助标准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资金使用重大违纪违规问题</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无</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按评判等级赋分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农牧民对草原禁牧与草畜平衡奖励政策实施的满意度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&gt;=9</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满意度赋分</w:t>
            </w:r>
          </w:p>
        </w:tc>
        <w:tc>
          <w:tcPr>
            <w:tcW w:w="78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42"/>
        <w:gridCol w:w="7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村级防疫员县级配套补助资金（非定额）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162</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重大动物疫病免疫密度</w:t>
            </w:r>
            <w:r>
              <w:rPr>
                <w:rFonts w:hint="eastAsia" w:ascii="宋体" w:hAnsi="宋体" w:eastAsia="宋体" w:cs="宋体"/>
                <w:i w:val="0"/>
                <w:iCs w:val="0"/>
                <w:color w:val="000000"/>
                <w:sz w:val="18"/>
                <w:szCs w:val="18"/>
                <w:highlight w:val="none"/>
                <w:u w:val="none"/>
                <w:lang w:eastAsia="zh-CN"/>
              </w:rPr>
              <w:t>达到</w:t>
            </w:r>
            <w:r>
              <w:rPr>
                <w:rFonts w:hint="eastAsia" w:ascii="宋体" w:hAnsi="宋体" w:eastAsia="宋体" w:cs="宋体"/>
                <w:i w:val="0"/>
                <w:iCs w:val="0"/>
                <w:color w:val="000000"/>
                <w:sz w:val="18"/>
                <w:szCs w:val="18"/>
                <w:highlight w:val="none"/>
                <w:u w:val="none"/>
                <w:lang w:val="en-US" w:eastAsia="zh-CN"/>
              </w:rPr>
              <w:t>9</w:t>
            </w:r>
            <w:r>
              <w:rPr>
                <w:rFonts w:hint="eastAsia" w:ascii="宋体" w:hAnsi="宋体" w:eastAsia="宋体" w:cs="宋体"/>
                <w:i w:val="0"/>
                <w:iCs w:val="0"/>
                <w:color w:val="000000"/>
                <w:sz w:val="18"/>
                <w:szCs w:val="18"/>
                <w:highlight w:val="none"/>
                <w:u w:val="none"/>
              </w:rPr>
              <w:t>0%</w:t>
            </w:r>
            <w:r>
              <w:rPr>
                <w:rFonts w:hint="eastAsia" w:ascii="宋体" w:hAnsi="宋体" w:eastAsia="宋体" w:cs="宋体"/>
                <w:i w:val="0"/>
                <w:iCs w:val="0"/>
                <w:color w:val="000000"/>
                <w:sz w:val="18"/>
                <w:szCs w:val="18"/>
                <w:highlight w:val="none"/>
                <w:u w:val="none"/>
                <w:lang w:eastAsia="zh-CN"/>
              </w:rPr>
              <w:t>以上</w:t>
            </w:r>
            <w:r>
              <w:rPr>
                <w:rFonts w:hint="eastAsia" w:ascii="宋体" w:hAnsi="宋体" w:eastAsia="宋体" w:cs="宋体"/>
                <w:i w:val="0"/>
                <w:iCs w:val="0"/>
                <w:color w:val="000000"/>
                <w:sz w:val="18"/>
                <w:szCs w:val="18"/>
                <w:highlight w:val="none"/>
                <w:u w:val="none"/>
              </w:rPr>
              <w:t>，重大动物疫病免疫抗体合格率</w:t>
            </w:r>
            <w:r>
              <w:rPr>
                <w:rFonts w:hint="eastAsia" w:ascii="宋体" w:hAnsi="宋体" w:eastAsia="宋体" w:cs="宋体"/>
                <w:i w:val="0"/>
                <w:iCs w:val="0"/>
                <w:color w:val="000000"/>
                <w:sz w:val="18"/>
                <w:szCs w:val="18"/>
                <w:highlight w:val="none"/>
                <w:u w:val="none"/>
                <w:lang w:eastAsia="zh-CN"/>
              </w:rPr>
              <w:t>达到</w:t>
            </w:r>
            <w:r>
              <w:rPr>
                <w:rFonts w:hint="eastAsia" w:ascii="宋体" w:hAnsi="宋体" w:eastAsia="宋体" w:cs="宋体"/>
                <w:i w:val="0"/>
                <w:iCs w:val="0"/>
                <w:color w:val="000000"/>
                <w:sz w:val="18"/>
                <w:szCs w:val="18"/>
                <w:highlight w:val="none"/>
                <w:u w:val="none"/>
              </w:rPr>
              <w:t>70%，</w:t>
            </w:r>
            <w:r>
              <w:rPr>
                <w:rFonts w:hint="eastAsia" w:ascii="宋体" w:hAnsi="宋体" w:eastAsia="宋体" w:cs="宋体"/>
                <w:i w:val="0"/>
                <w:iCs w:val="0"/>
                <w:color w:val="000000"/>
                <w:sz w:val="18"/>
                <w:szCs w:val="18"/>
                <w:highlight w:val="none"/>
                <w:u w:val="none"/>
                <w:lang w:eastAsia="zh-CN"/>
              </w:rPr>
              <w:t>全年无重大动物疫病发生。</w:t>
            </w:r>
            <w:r>
              <w:rPr>
                <w:rFonts w:hint="eastAsia" w:ascii="仿宋_GB2312" w:hAnsi="仿宋_GB2312" w:eastAsia="仿宋_GB2312" w:cs="仿宋_GB2312"/>
                <w:sz w:val="32"/>
                <w:szCs w:val="32"/>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补助防疫公司数量</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3家</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重大动物疫病免疫密度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重大动物疫病免疫抗体合格率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疫苗免疫及时率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动物防疫员工资补助标准</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val="en-US" w:eastAsia="zh-CN"/>
              </w:rPr>
              <w:t>10000万元/人/年</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提高动物防疫员工作积极性</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有效提高</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按评判等级赋分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动物防疫员满意度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&gt;=9</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4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满意度赋分</w:t>
            </w:r>
          </w:p>
        </w:tc>
        <w:tc>
          <w:tcPr>
            <w:tcW w:w="78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149"/>
        <w:gridCol w:w="90"/>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1"/>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1"/>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提前下达2025年中央农业防灾减灾和水利救灾资金（动物防疫补助）-政府购买动物防疫服务项目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85.28</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85.28</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vAlign w:val="top"/>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重大动物疫病免疫密度</w:t>
            </w:r>
            <w:r>
              <w:rPr>
                <w:rFonts w:hint="eastAsia" w:ascii="宋体" w:hAnsi="宋体" w:eastAsia="宋体" w:cs="宋体"/>
                <w:i w:val="0"/>
                <w:iCs w:val="0"/>
                <w:color w:val="000000"/>
                <w:sz w:val="18"/>
                <w:szCs w:val="18"/>
                <w:highlight w:val="none"/>
                <w:u w:val="none"/>
                <w:lang w:eastAsia="zh-CN"/>
              </w:rPr>
              <w:t>达到</w:t>
            </w:r>
            <w:r>
              <w:rPr>
                <w:rFonts w:hint="eastAsia" w:ascii="宋体" w:hAnsi="宋体" w:eastAsia="宋体" w:cs="宋体"/>
                <w:i w:val="0"/>
                <w:iCs w:val="0"/>
                <w:color w:val="000000"/>
                <w:sz w:val="18"/>
                <w:szCs w:val="18"/>
                <w:highlight w:val="none"/>
                <w:u w:val="none"/>
                <w:lang w:val="en-US" w:eastAsia="zh-CN"/>
              </w:rPr>
              <w:t>9</w:t>
            </w:r>
            <w:r>
              <w:rPr>
                <w:rFonts w:hint="eastAsia" w:ascii="宋体" w:hAnsi="宋体" w:eastAsia="宋体" w:cs="宋体"/>
                <w:i w:val="0"/>
                <w:iCs w:val="0"/>
                <w:color w:val="000000"/>
                <w:sz w:val="18"/>
                <w:szCs w:val="18"/>
                <w:highlight w:val="none"/>
                <w:u w:val="none"/>
              </w:rPr>
              <w:t>0%</w:t>
            </w:r>
            <w:r>
              <w:rPr>
                <w:rFonts w:hint="eastAsia" w:ascii="宋体" w:hAnsi="宋体" w:eastAsia="宋体" w:cs="宋体"/>
                <w:i w:val="0"/>
                <w:iCs w:val="0"/>
                <w:color w:val="000000"/>
                <w:sz w:val="18"/>
                <w:szCs w:val="18"/>
                <w:highlight w:val="none"/>
                <w:u w:val="none"/>
                <w:lang w:eastAsia="zh-CN"/>
              </w:rPr>
              <w:t>以上</w:t>
            </w:r>
            <w:r>
              <w:rPr>
                <w:rFonts w:hint="eastAsia" w:ascii="宋体" w:hAnsi="宋体" w:eastAsia="宋体" w:cs="宋体"/>
                <w:i w:val="0"/>
                <w:iCs w:val="0"/>
                <w:color w:val="000000"/>
                <w:sz w:val="18"/>
                <w:szCs w:val="18"/>
                <w:highlight w:val="none"/>
                <w:u w:val="none"/>
              </w:rPr>
              <w:t>，重大动物疫病免疫抗体合格率</w:t>
            </w:r>
            <w:r>
              <w:rPr>
                <w:rFonts w:hint="eastAsia" w:ascii="宋体" w:hAnsi="宋体" w:eastAsia="宋体" w:cs="宋体"/>
                <w:i w:val="0"/>
                <w:iCs w:val="0"/>
                <w:color w:val="000000"/>
                <w:sz w:val="18"/>
                <w:szCs w:val="18"/>
                <w:highlight w:val="none"/>
                <w:u w:val="none"/>
                <w:lang w:eastAsia="zh-CN"/>
              </w:rPr>
              <w:t>达到</w:t>
            </w:r>
            <w:r>
              <w:rPr>
                <w:rFonts w:hint="eastAsia" w:ascii="宋体" w:hAnsi="宋体" w:eastAsia="宋体" w:cs="宋体"/>
                <w:i w:val="0"/>
                <w:iCs w:val="0"/>
                <w:color w:val="000000"/>
                <w:sz w:val="18"/>
                <w:szCs w:val="18"/>
                <w:highlight w:val="none"/>
                <w:u w:val="none"/>
              </w:rPr>
              <w:t>70%，</w:t>
            </w:r>
            <w:r>
              <w:rPr>
                <w:rFonts w:hint="eastAsia" w:ascii="宋体" w:hAnsi="宋体" w:eastAsia="宋体" w:cs="宋体"/>
                <w:i w:val="0"/>
                <w:iCs w:val="0"/>
                <w:color w:val="000000"/>
                <w:sz w:val="18"/>
                <w:szCs w:val="18"/>
                <w:highlight w:val="none"/>
                <w:u w:val="none"/>
                <w:lang w:eastAsia="zh-CN"/>
              </w:rPr>
              <w:t>全年无重大动物疫病发生。</w:t>
            </w:r>
          </w:p>
          <w:p>
            <w:pPr>
              <w:jc w:val="center"/>
              <w:rPr>
                <w:rFonts w:hint="eastAsia" w:ascii="宋体" w:hAnsi="宋体" w:eastAsia="宋体" w:cs="宋体"/>
                <w:i w:val="0"/>
                <w:iCs w:val="0"/>
                <w:color w:val="000000"/>
                <w:sz w:val="18"/>
                <w:szCs w:val="18"/>
                <w:highlight w:val="none"/>
                <w:u w:val="none"/>
              </w:rPr>
            </w:pPr>
            <w:r>
              <w:rPr>
                <w:rFonts w:hint="eastAsia" w:ascii="仿宋_GB2312" w:hAnsi="仿宋_GB2312" w:eastAsia="仿宋_GB2312" w:cs="仿宋_GB2312"/>
                <w:sz w:val="32"/>
                <w:szCs w:val="32"/>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补助防疫公司数量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3家</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重大动物疫病免疫密度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重大动物疫病免疫抗体合格率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疫苗免疫及时率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动物防疫员工资补助标准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val="en-US" w:eastAsia="zh-CN"/>
              </w:rPr>
              <w:t>10000万元/人/年</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提高动物防疫员工作积极性</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有效提高</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按评判等级赋分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动物防疫员满意度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&gt;=9</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95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满意度赋分</w:t>
            </w:r>
          </w:p>
        </w:tc>
        <w:tc>
          <w:tcPr>
            <w:tcW w:w="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1"/>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1"/>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提前下达2025年中央农业产业发展资金-2025年种畜禽生产性能测定项目资金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shd w:val="clear" w:color="auto" w:fill="auto"/>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推动畜禽种业高质量发展，种畜禽生产性能测定1000头。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完成西门塔尔牛生产性能测定数量</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1000头</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生产性能测定合格率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饲草料采购合格率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生产性能测定及时率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每头牛测定补助标准</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val="en-US" w:eastAsia="zh-CN"/>
              </w:rPr>
              <w:t>1000元/头</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种畜禽生产性能测定规范化、标准化水平</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按评判等级赋分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补助企业满意度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满意度赋分</w:t>
            </w:r>
          </w:p>
        </w:tc>
        <w:tc>
          <w:tcPr>
            <w:tcW w:w="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11"/>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11"/>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提前下达2025年中央农业产业发展资金-2025年奶业生产能力提升整县推进项目资金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县</w:t>
            </w:r>
            <w:r>
              <w:rPr>
                <w:rFonts w:hint="eastAsia" w:ascii="宋体" w:hAnsi="宋体" w:cs="宋体"/>
                <w:i w:val="0"/>
                <w:iCs w:val="0"/>
                <w:color w:val="000000"/>
                <w:sz w:val="18"/>
                <w:szCs w:val="18"/>
                <w:highlight w:val="none"/>
                <w:u w:val="none"/>
                <w:lang w:eastAsia="zh-CN"/>
              </w:rPr>
              <w:t>域</w:t>
            </w:r>
            <w:r>
              <w:rPr>
                <w:rFonts w:hint="eastAsia" w:ascii="宋体" w:hAnsi="宋体" w:eastAsia="宋体" w:cs="宋体"/>
                <w:i w:val="0"/>
                <w:iCs w:val="0"/>
                <w:color w:val="000000"/>
                <w:sz w:val="18"/>
                <w:szCs w:val="18"/>
                <w:highlight w:val="none"/>
                <w:u w:val="none"/>
                <w:lang w:eastAsia="zh-CN"/>
              </w:rPr>
              <w:t>平均奶牛单产水平提升至9.5吨/年以上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县平均奶牛单产水平（吨/年）</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提高规模化经营水平</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年度资金执行率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实施草畜配套建设补助标准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rPr>
            </w:pP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val="en-US" w:eastAsia="zh-CN"/>
              </w:rPr>
              <w:t>400万元/个</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实施智慧牧场建设补助标准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default" w:ascii="Arial" w:hAnsi="Arial" w:eastAsia="东文宋体" w:cs="Arial"/>
                <w:i w:val="0"/>
                <w:iCs w:val="0"/>
                <w:color w:val="000000"/>
                <w:sz w:val="18"/>
                <w:szCs w:val="18"/>
                <w:highlight w:val="none"/>
                <w:u w:val="none"/>
                <w:lang w:eastAsia="zh-CN"/>
              </w:rPr>
              <w:t>≦</w:t>
            </w:r>
            <w:r>
              <w:rPr>
                <w:rFonts w:hint="eastAsia" w:ascii="Arial" w:hAnsi="Arial" w:eastAsia="东文宋体" w:cs="Arial"/>
                <w:i w:val="0"/>
                <w:iCs w:val="0"/>
                <w:color w:val="000000"/>
                <w:sz w:val="18"/>
                <w:szCs w:val="18"/>
                <w:highlight w:val="none"/>
                <w:u w:val="none"/>
                <w:lang w:val="en-US" w:eastAsia="zh-CN"/>
              </w:rPr>
              <w:t>300万元/个</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资</w:t>
            </w:r>
            <w:r>
              <w:rPr>
                <w:rFonts w:hint="eastAsia" w:ascii="宋体" w:hAnsi="宋体" w:eastAsia="宋体" w:cs="宋体"/>
                <w:i w:val="0"/>
                <w:iCs w:val="0"/>
                <w:color w:val="000000"/>
                <w:sz w:val="18"/>
                <w:szCs w:val="18"/>
                <w:highlight w:val="none"/>
                <w:u w:val="none"/>
              </w:rPr>
              <w:t>金使用重大违规违纪问题</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无</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服务对象对中央财政补助经费使用情况的满意度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0"/>
        <w:gridCol w:w="1199"/>
        <w:gridCol w:w="1305"/>
        <w:gridCol w:w="859"/>
        <w:gridCol w:w="1457"/>
        <w:gridCol w:w="1080"/>
        <w:gridCol w:w="917"/>
        <w:gridCol w:w="713"/>
        <w:gridCol w:w="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1"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呼图壁县加州鲈、河鲈原良种场改扩建项目</w:t>
            </w:r>
          </w:p>
        </w:tc>
        <w:tc>
          <w:tcPr>
            <w:tcW w:w="199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3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145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3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0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1" w:type="dxa"/>
            <w:gridSpan w:val="7"/>
            <w:tcBorders>
              <w:top w:val="single" w:color="000000" w:sz="4" w:space="0"/>
              <w:left w:val="nil"/>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建设≥</w:t>
            </w:r>
            <w:r>
              <w:rPr>
                <w:rFonts w:hint="eastAsia" w:ascii="宋体" w:hAnsi="宋体" w:cs="宋体"/>
                <w:i w:val="0"/>
                <w:iCs w:val="0"/>
                <w:color w:val="000000"/>
                <w:sz w:val="18"/>
                <w:szCs w:val="18"/>
                <w:highlight w:val="none"/>
                <w:u w:val="none"/>
                <w:lang w:val="en-US" w:eastAsia="zh-CN"/>
              </w:rPr>
              <w:t>2090</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eastAsia="zh-CN"/>
              </w:rPr>
              <w:t>苗种繁育车间及配套建设，项目建成后提升加州鲈、河鲈良种基础群体保存供应和繁育生产推广能力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1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大水面及苗种繁育车间及配套设施建设与升级（㎡）</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≥2090㎡</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昌州财农【2024】58号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yellow"/>
                <w:u w:val="none"/>
                <w:lang w:val="en-US" w:eastAsia="zh-CN"/>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65</w:t>
            </w:r>
          </w:p>
        </w:tc>
        <w:tc>
          <w:tcPr>
            <w:tcW w:w="7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按照完成比例赋分</w:t>
            </w:r>
          </w:p>
        </w:tc>
        <w:tc>
          <w:tcPr>
            <w:tcW w:w="9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单个实施主体补助标准（万元）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≧205万元</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昌州财农【2024】58号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yellow"/>
                <w:u w:val="none"/>
                <w:lang w:val="en-US" w:eastAsia="zh-CN"/>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9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1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项目资金支出（万元）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≧205万元</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昌州财农【2024】58号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yellow"/>
                <w:u w:val="none"/>
                <w:lang w:val="en-US" w:eastAsia="zh-CN"/>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9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1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kern w:val="0"/>
                <w:sz w:val="22"/>
                <w:szCs w:val="22"/>
                <w:highlight w:val="none"/>
                <w:u w:val="none"/>
                <w:lang w:val="en-US" w:eastAsia="zh-CN" w:bidi="ar"/>
              </w:rPr>
              <w:t>资</w:t>
            </w:r>
            <w:r>
              <w:rPr>
                <w:rFonts w:hint="eastAsia" w:ascii="宋体" w:hAnsi="宋体" w:eastAsia="宋体" w:cs="宋体"/>
                <w:i w:val="0"/>
                <w:iCs w:val="0"/>
                <w:color w:val="000000"/>
                <w:kern w:val="0"/>
                <w:sz w:val="22"/>
                <w:szCs w:val="22"/>
                <w:highlight w:val="none"/>
                <w:u w:val="none"/>
                <w:lang w:val="en-US" w:eastAsia="zh-CN" w:bidi="ar"/>
              </w:rPr>
              <w:t>金使用重大违规违纪问题</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无</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昌州财农【2024】58号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yellow"/>
                <w:u w:val="none"/>
                <w:lang w:val="en-US" w:eastAsia="zh-CN"/>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9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水产品稳产保供能力</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提升</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昌州财农【2024】58号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yellow"/>
                <w:u w:val="none"/>
                <w:lang w:val="en-US" w:eastAsia="zh-CN"/>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9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11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渔业绿色发展循环发展满意度</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≥90%</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昌州财农【2024】58号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yellow"/>
                <w:u w:val="none"/>
                <w:lang w:val="en-US" w:eastAsia="zh-CN"/>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9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工作资料</w:t>
            </w:r>
          </w:p>
        </w:tc>
      </w:tr>
    </w:tbl>
    <w:p>
      <w:pPr>
        <w:rPr>
          <w:highlight w:val="none"/>
        </w:rPr>
      </w:pPr>
    </w:p>
    <w:p>
      <w:pPr>
        <w:pStyle w:val="2"/>
        <w:ind w:left="0" w:leftChars="0" w:firstLine="0" w:firstLineChars="0"/>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63"/>
        <w:gridCol w:w="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2025年中央农业产业发展资金-2025年牧区畜牧良种补贴项目资金</w:t>
            </w:r>
          </w:p>
          <w:p>
            <w:pPr>
              <w:jc w:val="center"/>
              <w:rPr>
                <w:rFonts w:hint="eastAsia" w:ascii="宋体" w:hAnsi="宋体" w:eastAsia="宋体" w:cs="宋体"/>
                <w:i w:val="0"/>
                <w:iCs w:val="0"/>
                <w:color w:val="000000"/>
                <w:sz w:val="18"/>
                <w:szCs w:val="18"/>
                <w:highlight w:val="none"/>
                <w:u w:val="none"/>
              </w:rPr>
            </w:pP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推动种业高质量发展，牧区良种补贴0.6万份牛精液单位。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牧区良种补贴数量（万份牛精液单位）</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0.6</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6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76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可持续影响</w:t>
            </w:r>
            <w:r>
              <w:rPr>
                <w:rFonts w:hint="eastAsia" w:ascii="宋体" w:hAnsi="宋体" w:eastAsia="宋体" w:cs="宋体"/>
                <w:i w:val="0"/>
                <w:iCs w:val="0"/>
                <w:color w:val="000000"/>
                <w:kern w:val="0"/>
                <w:sz w:val="18"/>
                <w:szCs w:val="18"/>
                <w:highlight w:val="none"/>
                <w:u w:val="none"/>
                <w:lang w:val="en-US" w:eastAsia="zh-CN" w:bidi="ar"/>
              </w:rPr>
              <w:t>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稳定农民畜牧业生产积极性</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rPr>
            </w:pPr>
            <w:r>
              <w:rPr>
                <w:rFonts w:hint="default" w:ascii="Arial" w:hAnsi="Arial" w:eastAsia="东文宋体" w:cs="Arial"/>
                <w:i w:val="0"/>
                <w:iCs w:val="0"/>
                <w:color w:val="000000"/>
                <w:sz w:val="18"/>
                <w:szCs w:val="18"/>
                <w:highlight w:val="none"/>
                <w:u w:val="none"/>
                <w:lang w:eastAsia="zh-CN"/>
              </w:rPr>
              <w:t>保持稳定</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6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保证主要畜禽存栏量稳定</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default" w:ascii="Arial" w:hAnsi="Arial" w:eastAsia="东文宋体" w:cs="Arial"/>
                <w:i w:val="0"/>
                <w:iCs w:val="0"/>
                <w:color w:val="000000"/>
                <w:sz w:val="18"/>
                <w:szCs w:val="18"/>
                <w:highlight w:val="none"/>
                <w:u w:val="none"/>
                <w:lang w:eastAsia="zh-CN"/>
              </w:rPr>
              <w:t>保持稳定</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76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资</w:t>
            </w:r>
            <w:r>
              <w:rPr>
                <w:rFonts w:hint="eastAsia" w:ascii="宋体" w:hAnsi="宋体" w:eastAsia="宋体" w:cs="宋体"/>
                <w:i w:val="0"/>
                <w:iCs w:val="0"/>
                <w:color w:val="000000"/>
                <w:sz w:val="18"/>
                <w:szCs w:val="18"/>
                <w:highlight w:val="none"/>
                <w:u w:val="none"/>
              </w:rPr>
              <w:t>金使用重大违规违纪问题</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无</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6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76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6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76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提前下达2025年中央农业生态资源保护资金-2025年地膜科学使用回收项目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推广</w:t>
            </w:r>
            <w:r>
              <w:rPr>
                <w:rFonts w:hint="eastAsia" w:ascii="宋体" w:hAnsi="宋体" w:cs="宋体"/>
                <w:i w:val="0"/>
                <w:iCs w:val="0"/>
                <w:color w:val="000000"/>
                <w:sz w:val="18"/>
                <w:szCs w:val="18"/>
                <w:highlight w:val="none"/>
                <w:u w:val="none"/>
                <w:lang w:val="en-US" w:eastAsia="zh-CN"/>
              </w:rPr>
              <w:t>15</w:t>
            </w:r>
            <w:r>
              <w:rPr>
                <w:rFonts w:hint="eastAsia" w:ascii="宋体" w:hAnsi="宋体" w:eastAsia="宋体" w:cs="宋体"/>
                <w:i w:val="0"/>
                <w:iCs w:val="0"/>
                <w:color w:val="000000"/>
                <w:sz w:val="18"/>
                <w:szCs w:val="18"/>
                <w:highlight w:val="none"/>
                <w:u w:val="none"/>
              </w:rPr>
              <w:t>万亩</w:t>
            </w:r>
            <w:r>
              <w:rPr>
                <w:rFonts w:hint="eastAsia" w:ascii="宋体" w:hAnsi="宋体" w:cs="宋体"/>
                <w:i w:val="0"/>
                <w:iCs w:val="0"/>
                <w:color w:val="000000"/>
                <w:sz w:val="18"/>
                <w:szCs w:val="18"/>
                <w:highlight w:val="none"/>
                <w:u w:val="none"/>
                <w:lang w:val="en-US" w:eastAsia="zh-CN"/>
              </w:rPr>
              <w:t>加厚高强度地膜</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农膜处置</w:t>
            </w:r>
            <w:r>
              <w:rPr>
                <w:rFonts w:hint="eastAsia" w:ascii="宋体" w:hAnsi="宋体" w:eastAsia="宋体" w:cs="宋体"/>
                <w:i w:val="0"/>
                <w:iCs w:val="0"/>
                <w:color w:val="000000"/>
                <w:sz w:val="18"/>
                <w:szCs w:val="18"/>
                <w:highlight w:val="none"/>
                <w:u w:val="none"/>
              </w:rPr>
              <w:t>率达85%以上。通过项目的实施，促进农业绿色发展，</w:t>
            </w:r>
            <w:r>
              <w:rPr>
                <w:rFonts w:hint="eastAsia" w:ascii="宋体" w:hAnsi="宋体" w:cs="宋体"/>
                <w:i w:val="0"/>
                <w:iCs w:val="0"/>
                <w:color w:val="000000"/>
                <w:sz w:val="18"/>
                <w:szCs w:val="18"/>
                <w:highlight w:val="none"/>
                <w:u w:val="none"/>
                <w:lang w:val="en-US" w:eastAsia="zh-CN"/>
              </w:rPr>
              <w:t>完善</w:t>
            </w:r>
            <w:r>
              <w:rPr>
                <w:rFonts w:hint="eastAsia" w:ascii="宋体" w:hAnsi="宋体" w:eastAsia="宋体" w:cs="宋体"/>
                <w:i w:val="0"/>
                <w:iCs w:val="0"/>
                <w:color w:val="000000"/>
                <w:sz w:val="18"/>
                <w:szCs w:val="18"/>
                <w:highlight w:val="none"/>
                <w:u w:val="none"/>
              </w:rPr>
              <w:t>地腹回收长效机制，</w:t>
            </w:r>
            <w:r>
              <w:rPr>
                <w:rFonts w:hint="eastAsia" w:ascii="宋体" w:hAnsi="宋体" w:cs="宋体"/>
                <w:i w:val="0"/>
                <w:iCs w:val="0"/>
                <w:color w:val="000000"/>
                <w:sz w:val="18"/>
                <w:szCs w:val="18"/>
                <w:highlight w:val="none"/>
                <w:u w:val="none"/>
                <w:lang w:val="en-US" w:eastAsia="zh-CN"/>
              </w:rPr>
              <w:t>改善</w:t>
            </w:r>
            <w:r>
              <w:rPr>
                <w:rFonts w:hint="eastAsia" w:ascii="宋体" w:hAnsi="宋体" w:eastAsia="宋体" w:cs="宋体"/>
                <w:i w:val="0"/>
                <w:iCs w:val="0"/>
                <w:color w:val="000000"/>
                <w:sz w:val="18"/>
                <w:szCs w:val="18"/>
                <w:highlight w:val="none"/>
                <w:u w:val="none"/>
              </w:rPr>
              <w:t>土壤环境，实</w:t>
            </w:r>
            <w:r>
              <w:rPr>
                <w:rFonts w:hint="eastAsia" w:ascii="宋体" w:hAnsi="宋体" w:cs="宋体"/>
                <w:i w:val="0"/>
                <w:iCs w:val="0"/>
                <w:color w:val="000000"/>
                <w:sz w:val="18"/>
                <w:szCs w:val="18"/>
                <w:highlight w:val="none"/>
                <w:u w:val="none"/>
                <w:lang w:val="en-US" w:eastAsia="zh-CN"/>
              </w:rPr>
              <w:t>现</w:t>
            </w:r>
            <w:r>
              <w:rPr>
                <w:rFonts w:hint="eastAsia" w:ascii="宋体" w:hAnsi="宋体" w:eastAsia="宋体" w:cs="宋体"/>
                <w:i w:val="0"/>
                <w:iCs w:val="0"/>
                <w:color w:val="000000"/>
                <w:sz w:val="18"/>
                <w:szCs w:val="18"/>
                <w:highlight w:val="none"/>
                <w:u w:val="none"/>
              </w:rPr>
              <w:t>农业可持续发展。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地膜科学使用回收推广面积（万亩）</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≥15万亩</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47</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项目区农膜处置率（%）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≥85%</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85%</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13</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加厚高强度地膜回收及时率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加厚高强度地膜补贴标准</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≤20元/亩</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20元/亩</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降低土壤污染</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良好</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良好</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pStyle w:val="2"/>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呼图壁县第三次全国土壤普查工作县级配套资金（非定额）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何建军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417</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417</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ind w:firstLine="360" w:firstLineChars="200"/>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按照合同约定，</w:t>
            </w:r>
            <w:r>
              <w:rPr>
                <w:rFonts w:hint="eastAsia" w:ascii="宋体" w:hAnsi="宋体" w:eastAsia="宋体" w:cs="宋体"/>
                <w:i w:val="0"/>
                <w:iCs w:val="0"/>
                <w:color w:val="000000"/>
                <w:sz w:val="18"/>
                <w:szCs w:val="18"/>
                <w:highlight w:val="none"/>
                <w:u w:val="none"/>
                <w:lang w:val="en-US" w:eastAsia="zh-CN"/>
              </w:rPr>
              <w:t>完成1446个土壤样品的调查与外业采样、1683个土壤样品的制备和转运工作，并完成2022年盐碱地553个样点的剩余指标检测和2023年1713个土壤样品的检测工作。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完成土壤样品的调查与采样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1446个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1446个</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完成土壤样品的制备和转运</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1683个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1683个</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完成</w:t>
            </w:r>
            <w:r>
              <w:rPr>
                <w:rFonts w:hint="eastAsia" w:ascii="宋体" w:hAnsi="宋体" w:eastAsia="宋体" w:cs="宋体"/>
                <w:i w:val="0"/>
                <w:iCs w:val="0"/>
                <w:color w:val="000000"/>
                <w:sz w:val="18"/>
                <w:szCs w:val="18"/>
                <w:highlight w:val="none"/>
                <w:u w:val="none"/>
                <w:lang w:val="en-US" w:eastAsia="zh-CN"/>
              </w:rPr>
              <w:t>土壤样品的检测</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1713个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1713个</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土壤普查合格率</w:t>
            </w:r>
            <w:r>
              <w:rPr>
                <w:rFonts w:hint="eastAsia" w:ascii="宋体" w:hAnsi="宋体" w:cs="宋体"/>
                <w:i w:val="0"/>
                <w:iCs w:val="0"/>
                <w:color w:val="000000"/>
                <w:sz w:val="18"/>
                <w:szCs w:val="18"/>
                <w:highlight w:val="none"/>
                <w:u w:val="none"/>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90%以上</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90%以上</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第三次全国土壤普查项目资金支付时限</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2025年12月30日前</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第三次全国土壤普查工作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417万元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150万</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准确掌握土壤质量、性状和利用状况等基础数据</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为土壤的规划利用、保护管理等提供科学支撑</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第三次全国土壤普查工作要求</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工作资料</w:t>
            </w:r>
          </w:p>
        </w:tc>
      </w:tr>
    </w:tbl>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2025年，本部门1个SM项目，涉及预算金额226.25万元，</w:t>
      </w:r>
      <w:bookmarkStart w:id="1" w:name="_GoBack"/>
      <w:bookmarkEnd w:id="1"/>
      <w:r>
        <w:rPr>
          <w:rFonts w:hint="eastAsia" w:ascii="仿宋_GB2312" w:hAnsi="仿宋_GB2312" w:eastAsia="仿宋_GB2312" w:cs="仿宋_GB2312"/>
          <w:color w:val="auto"/>
          <w:kern w:val="0"/>
          <w:sz w:val="32"/>
          <w:szCs w:val="32"/>
          <w:highlight w:val="none"/>
          <w:lang w:val="en-US" w:eastAsia="zh-CN"/>
        </w:rPr>
        <w:t>不公开绩效目标表。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非财政拨付项目5个，涉及金额750万元，主要用于2024年食用菌、茶叶等农作物培育项目、耕地轮作试点项目、地膜推广项目、乡村振兴村集体自筹基础设施建设等项目，不公开绩效目标表。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呼图壁县农业农村局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1B388B"/>
    <w:multiLevelType w:val="singleLevel"/>
    <w:tmpl w:val="CF1B388B"/>
    <w:lvl w:ilvl="0" w:tentative="0">
      <w:start w:val="2"/>
      <w:numFmt w:val="decimal"/>
      <w:lvlText w:val="%1."/>
      <w:lvlJc w:val="left"/>
      <w:pPr>
        <w:tabs>
          <w:tab w:val="left" w:pos="312"/>
        </w:tabs>
      </w:pPr>
    </w:lvl>
  </w:abstractNum>
  <w:abstractNum w:abstractNumId="1">
    <w:nsid w:val="FCDD755D"/>
    <w:multiLevelType w:val="singleLevel"/>
    <w:tmpl w:val="FCDD755D"/>
    <w:lvl w:ilvl="0" w:tentative="0">
      <w:start w:val="17"/>
      <w:numFmt w:val="decimal"/>
      <w:suff w:val="nothing"/>
      <w:lvlText w:val="%1、"/>
      <w:lvlJc w:val="left"/>
      <w:rPr>
        <w:rFonts w:hint="default"/>
        <w:color w:val="000000" w:themeColor="text1"/>
        <w14:textFill>
          <w14:solidFill>
            <w14:schemeClr w14:val="tx1"/>
          </w14:solidFill>
        </w14:textFill>
      </w:rPr>
    </w:lvl>
  </w:abstractNum>
  <w:abstractNum w:abstractNumId="2">
    <w:nsid w:val="3C3155EF"/>
    <w:multiLevelType w:val="singleLevel"/>
    <w:tmpl w:val="3C3155EF"/>
    <w:lvl w:ilvl="0" w:tentative="0">
      <w:start w:val="15"/>
      <w:numFmt w:val="decimal"/>
      <w:suff w:val="nothing"/>
      <w:lvlText w:val="%1、"/>
      <w:lvlJc w:val="left"/>
    </w:lvl>
  </w:abstractNum>
  <w:abstractNum w:abstractNumId="3">
    <w:nsid w:val="48BCE2BA"/>
    <w:multiLevelType w:val="singleLevel"/>
    <w:tmpl w:val="48BCE2BA"/>
    <w:lvl w:ilvl="0" w:tentative="0">
      <w:start w:val="2"/>
      <w:numFmt w:val="chineseCounting"/>
      <w:suff w:val="space"/>
      <w:lvlText w:val="第%1部分"/>
      <w:lvlJc w:val="left"/>
      <w:rPr>
        <w:rFonts w:hint="eastAsia"/>
      </w:rPr>
    </w:lvl>
  </w:abstractNum>
  <w:abstractNum w:abstractNumId="4">
    <w:nsid w:val="67B56389"/>
    <w:multiLevelType w:val="singleLevel"/>
    <w:tmpl w:val="67B56389"/>
    <w:lvl w:ilvl="0" w:tentative="0">
      <w:start w:val="3"/>
      <w:numFmt w:val="decimal"/>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732F8E"/>
    <w:rsid w:val="02CB7F49"/>
    <w:rsid w:val="031B4E2D"/>
    <w:rsid w:val="037800D1"/>
    <w:rsid w:val="04267087"/>
    <w:rsid w:val="04267B2D"/>
    <w:rsid w:val="044C330C"/>
    <w:rsid w:val="050B4D8F"/>
    <w:rsid w:val="05397FD9"/>
    <w:rsid w:val="057A5F58"/>
    <w:rsid w:val="05CA273A"/>
    <w:rsid w:val="05DF5595"/>
    <w:rsid w:val="070E6657"/>
    <w:rsid w:val="07176881"/>
    <w:rsid w:val="0761489B"/>
    <w:rsid w:val="080E3E4F"/>
    <w:rsid w:val="084451C2"/>
    <w:rsid w:val="08450B28"/>
    <w:rsid w:val="08762705"/>
    <w:rsid w:val="088F5575"/>
    <w:rsid w:val="08E81855"/>
    <w:rsid w:val="09C01AEC"/>
    <w:rsid w:val="0A4168EC"/>
    <w:rsid w:val="0AD672A7"/>
    <w:rsid w:val="0B247F12"/>
    <w:rsid w:val="0B7C3034"/>
    <w:rsid w:val="0B841FFD"/>
    <w:rsid w:val="0BD56A2F"/>
    <w:rsid w:val="0C0A3890"/>
    <w:rsid w:val="0CD20198"/>
    <w:rsid w:val="0CEC568C"/>
    <w:rsid w:val="0D2C1335"/>
    <w:rsid w:val="0D6E5FD0"/>
    <w:rsid w:val="0DD66C8E"/>
    <w:rsid w:val="0E320E7D"/>
    <w:rsid w:val="0E9208E7"/>
    <w:rsid w:val="10587512"/>
    <w:rsid w:val="105D0E37"/>
    <w:rsid w:val="10916BDA"/>
    <w:rsid w:val="10F967BF"/>
    <w:rsid w:val="11036B00"/>
    <w:rsid w:val="112D757C"/>
    <w:rsid w:val="11301FEB"/>
    <w:rsid w:val="11B6451D"/>
    <w:rsid w:val="121E62E8"/>
    <w:rsid w:val="133777C7"/>
    <w:rsid w:val="1697741D"/>
    <w:rsid w:val="185145F5"/>
    <w:rsid w:val="19A215AC"/>
    <w:rsid w:val="1A132B78"/>
    <w:rsid w:val="1AC437A4"/>
    <w:rsid w:val="1B153D26"/>
    <w:rsid w:val="1B9F4E77"/>
    <w:rsid w:val="1BEB54C3"/>
    <w:rsid w:val="1C3C6084"/>
    <w:rsid w:val="1C8C02F2"/>
    <w:rsid w:val="1D3E1AFE"/>
    <w:rsid w:val="1E6432D4"/>
    <w:rsid w:val="1E79659A"/>
    <w:rsid w:val="1E89232D"/>
    <w:rsid w:val="1EB61656"/>
    <w:rsid w:val="1FA42118"/>
    <w:rsid w:val="20407429"/>
    <w:rsid w:val="20483F5C"/>
    <w:rsid w:val="20CF3CE4"/>
    <w:rsid w:val="20DD55C0"/>
    <w:rsid w:val="20F64359"/>
    <w:rsid w:val="22922CB8"/>
    <w:rsid w:val="22DB78DD"/>
    <w:rsid w:val="244D65B8"/>
    <w:rsid w:val="2492221D"/>
    <w:rsid w:val="24B42D8E"/>
    <w:rsid w:val="250855AF"/>
    <w:rsid w:val="258B383C"/>
    <w:rsid w:val="263B7010"/>
    <w:rsid w:val="26A91EC7"/>
    <w:rsid w:val="26B4291F"/>
    <w:rsid w:val="26BD282A"/>
    <w:rsid w:val="26E769FA"/>
    <w:rsid w:val="27111B03"/>
    <w:rsid w:val="286D65BC"/>
    <w:rsid w:val="28D9041B"/>
    <w:rsid w:val="293B2E83"/>
    <w:rsid w:val="2AFC4894"/>
    <w:rsid w:val="2B3A05DE"/>
    <w:rsid w:val="2B6901C6"/>
    <w:rsid w:val="2D480265"/>
    <w:rsid w:val="2D977453"/>
    <w:rsid w:val="2E2943BA"/>
    <w:rsid w:val="2E2E50D0"/>
    <w:rsid w:val="2EF22236"/>
    <w:rsid w:val="2FED29FE"/>
    <w:rsid w:val="300E1D4A"/>
    <w:rsid w:val="30B05F05"/>
    <w:rsid w:val="310F3573"/>
    <w:rsid w:val="315B109F"/>
    <w:rsid w:val="32D560F7"/>
    <w:rsid w:val="32E04165"/>
    <w:rsid w:val="33A76F60"/>
    <w:rsid w:val="33B35006"/>
    <w:rsid w:val="341E7629"/>
    <w:rsid w:val="35F117C8"/>
    <w:rsid w:val="375F4579"/>
    <w:rsid w:val="38284F1B"/>
    <w:rsid w:val="39B0409D"/>
    <w:rsid w:val="39C53954"/>
    <w:rsid w:val="3BE45FB7"/>
    <w:rsid w:val="3BF21AC7"/>
    <w:rsid w:val="3C013037"/>
    <w:rsid w:val="3D1206FF"/>
    <w:rsid w:val="3FDF4D23"/>
    <w:rsid w:val="408F520A"/>
    <w:rsid w:val="41083B3B"/>
    <w:rsid w:val="41270465"/>
    <w:rsid w:val="41DB2FFE"/>
    <w:rsid w:val="428805CB"/>
    <w:rsid w:val="42F779C3"/>
    <w:rsid w:val="43502DA9"/>
    <w:rsid w:val="43C26223"/>
    <w:rsid w:val="43D8307E"/>
    <w:rsid w:val="44507CD3"/>
    <w:rsid w:val="44AF5181"/>
    <w:rsid w:val="454C1393"/>
    <w:rsid w:val="455A018C"/>
    <w:rsid w:val="46B02CAB"/>
    <w:rsid w:val="46BD0A05"/>
    <w:rsid w:val="46C31FF2"/>
    <w:rsid w:val="46CE3131"/>
    <w:rsid w:val="48582241"/>
    <w:rsid w:val="493059DD"/>
    <w:rsid w:val="494F7907"/>
    <w:rsid w:val="49812BD6"/>
    <w:rsid w:val="49F86DAB"/>
    <w:rsid w:val="4ADF73DC"/>
    <w:rsid w:val="4B1B26BD"/>
    <w:rsid w:val="4B315A3D"/>
    <w:rsid w:val="4BC73CDE"/>
    <w:rsid w:val="4C0055E5"/>
    <w:rsid w:val="4C3677AE"/>
    <w:rsid w:val="4C706B3A"/>
    <w:rsid w:val="4F3B332E"/>
    <w:rsid w:val="51C15CED"/>
    <w:rsid w:val="52285DEB"/>
    <w:rsid w:val="523B31D8"/>
    <w:rsid w:val="52AD62F0"/>
    <w:rsid w:val="53A94D0A"/>
    <w:rsid w:val="546308FE"/>
    <w:rsid w:val="56FE59C9"/>
    <w:rsid w:val="570D735E"/>
    <w:rsid w:val="571B2674"/>
    <w:rsid w:val="57306026"/>
    <w:rsid w:val="588A2314"/>
    <w:rsid w:val="589917F1"/>
    <w:rsid w:val="59B241EC"/>
    <w:rsid w:val="5A5E27F6"/>
    <w:rsid w:val="5A704801"/>
    <w:rsid w:val="5A8C5E4D"/>
    <w:rsid w:val="5AED2A9A"/>
    <w:rsid w:val="5B1B0A5A"/>
    <w:rsid w:val="5C171721"/>
    <w:rsid w:val="5D9E1657"/>
    <w:rsid w:val="5E225DE5"/>
    <w:rsid w:val="5E257683"/>
    <w:rsid w:val="5E7802BC"/>
    <w:rsid w:val="5EE078B0"/>
    <w:rsid w:val="5F0D5523"/>
    <w:rsid w:val="5F2346ED"/>
    <w:rsid w:val="61086613"/>
    <w:rsid w:val="61686204"/>
    <w:rsid w:val="621F28E5"/>
    <w:rsid w:val="62917095"/>
    <w:rsid w:val="630E06E5"/>
    <w:rsid w:val="6408782B"/>
    <w:rsid w:val="65322CBF"/>
    <w:rsid w:val="65B35574"/>
    <w:rsid w:val="65C658ED"/>
    <w:rsid w:val="65FC5ADD"/>
    <w:rsid w:val="67BA736C"/>
    <w:rsid w:val="68061456"/>
    <w:rsid w:val="68CC52CB"/>
    <w:rsid w:val="68DE4FFE"/>
    <w:rsid w:val="691B0000"/>
    <w:rsid w:val="694B58D7"/>
    <w:rsid w:val="69B16B8F"/>
    <w:rsid w:val="69CE4E15"/>
    <w:rsid w:val="6A5D18AA"/>
    <w:rsid w:val="6A5F2CE6"/>
    <w:rsid w:val="6B3E7E06"/>
    <w:rsid w:val="6B7F3246"/>
    <w:rsid w:val="6BF904A6"/>
    <w:rsid w:val="6C6A4E7F"/>
    <w:rsid w:val="6CB5251A"/>
    <w:rsid w:val="6CD429A0"/>
    <w:rsid w:val="6DCB0225"/>
    <w:rsid w:val="6EF07839"/>
    <w:rsid w:val="6F63000B"/>
    <w:rsid w:val="6FCF0C72"/>
    <w:rsid w:val="71500A63"/>
    <w:rsid w:val="717C1858"/>
    <w:rsid w:val="71B2211F"/>
    <w:rsid w:val="72B56DCF"/>
    <w:rsid w:val="72E964BC"/>
    <w:rsid w:val="735C7C42"/>
    <w:rsid w:val="74D07EF1"/>
    <w:rsid w:val="756D573F"/>
    <w:rsid w:val="75B570E6"/>
    <w:rsid w:val="75BF3AC1"/>
    <w:rsid w:val="7706409E"/>
    <w:rsid w:val="7797777E"/>
    <w:rsid w:val="780A1873"/>
    <w:rsid w:val="787D11B8"/>
    <w:rsid w:val="78A771BA"/>
    <w:rsid w:val="78AC6820"/>
    <w:rsid w:val="792C5912"/>
    <w:rsid w:val="79AF4D82"/>
    <w:rsid w:val="79EB3EB1"/>
    <w:rsid w:val="79FE7ADA"/>
    <w:rsid w:val="7B063438"/>
    <w:rsid w:val="7BBC39D4"/>
    <w:rsid w:val="7CBA4FE2"/>
    <w:rsid w:val="7D06612B"/>
    <w:rsid w:val="7D27112D"/>
    <w:rsid w:val="7E880152"/>
    <w:rsid w:val="7E8B30DA"/>
    <w:rsid w:val="7F0005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76</Pages>
  <Words>5419</Words>
  <Characters>7842</Characters>
  <Lines>0</Lines>
  <Paragraphs>0</Paragraphs>
  <TotalTime>4</TotalTime>
  <ScaleCrop>false</ScaleCrop>
  <LinksUpToDate>false</LinksUpToDate>
  <CharactersWithSpaces>8534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2025-05-28T12:26:52Z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1FD8BF75995840998F5B6B6686E1B039_13</vt:lpwstr>
  </property>
  <property fmtid="{D5CDD505-2E9C-101B-9397-08002B2CF9AE}" pid="4" name="KSOTemplateDocerSaveRecord">
    <vt:lpwstr>eyJoZGlkIjoiMDljYzUzMWQ4OWI0YzBkYjYzMDRhZTY5ZjZkYmFmYTgiLCJ1c2VySWQiOiI1ODMzMjMyMTIifQ==</vt:lpwstr>
  </property>
</Properties>
</file>