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eastAsia="zh-CN"/>
        </w:rPr>
        <w:t>呼图壁县水利局</w:t>
      </w:r>
      <w:r>
        <w:rPr>
          <w:rFonts w:hint="eastAsia" w:ascii="方正小标宋_GBK" w:hAnsi="宋体" w:eastAsia="方正小标宋_GBK"/>
          <w:color w:val="auto"/>
          <w:kern w:val="0"/>
          <w:sz w:val="44"/>
          <w:szCs w:val="44"/>
          <w:highlight w:val="none"/>
          <w:lang w:val="en-US" w:eastAsia="zh-CN"/>
        </w:rPr>
        <w:t>2025年部门预算公开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呼图壁县水利局部门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bCs/>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spacing w:val="-6"/>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spacing w:val="-6"/>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spacing w:val="-6"/>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呼图壁县水利局部门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新疆昌吉州呼图壁县水利局是主管地下水开采与管理，水政检查，农田水利灌溉管理与运行，水利工程建设与管理、水土保持、水资源的合理开发利用、高效节水新技术的实施与推广、水政、监察水利工程质量监督等主要职责及承担县委县政府交办费其他的行政事业单位。</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呼图壁县水利局</w:t>
      </w: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下设</w:t>
      </w:r>
      <w:r>
        <w:rPr>
          <w:rFonts w:hint="eastAsia" w:ascii="仿宋_GB2312" w:hAnsi="黑体" w:eastAsia="仿宋_GB2312" w:cs="宋体"/>
          <w:bCs/>
          <w:color w:val="auto"/>
          <w:kern w:val="0"/>
          <w:sz w:val="32"/>
          <w:szCs w:val="32"/>
          <w:highlight w:val="none"/>
          <w:lang w:val="en-US" w:eastAsia="zh-CN"/>
        </w:rPr>
        <w:t>0个</w:t>
      </w:r>
      <w:r>
        <w:rPr>
          <w:rFonts w:hint="eastAsia" w:ascii="仿宋_GB2312" w:hAnsi="黑体" w:eastAsia="仿宋_GB2312" w:cs="宋体"/>
          <w:bCs/>
          <w:color w:val="auto"/>
          <w:kern w:val="0"/>
          <w:sz w:val="32"/>
          <w:szCs w:val="32"/>
          <w:highlight w:val="none"/>
          <w:lang w:eastAsia="zh-CN"/>
        </w:rPr>
        <w:t>处室</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分别是：无。</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呼图壁县水利局</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22人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18</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编制</w:t>
      </w:r>
      <w:r>
        <w:rPr>
          <w:rFonts w:hint="eastAsia" w:ascii="仿宋" w:hAnsi="仿宋" w:eastAsia="仿宋" w:cs="仿宋"/>
          <w:color w:val="auto"/>
          <w:kern w:val="0"/>
          <w:sz w:val="18"/>
          <w:szCs w:val="18"/>
          <w:highlight w:val="none"/>
          <w:lang w:eastAsia="zh-CN"/>
        </w:rPr>
        <w:t>部门</w:t>
      </w:r>
      <w:r>
        <w:rPr>
          <w:rFonts w:hint="eastAsia" w:ascii="仿宋" w:hAnsi="仿宋" w:eastAsia="仿宋" w:cs="仿宋"/>
          <w:color w:val="auto"/>
          <w:kern w:val="0"/>
          <w:sz w:val="18"/>
          <w:szCs w:val="18"/>
          <w:highlight w:val="none"/>
        </w:rPr>
        <w:t>：</w:t>
      </w:r>
      <w:r>
        <w:rPr>
          <w:rFonts w:hint="eastAsia" w:ascii="仿宋" w:hAnsi="仿宋" w:eastAsia="仿宋" w:cs="仿宋"/>
          <w:color w:val="auto"/>
          <w:kern w:val="0"/>
          <w:sz w:val="18"/>
          <w:szCs w:val="18"/>
          <w:highlight w:val="none"/>
          <w:lang w:eastAsia="zh-CN"/>
        </w:rPr>
        <w:t>呼图壁县水利局</w:t>
      </w:r>
      <w:r>
        <w:rPr>
          <w:rFonts w:hint="eastAsia" w:ascii="仿宋" w:hAnsi="仿宋" w:eastAsia="仿宋" w:cs="仿宋"/>
          <w:color w:val="auto"/>
          <w:kern w:val="0"/>
          <w:sz w:val="18"/>
          <w:szCs w:val="18"/>
          <w:highlight w:val="none"/>
        </w:rPr>
        <w:t xml:space="preserve">                                      </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 xml:space="preserve">  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color w:val="auto"/>
                <w:kern w:val="0"/>
                <w:sz w:val="18"/>
                <w:szCs w:val="18"/>
                <w:highlight w:val="none"/>
              </w:rPr>
            </w:pPr>
            <w:r>
              <w:rPr>
                <w:rFonts w:hint="eastAsia" w:ascii="仿宋" w:hAnsi="仿宋" w:eastAsia="仿宋" w:cs="仿宋"/>
                <w:b/>
                <w:color w:val="auto"/>
                <w:kern w:val="0"/>
                <w:sz w:val="18"/>
                <w:szCs w:val="18"/>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一、本年收入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1690.11</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1.一般公共预算拨款</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396.51</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其中：一般财力</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376.51</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上级一般公共预算安排转移支付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20.00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rPr>
              <w:t>2.</w:t>
            </w:r>
            <w:r>
              <w:rPr>
                <w:rFonts w:hint="eastAsia" w:ascii="仿宋" w:hAnsi="仿宋" w:eastAsia="仿宋" w:cs="仿宋"/>
                <w:sz w:val="18"/>
                <w:szCs w:val="18"/>
                <w:highlight w:val="none"/>
                <w:lang w:val="en-US" w:eastAsia="zh-CN"/>
              </w:rPr>
              <w:t>政府性</w:t>
            </w:r>
            <w:r>
              <w:rPr>
                <w:rFonts w:hint="eastAsia" w:ascii="仿宋" w:hAnsi="仿宋" w:eastAsia="仿宋" w:cs="仿宋"/>
                <w:sz w:val="18"/>
                <w:szCs w:val="18"/>
                <w:highlight w:val="none"/>
              </w:rPr>
              <w:t>基金预算拨款</w:t>
            </w:r>
            <w:r>
              <w:rPr>
                <w:rFonts w:hint="eastAsia" w:ascii="仿宋" w:hAnsi="仿宋" w:eastAsia="仿宋" w:cs="仿宋"/>
                <w:sz w:val="18"/>
                <w:szCs w:val="18"/>
                <w:highlight w:val="none"/>
                <w:lang w:eastAsia="zh-CN"/>
              </w:rPr>
              <w:tab/>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其中：政府性基金收入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上级政府性基金安排转移支付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3.国有资本经营预算拨款</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110.49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其中：国有资本经营收入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上级国有资本经营预算安排转移支付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210</w:t>
            </w:r>
            <w:r>
              <w:rPr>
                <w:rFonts w:hint="eastAsia" w:ascii="仿宋" w:hAnsi="仿宋" w:eastAsia="仿宋" w:cs="仿宋"/>
                <w:sz w:val="18"/>
                <w:szCs w:val="18"/>
                <w:highlight w:val="none"/>
                <w:lang w:val="en-US" w:eastAsia="zh-CN"/>
              </w:rPr>
              <w:t xml:space="preserve"> </w:t>
            </w:r>
            <w:r>
              <w:rPr>
                <w:rFonts w:hint="eastAsia" w:ascii="仿宋" w:hAnsi="仿宋" w:eastAsia="仿宋" w:cs="仿宋"/>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75.72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4.财政专户核拨</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5.</w:t>
            </w:r>
            <w:r>
              <w:rPr>
                <w:rFonts w:hint="eastAsia" w:ascii="仿宋" w:hAnsi="仿宋" w:eastAsia="仿宋" w:cs="仿宋"/>
                <w:sz w:val="18"/>
                <w:szCs w:val="18"/>
                <w:highlight w:val="none"/>
              </w:rPr>
              <w:t>单位资金</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1293.60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其中：事业收入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1415.90　</w:t>
            </w:r>
          </w:p>
        </w:tc>
      </w:tr>
      <w:tr>
        <w:tblPrEx>
          <w:tblLayout w:type="fixed"/>
          <w:tblCellMar>
            <w:top w:w="0" w:type="dxa"/>
            <w:left w:w="108" w:type="dxa"/>
            <w:bottom w:w="0" w:type="dxa"/>
            <w:right w:w="108" w:type="dxa"/>
          </w:tblCellMar>
        </w:tblPrEx>
        <w:trPr>
          <w:trHeight w:val="33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上级补助收入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附属单位上缴收入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215 资源勘探</w:t>
            </w:r>
            <w:r>
              <w:rPr>
                <w:rFonts w:hint="eastAsia" w:ascii="仿宋" w:hAnsi="仿宋" w:eastAsia="仿宋" w:cs="仿宋"/>
                <w:sz w:val="18"/>
                <w:szCs w:val="18"/>
                <w:highlight w:val="none"/>
                <w:lang w:val="en-US" w:eastAsia="zh-Hans"/>
              </w:rPr>
              <w:t>工业</w:t>
            </w:r>
            <w:r>
              <w:rPr>
                <w:rFonts w:hint="eastAsia" w:ascii="仿宋" w:hAnsi="仿宋" w:eastAsia="仿宋" w:cs="仿宋"/>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事业单位经营收入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其他收入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1293.60</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二、上年结转结余</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790.23</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1.财政拨款结转</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790.23</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其中：一般公共预算拨款</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15.01</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103.00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lang w:val="en-US" w:eastAsia="zh-CN"/>
              </w:rPr>
              <w:t>政府性</w:t>
            </w:r>
            <w:r>
              <w:rPr>
                <w:rFonts w:hint="eastAsia" w:ascii="仿宋" w:hAnsi="仿宋" w:eastAsia="仿宋" w:cs="仿宋"/>
                <w:sz w:val="18"/>
                <w:szCs w:val="18"/>
                <w:highlight w:val="none"/>
              </w:rPr>
              <w:t>基金预算拨款</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775.22</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国有资本经营预算拨款</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2.非财政拨款结余</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224</w:t>
            </w:r>
            <w:r>
              <w:rPr>
                <w:rFonts w:hint="eastAsia" w:ascii="仿宋" w:hAnsi="仿宋" w:eastAsia="仿宋" w:cs="仿宋"/>
                <w:sz w:val="18"/>
                <w:szCs w:val="18"/>
                <w:highlight w:val="none"/>
                <w:lang w:val="en-US" w:eastAsia="zh-CN"/>
              </w:rPr>
              <w:t xml:space="preserve"> </w:t>
            </w:r>
            <w:r>
              <w:rPr>
                <w:rFonts w:hint="eastAsia" w:ascii="仿宋" w:hAnsi="仿宋" w:eastAsia="仿宋" w:cs="仿宋"/>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其中：财政专户核拨</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单位资金</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775.22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230</w:t>
            </w:r>
            <w:r>
              <w:rPr>
                <w:rFonts w:hint="eastAsia" w:ascii="仿宋" w:hAnsi="仿宋" w:eastAsia="仿宋" w:cs="仿宋"/>
                <w:sz w:val="18"/>
                <w:szCs w:val="18"/>
                <w:highlight w:val="none"/>
                <w:lang w:val="en-US" w:eastAsia="zh-CN"/>
              </w:rPr>
              <w:t xml:space="preserve"> </w:t>
            </w:r>
            <w:r>
              <w:rPr>
                <w:rFonts w:hint="eastAsia" w:ascii="仿宋" w:hAnsi="仿宋" w:eastAsia="仿宋" w:cs="仿宋"/>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 w:hAnsi="仿宋" w:eastAsia="仿宋" w:cs="仿宋"/>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top"/>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000000"/>
                <w:sz w:val="20"/>
                <w:szCs w:val="20"/>
                <w:highlight w:val="none"/>
              </w:rPr>
              <w:t>2480.33</w:t>
            </w:r>
          </w:p>
        </w:tc>
        <w:tc>
          <w:tcPr>
            <w:tcW w:w="2693" w:type="dxa"/>
            <w:tcBorders>
              <w:top w:val="nil"/>
              <w:left w:val="nil"/>
              <w:bottom w:val="single" w:color="auto" w:sz="4" w:space="0"/>
              <w:right w:val="nil"/>
            </w:tcBorders>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2480.33</w:t>
            </w: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编制</w:t>
      </w:r>
      <w:r>
        <w:rPr>
          <w:rFonts w:hint="eastAsia" w:ascii="仿宋" w:hAnsi="仿宋" w:eastAsia="仿宋" w:cs="仿宋"/>
          <w:color w:val="auto"/>
          <w:kern w:val="0"/>
          <w:sz w:val="21"/>
          <w:szCs w:val="21"/>
          <w:highlight w:val="none"/>
          <w:lang w:eastAsia="zh-CN"/>
        </w:rPr>
        <w:t>部门</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eastAsia="zh-CN"/>
        </w:rPr>
        <w:t>呼图壁县水利局</w:t>
      </w:r>
      <w:r>
        <w:rPr>
          <w:rFonts w:hint="eastAsia" w:ascii="仿宋" w:hAnsi="仿宋" w:eastAsia="仿宋" w:cs="仿宋"/>
          <w:color w:val="auto"/>
          <w:kern w:val="0"/>
          <w:sz w:val="21"/>
          <w:szCs w:val="21"/>
          <w:highlight w:val="none"/>
        </w:rPr>
        <w:t xml:space="preserve">                                        单位：万元</w:t>
      </w:r>
    </w:p>
    <w:tbl>
      <w:tblPr>
        <w:tblStyle w:val="8"/>
        <w:tblW w:w="9660" w:type="dxa"/>
        <w:tblInd w:w="-448" w:type="dxa"/>
        <w:tblLayout w:type="fixed"/>
        <w:tblCellMar>
          <w:top w:w="0" w:type="dxa"/>
          <w:left w:w="108" w:type="dxa"/>
          <w:bottom w:w="0" w:type="dxa"/>
          <w:right w:w="108" w:type="dxa"/>
        </w:tblCellMar>
      </w:tblPr>
      <w:tblGrid>
        <w:gridCol w:w="470"/>
        <w:gridCol w:w="364"/>
        <w:gridCol w:w="417"/>
        <w:gridCol w:w="1038"/>
        <w:gridCol w:w="557"/>
        <w:gridCol w:w="557"/>
        <w:gridCol w:w="614"/>
        <w:gridCol w:w="835"/>
        <w:gridCol w:w="534"/>
        <w:gridCol w:w="643"/>
        <w:gridCol w:w="631"/>
        <w:gridCol w:w="779"/>
        <w:gridCol w:w="480"/>
        <w:gridCol w:w="639"/>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功能分类科目编码</w:t>
            </w:r>
          </w:p>
        </w:tc>
        <w:tc>
          <w:tcPr>
            <w:tcW w:w="1038"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功能分类科目名称</w:t>
            </w:r>
          </w:p>
        </w:tc>
        <w:tc>
          <w:tcPr>
            <w:tcW w:w="557"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总  计</w:t>
            </w:r>
          </w:p>
        </w:tc>
        <w:tc>
          <w:tcPr>
            <w:tcW w:w="459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财  政  拨  款  (  补  助  )</w:t>
            </w:r>
          </w:p>
        </w:tc>
        <w:tc>
          <w:tcPr>
            <w:tcW w:w="480"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财政专户（教育收费）</w:t>
            </w:r>
          </w:p>
        </w:tc>
        <w:tc>
          <w:tcPr>
            <w:tcW w:w="639"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70" w:type="dxa"/>
            <w:tcBorders>
              <w:left w:val="single" w:color="auto" w:sz="4" w:space="0"/>
              <w:bottom w:val="single" w:color="auto" w:sz="4" w:space="0"/>
              <w:right w:val="single" w:color="auto" w:sz="4" w:space="0"/>
            </w:tcBorders>
            <w:vAlign w:val="center"/>
          </w:tcPr>
          <w:p>
            <w:pPr>
              <w:jc w:val="left"/>
              <w:rPr>
                <w:rFonts w:hint="eastAsia" w:ascii="仿宋" w:hAnsi="仿宋" w:eastAsia="仿宋" w:cs="仿宋"/>
                <w:b/>
                <w:color w:val="auto"/>
                <w:sz w:val="21"/>
                <w:szCs w:val="21"/>
                <w:highlight w:val="none"/>
                <w:lang w:val="en-US" w:eastAsia="zh-Hans"/>
              </w:rPr>
            </w:pPr>
            <w:r>
              <w:rPr>
                <w:rFonts w:hint="eastAsia" w:ascii="仿宋" w:hAnsi="仿宋" w:eastAsia="仿宋" w:cs="仿宋"/>
                <w:b/>
                <w:color w:val="auto"/>
                <w:sz w:val="21"/>
                <w:szCs w:val="21"/>
                <w:highlight w:val="none"/>
                <w:lang w:val="en-US" w:eastAsia="zh-Hans"/>
              </w:rPr>
              <w:t>类</w:t>
            </w:r>
          </w:p>
        </w:tc>
        <w:tc>
          <w:tcPr>
            <w:tcW w:w="364" w:type="dxa"/>
            <w:tcBorders>
              <w:left w:val="nil"/>
              <w:bottom w:val="single" w:color="auto" w:sz="4" w:space="0"/>
              <w:right w:val="single" w:color="auto" w:sz="4" w:space="0"/>
            </w:tcBorders>
            <w:vAlign w:val="center"/>
          </w:tcPr>
          <w:p>
            <w:pPr>
              <w:jc w:val="left"/>
              <w:rPr>
                <w:rFonts w:hint="eastAsia" w:ascii="仿宋" w:hAnsi="仿宋" w:eastAsia="仿宋" w:cs="仿宋"/>
                <w:b/>
                <w:color w:val="auto"/>
                <w:sz w:val="21"/>
                <w:szCs w:val="21"/>
                <w:highlight w:val="none"/>
                <w:lang w:val="en-US" w:eastAsia="zh-Hans"/>
              </w:rPr>
            </w:pPr>
            <w:r>
              <w:rPr>
                <w:rFonts w:hint="eastAsia" w:ascii="仿宋" w:hAnsi="仿宋" w:eastAsia="仿宋" w:cs="仿宋"/>
                <w:b/>
                <w:color w:val="auto"/>
                <w:sz w:val="21"/>
                <w:szCs w:val="21"/>
                <w:highlight w:val="none"/>
                <w:lang w:val="en-US" w:eastAsia="zh-Hans"/>
              </w:rPr>
              <w:t>款</w:t>
            </w:r>
          </w:p>
        </w:tc>
        <w:tc>
          <w:tcPr>
            <w:tcW w:w="417" w:type="dxa"/>
            <w:tcBorders>
              <w:left w:val="nil"/>
              <w:bottom w:val="single" w:color="auto" w:sz="4" w:space="0"/>
              <w:right w:val="single" w:color="auto" w:sz="4" w:space="0"/>
            </w:tcBorders>
            <w:vAlign w:val="center"/>
          </w:tcPr>
          <w:p>
            <w:pPr>
              <w:jc w:val="left"/>
              <w:rPr>
                <w:rFonts w:hint="eastAsia" w:ascii="仿宋" w:hAnsi="仿宋" w:eastAsia="仿宋" w:cs="仿宋"/>
                <w:b/>
                <w:color w:val="auto"/>
                <w:sz w:val="21"/>
                <w:szCs w:val="21"/>
                <w:highlight w:val="none"/>
                <w:lang w:val="en-US" w:eastAsia="zh-Hans"/>
              </w:rPr>
            </w:pPr>
            <w:r>
              <w:rPr>
                <w:rFonts w:hint="eastAsia" w:ascii="仿宋" w:hAnsi="仿宋" w:eastAsia="仿宋" w:cs="仿宋"/>
                <w:b/>
                <w:color w:val="auto"/>
                <w:sz w:val="21"/>
                <w:szCs w:val="21"/>
                <w:highlight w:val="none"/>
                <w:lang w:val="en-US" w:eastAsia="zh-Hans"/>
              </w:rPr>
              <w:t>项</w:t>
            </w:r>
          </w:p>
        </w:tc>
        <w:tc>
          <w:tcPr>
            <w:tcW w:w="1038" w:type="dxa"/>
            <w:vMerge w:val="continue"/>
            <w:tcBorders>
              <w:left w:val="single" w:color="auto" w:sz="4" w:space="0"/>
              <w:bottom w:val="single" w:color="000000" w:sz="4" w:space="0"/>
              <w:right w:val="single" w:color="auto" w:sz="4" w:space="0"/>
            </w:tcBorders>
            <w:vAlign w:val="center"/>
          </w:tcPr>
          <w:p>
            <w:pPr>
              <w:jc w:val="left"/>
              <w:rPr>
                <w:rFonts w:hint="eastAsia" w:ascii="仿宋" w:hAnsi="仿宋" w:eastAsia="仿宋" w:cs="仿宋"/>
                <w:color w:val="auto"/>
                <w:sz w:val="21"/>
                <w:szCs w:val="21"/>
                <w:highlight w:val="none"/>
              </w:rPr>
            </w:pPr>
          </w:p>
        </w:tc>
        <w:tc>
          <w:tcPr>
            <w:tcW w:w="557" w:type="dxa"/>
            <w:vMerge w:val="continue"/>
            <w:tcBorders>
              <w:left w:val="single" w:color="auto" w:sz="4" w:space="0"/>
              <w:bottom w:val="single" w:color="000000" w:sz="4" w:space="0"/>
              <w:right w:val="single" w:color="auto" w:sz="4" w:space="0"/>
            </w:tcBorders>
            <w:vAlign w:val="center"/>
          </w:tcPr>
          <w:p>
            <w:pPr>
              <w:jc w:val="left"/>
              <w:rPr>
                <w:rFonts w:hint="eastAsia" w:ascii="仿宋" w:hAnsi="仿宋" w:eastAsia="仿宋" w:cs="仿宋"/>
                <w:color w:val="auto"/>
                <w:sz w:val="21"/>
                <w:szCs w:val="21"/>
                <w:highlight w:val="none"/>
              </w:rPr>
            </w:pPr>
          </w:p>
        </w:tc>
        <w:tc>
          <w:tcPr>
            <w:tcW w:w="557" w:type="dxa"/>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财政拨款(补助)小计</w:t>
            </w:r>
          </w:p>
        </w:tc>
        <w:tc>
          <w:tcPr>
            <w:tcW w:w="614" w:type="dxa"/>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一般公共预算</w:t>
            </w:r>
          </w:p>
        </w:tc>
        <w:tc>
          <w:tcPr>
            <w:tcW w:w="835" w:type="dxa"/>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上级一般公共预算安排的转移支付</w:t>
            </w:r>
          </w:p>
        </w:tc>
        <w:tc>
          <w:tcPr>
            <w:tcW w:w="534" w:type="dxa"/>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pPr>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上级国有资本经营预算安排的转移支付</w:t>
            </w:r>
          </w:p>
        </w:tc>
        <w:tc>
          <w:tcPr>
            <w:tcW w:w="480" w:type="dxa"/>
            <w:vMerge w:val="continue"/>
            <w:tcBorders>
              <w:left w:val="single" w:color="auto" w:sz="4" w:space="0"/>
              <w:bottom w:val="single" w:color="000000" w:sz="4" w:space="0"/>
              <w:right w:val="single" w:color="auto" w:sz="4" w:space="0"/>
            </w:tcBorders>
            <w:vAlign w:val="center"/>
          </w:tcPr>
          <w:p>
            <w:pPr>
              <w:jc w:val="left"/>
              <w:rPr>
                <w:rFonts w:hint="eastAsia" w:ascii="仿宋" w:hAnsi="仿宋" w:eastAsia="仿宋" w:cs="仿宋"/>
                <w:color w:val="auto"/>
                <w:sz w:val="21"/>
                <w:szCs w:val="21"/>
                <w:highlight w:val="none"/>
              </w:rPr>
            </w:pPr>
          </w:p>
        </w:tc>
        <w:tc>
          <w:tcPr>
            <w:tcW w:w="639" w:type="dxa"/>
            <w:vMerge w:val="continue"/>
            <w:tcBorders>
              <w:left w:val="single" w:color="auto" w:sz="4" w:space="0"/>
              <w:bottom w:val="single" w:color="000000" w:sz="4" w:space="0"/>
              <w:right w:val="single" w:color="auto" w:sz="4" w:space="0"/>
            </w:tcBorders>
            <w:vAlign w:val="center"/>
          </w:tcPr>
          <w:p>
            <w:pPr>
              <w:jc w:val="left"/>
              <w:rPr>
                <w:rFonts w:hint="eastAsia" w:ascii="仿宋" w:hAnsi="仿宋" w:eastAsia="仿宋" w:cs="仿宋"/>
                <w:color w:val="auto"/>
                <w:sz w:val="21"/>
                <w:szCs w:val="21"/>
                <w:highlight w:val="none"/>
              </w:rPr>
            </w:pPr>
          </w:p>
        </w:tc>
        <w:tc>
          <w:tcPr>
            <w:tcW w:w="595" w:type="dxa"/>
            <w:vMerge w:val="continue"/>
            <w:tcBorders>
              <w:left w:val="single" w:color="auto" w:sz="4" w:space="0"/>
              <w:bottom w:val="single" w:color="000000" w:sz="4" w:space="0"/>
              <w:right w:val="single" w:color="auto" w:sz="4" w:space="0"/>
            </w:tcBorders>
            <w:vAlign w:val="center"/>
          </w:tcPr>
          <w:p>
            <w:pPr>
              <w:jc w:val="left"/>
              <w:rPr>
                <w:rFonts w:hint="eastAsia" w:ascii="仿宋" w:hAnsi="仿宋" w:eastAsia="仿宋" w:cs="仿宋"/>
                <w:color w:val="auto"/>
                <w:sz w:val="21"/>
                <w:szCs w:val="21"/>
                <w:highlight w:val="none"/>
              </w:rPr>
            </w:pPr>
          </w:p>
        </w:tc>
        <w:tc>
          <w:tcPr>
            <w:tcW w:w="507" w:type="dxa"/>
            <w:vMerge w:val="continue"/>
            <w:tcBorders>
              <w:left w:val="single" w:color="auto" w:sz="4" w:space="0"/>
              <w:bottom w:val="single" w:color="000000" w:sz="4" w:space="0"/>
              <w:right w:val="single" w:color="auto" w:sz="4" w:space="0"/>
            </w:tcBorders>
            <w:vAlign w:val="center"/>
          </w:tcPr>
          <w:p>
            <w:pPr>
              <w:jc w:val="left"/>
              <w:rPr>
                <w:rFonts w:hint="eastAsia" w:ascii="仿宋" w:hAnsi="仿宋" w:eastAsia="仿宋" w:cs="仿宋"/>
                <w:color w:val="auto"/>
                <w:sz w:val="21"/>
                <w:szCs w:val="21"/>
                <w:highlight w:val="none"/>
              </w:rPr>
            </w:pPr>
          </w:p>
        </w:tc>
      </w:tr>
      <w:tr>
        <w:tblPrEx>
          <w:tblLayout w:type="fixed"/>
          <w:tblCellMar>
            <w:top w:w="0" w:type="dxa"/>
            <w:left w:w="108" w:type="dxa"/>
            <w:bottom w:w="0" w:type="dxa"/>
            <w:right w:w="108" w:type="dxa"/>
          </w:tblCellMar>
        </w:tblPrEx>
        <w:trPr>
          <w:trHeight w:val="887"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208</w:t>
            </w:r>
          </w:p>
        </w:tc>
        <w:tc>
          <w:tcPr>
            <w:tcW w:w="364"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rPr>
            </w:pP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rPr>
            </w:pPr>
          </w:p>
        </w:tc>
        <w:tc>
          <w:tcPr>
            <w:tcW w:w="1038" w:type="dxa"/>
            <w:tcBorders>
              <w:top w:val="nil"/>
              <w:left w:val="nil"/>
              <w:bottom w:val="single" w:color="auto" w:sz="4" w:space="0"/>
              <w:right w:val="single" w:color="auto" w:sz="4" w:space="0"/>
            </w:tcBorders>
            <w:shd w:val="clear" w:color="auto" w:fill="auto"/>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社会保障和就业支出</w:t>
            </w:r>
          </w:p>
        </w:tc>
        <w:tc>
          <w:tcPr>
            <w:tcW w:w="557" w:type="dxa"/>
            <w:tcBorders>
              <w:top w:val="nil"/>
              <w:left w:val="nil"/>
              <w:bottom w:val="single" w:color="auto" w:sz="4" w:space="0"/>
              <w:right w:val="single" w:color="auto" w:sz="4" w:space="0"/>
            </w:tcBorders>
            <w:shd w:val="clear" w:color="000000" w:fill="FFFFFF"/>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110.49</w:t>
            </w:r>
          </w:p>
        </w:tc>
        <w:tc>
          <w:tcPr>
            <w:tcW w:w="557" w:type="dxa"/>
            <w:tcBorders>
              <w:top w:val="nil"/>
              <w:left w:val="nil"/>
              <w:bottom w:val="single" w:color="auto" w:sz="4" w:space="0"/>
              <w:right w:val="single" w:color="auto" w:sz="4" w:space="0"/>
            </w:tcBorders>
            <w:shd w:val="clear" w:color="000000" w:fill="FFFFFF"/>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44.89</w:t>
            </w:r>
          </w:p>
        </w:tc>
        <w:tc>
          <w:tcPr>
            <w:tcW w:w="614" w:type="dxa"/>
            <w:tcBorders>
              <w:top w:val="nil"/>
              <w:left w:val="nil"/>
              <w:bottom w:val="single" w:color="auto" w:sz="4" w:space="0"/>
              <w:right w:val="single" w:color="auto" w:sz="4" w:space="0"/>
            </w:tcBorders>
            <w:shd w:val="clear" w:color="000000" w:fill="FFFFFF"/>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44.89</w:t>
            </w:r>
          </w:p>
        </w:tc>
        <w:tc>
          <w:tcPr>
            <w:tcW w:w="835" w:type="dxa"/>
            <w:tcBorders>
              <w:top w:val="nil"/>
              <w:left w:val="nil"/>
              <w:bottom w:val="single" w:color="auto" w:sz="4" w:space="0"/>
              <w:right w:val="single" w:color="auto" w:sz="4" w:space="0"/>
            </w:tcBorders>
            <w:shd w:val="clear" w:color="000000" w:fill="FFFFFF"/>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shd w:val="clear" w:color="000000" w:fill="FFFFFF"/>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shd w:val="clear" w:color="000000" w:fill="FFFFFF"/>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shd w:val="clear" w:color="000000" w:fill="FFFFFF"/>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shd w:val="clear" w:color="000000" w:fill="FFFFFF"/>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shd w:val="clear" w:color="000000" w:fill="FFFFFF"/>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shd w:val="clear" w:color="000000" w:fill="FFFFFF"/>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65.60</w:t>
            </w:r>
          </w:p>
        </w:tc>
        <w:tc>
          <w:tcPr>
            <w:tcW w:w="595" w:type="dxa"/>
            <w:tcBorders>
              <w:top w:val="nil"/>
              <w:left w:val="single" w:color="auto" w:sz="4" w:space="0"/>
              <w:bottom w:val="single" w:color="auto" w:sz="4" w:space="0"/>
              <w:right w:val="single" w:color="auto" w:sz="4" w:space="0"/>
            </w:tcBorders>
            <w:shd w:val="clear" w:color="000000" w:fill="FFFFFF"/>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1128"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208</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05</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行政事业单位养老支出</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110.49</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44.89</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44.89</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65.60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208</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05</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01</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行政单位离退休</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12.22</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12.22</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12.22</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208</w:t>
            </w:r>
          </w:p>
        </w:tc>
        <w:tc>
          <w:tcPr>
            <w:tcW w:w="364"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05</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05</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机关事业单位基本养老保险缴费支出</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88.68</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32.68</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32.68</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56.00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208</w:t>
            </w:r>
          </w:p>
        </w:tc>
        <w:tc>
          <w:tcPr>
            <w:tcW w:w="364"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05</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06</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机关事业单位职业年金缴费支出</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9.60</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9.60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653"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210</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卫生健康支出</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75.72</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25.72</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25.72</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50.00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210</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11</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行政事业单位医疗</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75.72</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25.72</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25.72</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50.00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210</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11</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01</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行政单位医疗</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45.36</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5.36</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5.36</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40.00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210</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11</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02</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事业单位医疗</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11.75</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11.75</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11.75</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210</w:t>
            </w:r>
          </w:p>
        </w:tc>
        <w:tc>
          <w:tcPr>
            <w:tcW w:w="364"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11</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公务员医疗补助</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18.40</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8.40</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8.40</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10.00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210</w:t>
            </w:r>
          </w:p>
        </w:tc>
        <w:tc>
          <w:tcPr>
            <w:tcW w:w="364"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11</w:t>
            </w:r>
          </w:p>
        </w:tc>
        <w:tc>
          <w:tcPr>
            <w:tcW w:w="417"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99</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其他行政事业单位医疗支出</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0.21</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0.21</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0.21</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213</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农林水支出</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1415.90</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298.89</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w:t>
            </w:r>
            <w:r>
              <w:rPr>
                <w:rFonts w:hint="eastAsia" w:ascii="仿宋" w:hAnsi="仿宋" w:eastAsia="仿宋" w:cs="仿宋"/>
                <w:color w:val="000000"/>
                <w:sz w:val="21"/>
                <w:szCs w:val="21"/>
                <w:highlight w:val="none"/>
                <w:lang w:val="en-US" w:eastAsia="zh-CN"/>
              </w:rPr>
              <w:t>78</w:t>
            </w:r>
            <w:r>
              <w:rPr>
                <w:rFonts w:hint="eastAsia" w:ascii="仿宋" w:hAnsi="仿宋" w:eastAsia="仿宋" w:cs="仿宋"/>
                <w:color w:val="000000"/>
                <w:sz w:val="21"/>
                <w:szCs w:val="21"/>
                <w:highlight w:val="none"/>
              </w:rPr>
              <w:t>.89</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20.00</w:t>
            </w: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1102.00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15.01</w:t>
            </w: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625" w:hRule="atLeast"/>
        </w:trPr>
        <w:tc>
          <w:tcPr>
            <w:tcW w:w="47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213</w:t>
            </w:r>
          </w:p>
        </w:tc>
        <w:tc>
          <w:tcPr>
            <w:tcW w:w="36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03</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水利</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1415.90</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298.89</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w:t>
            </w:r>
            <w:r>
              <w:rPr>
                <w:rFonts w:hint="eastAsia" w:ascii="仿宋" w:hAnsi="仿宋" w:eastAsia="仿宋" w:cs="仿宋"/>
                <w:color w:val="000000"/>
                <w:sz w:val="21"/>
                <w:szCs w:val="21"/>
                <w:highlight w:val="none"/>
                <w:lang w:val="en-US" w:eastAsia="zh-CN"/>
              </w:rPr>
              <w:t>78</w:t>
            </w:r>
            <w:r>
              <w:rPr>
                <w:rFonts w:hint="eastAsia" w:ascii="仿宋" w:hAnsi="仿宋" w:eastAsia="仿宋" w:cs="仿宋"/>
                <w:color w:val="000000"/>
                <w:sz w:val="21"/>
                <w:szCs w:val="21"/>
                <w:highlight w:val="none"/>
              </w:rPr>
              <w:t>.89</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20.00</w:t>
            </w: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1102.00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15.01</w:t>
            </w: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760"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213</w:t>
            </w:r>
          </w:p>
        </w:tc>
        <w:tc>
          <w:tcPr>
            <w:tcW w:w="364"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01</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行政运行</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1196.38</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94.38</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94.38</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1102.00</w:t>
            </w: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213</w:t>
            </w:r>
          </w:p>
        </w:tc>
        <w:tc>
          <w:tcPr>
            <w:tcW w:w="364"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41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04</w:t>
            </w:r>
          </w:p>
        </w:tc>
        <w:tc>
          <w:tcPr>
            <w:tcW w:w="1038"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水利行业业务管理</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178.51</w:t>
            </w:r>
          </w:p>
        </w:tc>
        <w:tc>
          <w:tcPr>
            <w:tcW w:w="557"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163.51</w:t>
            </w:r>
          </w:p>
        </w:tc>
        <w:tc>
          <w:tcPr>
            <w:tcW w:w="614"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163.51</w:t>
            </w:r>
          </w:p>
        </w:tc>
        <w:tc>
          <w:tcPr>
            <w:tcW w:w="835"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4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1"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77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480"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c>
          <w:tcPr>
            <w:tcW w:w="639"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nil"/>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15.00</w:t>
            </w:r>
          </w:p>
        </w:tc>
        <w:tc>
          <w:tcPr>
            <w:tcW w:w="507"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213</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08</w:t>
            </w: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水利前期工作</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10.00</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10.00</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10.00</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213</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09</w:t>
            </w: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水利执法监督</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5.00</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5.00</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5.00</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213</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10</w:t>
            </w: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水土保持</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6.00</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6.00</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6.00</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213</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11</w:t>
            </w: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水资源节约管理与保护</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20.00</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20.00</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0.00</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20.00</w:t>
            </w: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347"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213</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14</w:t>
            </w: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防汛</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0.01</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0.01</w:t>
            </w: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221</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住房保障支出</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103.00</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27.00</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27.00</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76.00</w:t>
            </w: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221</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住房改革支出</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103.00</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27.00</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27.00</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76.00</w:t>
            </w: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shd w:val="clear" w:color="auto" w:fill="auto"/>
            <w:vAlign w:val="top"/>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221</w:t>
            </w:r>
          </w:p>
        </w:tc>
        <w:tc>
          <w:tcPr>
            <w:tcW w:w="364" w:type="dxa"/>
            <w:tcBorders>
              <w:top w:val="single" w:color="auto" w:sz="4" w:space="0"/>
              <w:left w:val="single" w:color="auto" w:sz="4" w:space="0"/>
              <w:bottom w:val="single" w:color="auto" w:sz="4" w:space="0"/>
              <w:right w:val="single" w:color="auto" w:sz="4" w:space="0"/>
            </w:tcBorders>
            <w:shd w:val="clear" w:color="auto" w:fill="auto"/>
            <w:vAlign w:val="top"/>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01</w:t>
            </w: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住房公积金</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103.00</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27.00</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27.00</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76.00</w:t>
            </w: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229</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其他支出</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775.22</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775.22</w:t>
            </w: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229</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04</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其他政府性基金及对应专项债务收入安排的支出</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775.22</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775.22</w:t>
            </w: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229</w:t>
            </w: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04</w:t>
            </w: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02</w:t>
            </w: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其他地方自行试点项目收益专项债券收入安排的支出</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775.22</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775.22</w:t>
            </w: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r>
        <w:tblPrEx>
          <w:tblLayout w:type="fixed"/>
          <w:tblCellMar>
            <w:top w:w="0" w:type="dxa"/>
            <w:left w:w="108" w:type="dxa"/>
            <w:bottom w:w="0" w:type="dxa"/>
            <w:right w:w="108" w:type="dxa"/>
          </w:tblCellMar>
        </w:tblPrEx>
        <w:trPr>
          <w:trHeight w:val="465" w:hRule="atLeast"/>
        </w:trPr>
        <w:tc>
          <w:tcPr>
            <w:tcW w:w="47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p>
        </w:tc>
        <w:tc>
          <w:tcPr>
            <w:tcW w:w="36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lang w:val="en-US" w:eastAsia="zh-CN"/>
              </w:rPr>
            </w:pPr>
          </w:p>
        </w:tc>
        <w:tc>
          <w:tcPr>
            <w:tcW w:w="1038"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auto"/>
                <w:sz w:val="21"/>
                <w:szCs w:val="21"/>
                <w:highlight w:val="none"/>
                <w:lang w:val="en-US" w:eastAsia="zh-CN"/>
              </w:rPr>
            </w:pPr>
          </w:p>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auto"/>
                <w:sz w:val="21"/>
                <w:szCs w:val="21"/>
                <w:highlight w:val="none"/>
                <w:lang w:val="en-US" w:eastAsia="zh-CN"/>
              </w:rPr>
              <w:t>合  计</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2480.33</w:t>
            </w:r>
          </w:p>
        </w:tc>
        <w:tc>
          <w:tcPr>
            <w:tcW w:w="557"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396.51</w:t>
            </w:r>
          </w:p>
        </w:tc>
        <w:tc>
          <w:tcPr>
            <w:tcW w:w="614"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w:t>
            </w:r>
            <w:r>
              <w:rPr>
                <w:rFonts w:hint="eastAsia" w:ascii="仿宋" w:hAnsi="仿宋" w:eastAsia="仿宋" w:cs="仿宋"/>
                <w:color w:val="000000"/>
                <w:sz w:val="21"/>
                <w:szCs w:val="21"/>
                <w:highlight w:val="none"/>
                <w:lang w:val="en-US" w:eastAsia="zh-CN"/>
              </w:rPr>
              <w:t>7</w:t>
            </w:r>
            <w:r>
              <w:rPr>
                <w:rFonts w:hint="eastAsia" w:ascii="仿宋" w:hAnsi="仿宋" w:eastAsia="仿宋" w:cs="仿宋"/>
                <w:color w:val="000000"/>
                <w:sz w:val="21"/>
                <w:szCs w:val="21"/>
                <w:highlight w:val="none"/>
              </w:rPr>
              <w:t>6.51</w:t>
            </w:r>
          </w:p>
        </w:tc>
        <w:tc>
          <w:tcPr>
            <w:tcW w:w="83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20.00</w:t>
            </w:r>
          </w:p>
        </w:tc>
        <w:tc>
          <w:tcPr>
            <w:tcW w:w="534"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43"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1"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77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480"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c>
          <w:tcPr>
            <w:tcW w:w="639"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1293.60</w:t>
            </w:r>
          </w:p>
        </w:tc>
        <w:tc>
          <w:tcPr>
            <w:tcW w:w="595"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790.23</w:t>
            </w:r>
          </w:p>
          <w:p>
            <w:pPr>
              <w:jc w:val="left"/>
              <w:rPr>
                <w:rFonts w:hint="eastAsia" w:ascii="仿宋" w:hAnsi="仿宋" w:eastAsia="仿宋" w:cs="仿宋"/>
                <w:sz w:val="21"/>
                <w:szCs w:val="21"/>
              </w:rPr>
            </w:pPr>
          </w:p>
        </w:tc>
        <w:tc>
          <w:tcPr>
            <w:tcW w:w="507"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21"/>
                <w:szCs w:val="21"/>
                <w:highlight w:val="none"/>
              </w:rPr>
            </w:pPr>
          </w:p>
        </w:tc>
      </w:tr>
    </w:tbl>
    <w:p>
      <w:pPr>
        <w:spacing w:beforeLines="0" w:afterLines="0"/>
        <w:jc w:val="left"/>
        <w:rPr>
          <w:rFonts w:hint="eastAsia" w:asciiTheme="minorEastAsia" w:hAnsiTheme="minorEastAsia" w:eastAsiaTheme="minorEastAsia" w:cstheme="minorEastAsia"/>
          <w:color w:val="000000"/>
          <w:sz w:val="22"/>
          <w:szCs w:val="24"/>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编制</w:t>
      </w:r>
      <w:r>
        <w:rPr>
          <w:rFonts w:hint="eastAsia" w:ascii="仿宋" w:hAnsi="仿宋" w:eastAsia="仿宋" w:cs="仿宋"/>
          <w:color w:val="auto"/>
          <w:kern w:val="0"/>
          <w:sz w:val="18"/>
          <w:szCs w:val="18"/>
          <w:highlight w:val="none"/>
          <w:lang w:eastAsia="zh-CN"/>
        </w:rPr>
        <w:t>部门</w:t>
      </w:r>
      <w:r>
        <w:rPr>
          <w:rFonts w:hint="eastAsia" w:ascii="仿宋" w:hAnsi="仿宋" w:eastAsia="仿宋" w:cs="仿宋"/>
          <w:color w:val="auto"/>
          <w:kern w:val="0"/>
          <w:sz w:val="18"/>
          <w:szCs w:val="18"/>
          <w:highlight w:val="none"/>
        </w:rPr>
        <w:t>：</w:t>
      </w:r>
      <w:r>
        <w:rPr>
          <w:rFonts w:hint="eastAsia" w:ascii="仿宋" w:hAnsi="仿宋" w:eastAsia="仿宋" w:cs="仿宋"/>
          <w:color w:val="auto"/>
          <w:kern w:val="0"/>
          <w:sz w:val="18"/>
          <w:szCs w:val="18"/>
          <w:highlight w:val="none"/>
          <w:lang w:eastAsia="zh-CN"/>
        </w:rPr>
        <w:t>呼图壁县水利局</w:t>
      </w:r>
      <w:r>
        <w:rPr>
          <w:rFonts w:hint="eastAsia" w:ascii="仿宋" w:hAnsi="仿宋" w:eastAsia="仿宋" w:cs="仿宋"/>
          <w:color w:val="auto"/>
          <w:kern w:val="0"/>
          <w:sz w:val="18"/>
          <w:szCs w:val="18"/>
          <w:highlight w:val="none"/>
        </w:rPr>
        <w:t xml:space="preserve">                                      </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522"/>
        <w:gridCol w:w="465"/>
        <w:gridCol w:w="539"/>
        <w:gridCol w:w="2528"/>
        <w:gridCol w:w="1787"/>
        <w:gridCol w:w="1837"/>
        <w:gridCol w:w="1742"/>
      </w:tblGrid>
      <w:tr>
        <w:tblPrEx>
          <w:tblLayout w:type="fixed"/>
          <w:tblCellMar>
            <w:top w:w="0" w:type="dxa"/>
            <w:left w:w="108" w:type="dxa"/>
            <w:bottom w:w="0" w:type="dxa"/>
            <w:right w:w="108" w:type="dxa"/>
          </w:tblCellMar>
        </w:tblPrEx>
        <w:trPr>
          <w:trHeight w:val="328" w:hRule="atLeast"/>
        </w:trPr>
        <w:tc>
          <w:tcPr>
            <w:tcW w:w="405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科</w:t>
            </w:r>
            <w:r>
              <w:rPr>
                <w:rFonts w:hint="eastAsia" w:ascii="仿宋" w:hAnsi="仿宋" w:eastAsia="仿宋" w:cs="仿宋"/>
                <w:b/>
                <w:bCs/>
                <w:color w:val="auto"/>
                <w:kern w:val="0"/>
                <w:sz w:val="18"/>
                <w:szCs w:val="18"/>
                <w:highlight w:val="none"/>
              </w:rPr>
              <w:t xml:space="preserve">    目</w:t>
            </w:r>
          </w:p>
        </w:tc>
        <w:tc>
          <w:tcPr>
            <w:tcW w:w="536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支出预算</w:t>
            </w:r>
          </w:p>
        </w:tc>
      </w:tr>
      <w:tr>
        <w:tblPrEx>
          <w:tblLayout w:type="fixed"/>
          <w:tblCellMar>
            <w:top w:w="0" w:type="dxa"/>
            <w:left w:w="108" w:type="dxa"/>
            <w:bottom w:w="0" w:type="dxa"/>
            <w:right w:w="108" w:type="dxa"/>
          </w:tblCellMar>
        </w:tblPrEx>
        <w:trPr>
          <w:trHeight w:val="480" w:hRule="atLeast"/>
        </w:trPr>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功能分类科目编码</w:t>
            </w:r>
          </w:p>
        </w:tc>
        <w:tc>
          <w:tcPr>
            <w:tcW w:w="252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功能分类科目名称</w:t>
            </w:r>
          </w:p>
        </w:tc>
        <w:tc>
          <w:tcPr>
            <w:tcW w:w="17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83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基本支出</w:t>
            </w:r>
          </w:p>
        </w:tc>
        <w:tc>
          <w:tcPr>
            <w:tcW w:w="174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项目支出</w:t>
            </w:r>
          </w:p>
        </w:tc>
      </w:tr>
      <w:tr>
        <w:tblPrEx>
          <w:tblLayout w:type="fixed"/>
          <w:tblCellMar>
            <w:top w:w="0" w:type="dxa"/>
            <w:left w:w="108" w:type="dxa"/>
            <w:bottom w:w="0" w:type="dxa"/>
            <w:right w:w="108" w:type="dxa"/>
          </w:tblCellMar>
        </w:tblPrEx>
        <w:trPr>
          <w:trHeight w:val="270" w:hRule="atLeast"/>
        </w:trPr>
        <w:tc>
          <w:tcPr>
            <w:tcW w:w="52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类</w:t>
            </w:r>
          </w:p>
        </w:tc>
        <w:tc>
          <w:tcPr>
            <w:tcW w:w="465"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款</w:t>
            </w:r>
          </w:p>
        </w:tc>
        <w:tc>
          <w:tcPr>
            <w:tcW w:w="539"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w:t>
            </w:r>
          </w:p>
        </w:tc>
        <w:tc>
          <w:tcPr>
            <w:tcW w:w="252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 w:hAnsi="仿宋" w:eastAsia="仿宋" w:cs="仿宋"/>
                <w:b/>
                <w:bCs/>
                <w:color w:val="auto"/>
                <w:kern w:val="0"/>
                <w:sz w:val="18"/>
                <w:szCs w:val="18"/>
                <w:highlight w:val="none"/>
              </w:rPr>
            </w:pPr>
          </w:p>
        </w:tc>
        <w:tc>
          <w:tcPr>
            <w:tcW w:w="17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 w:hAnsi="仿宋" w:eastAsia="仿宋" w:cs="仿宋"/>
                <w:b/>
                <w:bCs/>
                <w:color w:val="auto"/>
                <w:kern w:val="0"/>
                <w:sz w:val="18"/>
                <w:szCs w:val="18"/>
                <w:highlight w:val="none"/>
              </w:rPr>
            </w:pPr>
          </w:p>
        </w:tc>
        <w:tc>
          <w:tcPr>
            <w:tcW w:w="183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 w:hAnsi="仿宋" w:eastAsia="仿宋" w:cs="仿宋"/>
                <w:b/>
                <w:bCs/>
                <w:color w:val="auto"/>
                <w:kern w:val="0"/>
                <w:sz w:val="18"/>
                <w:szCs w:val="18"/>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 w:hAnsi="仿宋" w:eastAsia="仿宋" w:cs="仿宋"/>
                <w:b/>
                <w:bCs/>
                <w:color w:val="auto"/>
                <w:kern w:val="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465"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539"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2528"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eastAsia="zh-CN"/>
              </w:rPr>
              <w:t>社会保障和就业支出</w:t>
            </w:r>
          </w:p>
        </w:tc>
        <w:tc>
          <w:tcPr>
            <w:tcW w:w="178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110.49</w:t>
            </w:r>
          </w:p>
        </w:tc>
        <w:tc>
          <w:tcPr>
            <w:tcW w:w="183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110.49</w:t>
            </w:r>
          </w:p>
        </w:tc>
        <w:tc>
          <w:tcPr>
            <w:tcW w:w="1742"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28"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eastAsia="zh-CN"/>
              </w:rPr>
              <w:t>行政事业单位年养老支出</w:t>
            </w:r>
          </w:p>
        </w:tc>
        <w:tc>
          <w:tcPr>
            <w:tcW w:w="178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110.49</w:t>
            </w:r>
          </w:p>
        </w:tc>
        <w:tc>
          <w:tcPr>
            <w:tcW w:w="183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110.49</w:t>
            </w:r>
          </w:p>
        </w:tc>
        <w:tc>
          <w:tcPr>
            <w:tcW w:w="1742"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2528"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eastAsia="zh-CN"/>
              </w:rPr>
              <w:t>行政单位离退休</w:t>
            </w:r>
          </w:p>
        </w:tc>
        <w:tc>
          <w:tcPr>
            <w:tcW w:w="178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12.22</w:t>
            </w:r>
          </w:p>
        </w:tc>
        <w:tc>
          <w:tcPr>
            <w:tcW w:w="183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lang w:val="en-US" w:eastAsia="zh-CN"/>
              </w:rPr>
              <w:t>12.22</w:t>
            </w:r>
          </w:p>
        </w:tc>
        <w:tc>
          <w:tcPr>
            <w:tcW w:w="1742"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465"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39"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2528"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机关事业单位基本养老保险缴费支出</w:t>
            </w:r>
          </w:p>
        </w:tc>
        <w:tc>
          <w:tcPr>
            <w:tcW w:w="178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88.68</w:t>
            </w:r>
          </w:p>
        </w:tc>
        <w:tc>
          <w:tcPr>
            <w:tcW w:w="183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88.68</w:t>
            </w:r>
          </w:p>
        </w:tc>
        <w:tc>
          <w:tcPr>
            <w:tcW w:w="1742"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465"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39"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06</w:t>
            </w:r>
          </w:p>
        </w:tc>
        <w:tc>
          <w:tcPr>
            <w:tcW w:w="2528"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机关事业单位职业年金缴费支出</w:t>
            </w:r>
          </w:p>
        </w:tc>
        <w:tc>
          <w:tcPr>
            <w:tcW w:w="178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9.60</w:t>
            </w:r>
          </w:p>
        </w:tc>
        <w:tc>
          <w:tcPr>
            <w:tcW w:w="183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9.60</w:t>
            </w:r>
          </w:p>
        </w:tc>
        <w:tc>
          <w:tcPr>
            <w:tcW w:w="1742"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2528"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卫生健康支出</w:t>
            </w:r>
          </w:p>
        </w:tc>
        <w:tc>
          <w:tcPr>
            <w:tcW w:w="178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75.72</w:t>
            </w:r>
          </w:p>
        </w:tc>
        <w:tc>
          <w:tcPr>
            <w:tcW w:w="183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75.72</w:t>
            </w:r>
          </w:p>
        </w:tc>
        <w:tc>
          <w:tcPr>
            <w:tcW w:w="1742"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　</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　</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2528"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行政事业单位医疗</w:t>
            </w:r>
          </w:p>
        </w:tc>
        <w:tc>
          <w:tcPr>
            <w:tcW w:w="178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75.72</w:t>
            </w:r>
          </w:p>
        </w:tc>
        <w:tc>
          <w:tcPr>
            <w:tcW w:w="183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75.72</w:t>
            </w:r>
          </w:p>
        </w:tc>
        <w:tc>
          <w:tcPr>
            <w:tcW w:w="1742"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　</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　</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　</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行政单位医疗</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45.36</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45.36</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　</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　</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　</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事业单位医疗</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11.75</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11.75</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　</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　</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　</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公务员医疗补助</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18.40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18.40</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99</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其他行政事业单位医疗支出</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0.21</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0.21</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农林水支出</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1415.90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1359.89</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56.01</w:t>
            </w: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水利</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1415.90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1359.89</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56.01</w:t>
            </w: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行政运行</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1196.38</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1196.38</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水利行业业务管理</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178.51</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163.51</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15.00</w:t>
            </w: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水利前期工作</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10.00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10.00</w:t>
            </w: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09</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水利执法监督</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5.00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5.00</w:t>
            </w:r>
          </w:p>
        </w:tc>
      </w:tr>
      <w:tr>
        <w:tblPrEx>
          <w:tblLayout w:type="fixed"/>
          <w:tblCellMar>
            <w:top w:w="0" w:type="dxa"/>
            <w:left w:w="108" w:type="dxa"/>
            <w:bottom w:w="0" w:type="dxa"/>
            <w:right w:w="108" w:type="dxa"/>
          </w:tblCellMar>
        </w:tblPrEx>
        <w:trPr>
          <w:trHeight w:val="690"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10</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水土保持</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6.00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6.00</w:t>
            </w: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水资源节约管理与保护</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20.00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20.00</w:t>
            </w: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　</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14　</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防汛</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0.01</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0.01</w:t>
            </w: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221　</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住房保障支出</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103.00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103.00</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221</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住房改革支出</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103.00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103.00</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221　</w:t>
            </w:r>
          </w:p>
        </w:tc>
        <w:tc>
          <w:tcPr>
            <w:tcW w:w="46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　</w:t>
            </w:r>
          </w:p>
        </w:tc>
        <w:tc>
          <w:tcPr>
            <w:tcW w:w="539"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　</w:t>
            </w:r>
          </w:p>
        </w:tc>
        <w:tc>
          <w:tcPr>
            <w:tcW w:w="2528"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住房公积金</w:t>
            </w:r>
          </w:p>
        </w:tc>
        <w:tc>
          <w:tcPr>
            <w:tcW w:w="178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103.00</w:t>
            </w:r>
          </w:p>
        </w:tc>
        <w:tc>
          <w:tcPr>
            <w:tcW w:w="1837"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103.00</w:t>
            </w:r>
          </w:p>
        </w:tc>
        <w:tc>
          <w:tcPr>
            <w:tcW w:w="1742"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r>
      <w:tr>
        <w:tblPrEx>
          <w:tblLayout w:type="fixed"/>
          <w:tblCellMar>
            <w:top w:w="0" w:type="dxa"/>
            <w:left w:w="108" w:type="dxa"/>
            <w:bottom w:w="0" w:type="dxa"/>
            <w:right w:w="108" w:type="dxa"/>
          </w:tblCellMar>
        </w:tblPrEx>
        <w:trPr>
          <w:trHeight w:val="405" w:hRule="atLeast"/>
        </w:trPr>
        <w:tc>
          <w:tcPr>
            <w:tcW w:w="522"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229</w:t>
            </w:r>
          </w:p>
        </w:tc>
        <w:tc>
          <w:tcPr>
            <w:tcW w:w="465"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p>
        </w:tc>
        <w:tc>
          <w:tcPr>
            <w:tcW w:w="53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p>
        </w:tc>
        <w:tc>
          <w:tcPr>
            <w:tcW w:w="2528"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其他支出</w:t>
            </w:r>
          </w:p>
        </w:tc>
        <w:tc>
          <w:tcPr>
            <w:tcW w:w="178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775.22</w:t>
            </w:r>
          </w:p>
        </w:tc>
        <w:tc>
          <w:tcPr>
            <w:tcW w:w="183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775.22</w:t>
            </w:r>
          </w:p>
        </w:tc>
      </w:tr>
      <w:tr>
        <w:tblPrEx>
          <w:tblLayout w:type="fixed"/>
          <w:tblCellMar>
            <w:top w:w="0" w:type="dxa"/>
            <w:left w:w="108" w:type="dxa"/>
            <w:bottom w:w="0" w:type="dxa"/>
            <w:right w:w="108" w:type="dxa"/>
          </w:tblCellMar>
        </w:tblPrEx>
        <w:trPr>
          <w:trHeight w:val="405" w:hRule="atLeast"/>
        </w:trPr>
        <w:tc>
          <w:tcPr>
            <w:tcW w:w="522"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229</w:t>
            </w:r>
          </w:p>
        </w:tc>
        <w:tc>
          <w:tcPr>
            <w:tcW w:w="465"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53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p>
        </w:tc>
        <w:tc>
          <w:tcPr>
            <w:tcW w:w="2528"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其他政府性基金及对应专项债务收入安排的支出</w:t>
            </w:r>
          </w:p>
        </w:tc>
        <w:tc>
          <w:tcPr>
            <w:tcW w:w="178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775.22</w:t>
            </w:r>
          </w:p>
        </w:tc>
        <w:tc>
          <w:tcPr>
            <w:tcW w:w="183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775.22</w:t>
            </w:r>
          </w:p>
        </w:tc>
      </w:tr>
      <w:tr>
        <w:tblPrEx>
          <w:tblLayout w:type="fixed"/>
          <w:tblCellMar>
            <w:top w:w="0" w:type="dxa"/>
            <w:left w:w="108" w:type="dxa"/>
            <w:bottom w:w="0" w:type="dxa"/>
            <w:right w:w="108" w:type="dxa"/>
          </w:tblCellMar>
        </w:tblPrEx>
        <w:trPr>
          <w:trHeight w:val="405" w:hRule="atLeast"/>
        </w:trPr>
        <w:tc>
          <w:tcPr>
            <w:tcW w:w="522"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229</w:t>
            </w:r>
          </w:p>
        </w:tc>
        <w:tc>
          <w:tcPr>
            <w:tcW w:w="465"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53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2528"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其他地方自行试点项目收益专项债券收入安排的支出</w:t>
            </w:r>
          </w:p>
        </w:tc>
        <w:tc>
          <w:tcPr>
            <w:tcW w:w="178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775.22</w:t>
            </w:r>
          </w:p>
        </w:tc>
        <w:tc>
          <w:tcPr>
            <w:tcW w:w="183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p>
        </w:tc>
        <w:tc>
          <w:tcPr>
            <w:tcW w:w="1742"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775.22</w:t>
            </w:r>
          </w:p>
        </w:tc>
      </w:tr>
      <w:tr>
        <w:tblPrEx>
          <w:tblLayout w:type="fixed"/>
          <w:tblCellMar>
            <w:top w:w="0" w:type="dxa"/>
            <w:left w:w="108" w:type="dxa"/>
            <w:bottom w:w="0" w:type="dxa"/>
            <w:right w:w="108" w:type="dxa"/>
          </w:tblCellMar>
        </w:tblPrEx>
        <w:trPr>
          <w:trHeight w:val="405" w:hRule="atLeast"/>
        </w:trPr>
        <w:tc>
          <w:tcPr>
            <w:tcW w:w="522"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p>
        </w:tc>
        <w:tc>
          <w:tcPr>
            <w:tcW w:w="465"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p>
        </w:tc>
        <w:tc>
          <w:tcPr>
            <w:tcW w:w="539" w:type="dxa"/>
            <w:tcBorders>
              <w:top w:val="single" w:color="auto" w:sz="4" w:space="0"/>
              <w:left w:val="single" w:color="auto" w:sz="4" w:space="0"/>
              <w:bottom w:val="single" w:color="auto" w:sz="4" w:space="0"/>
              <w:right w:val="single" w:color="auto" w:sz="4" w:space="0"/>
            </w:tcBorders>
          </w:tcPr>
          <w:p>
            <w:pPr>
              <w:spacing w:beforeLines="0" w:afterLines="0"/>
              <w:jc w:val="left"/>
              <w:rPr>
                <w:rFonts w:hint="eastAsia" w:ascii="仿宋" w:hAnsi="仿宋" w:eastAsia="仿宋" w:cs="仿宋"/>
                <w:color w:val="000000"/>
                <w:sz w:val="18"/>
                <w:szCs w:val="18"/>
                <w:highlight w:val="none"/>
                <w:lang w:val="en-US" w:eastAsia="zh-CN"/>
              </w:rPr>
            </w:pPr>
          </w:p>
        </w:tc>
        <w:tc>
          <w:tcPr>
            <w:tcW w:w="2528"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b/>
                <w:bCs/>
                <w:color w:val="auto"/>
                <w:kern w:val="0"/>
                <w:sz w:val="18"/>
                <w:szCs w:val="18"/>
                <w:highlight w:val="none"/>
              </w:rPr>
              <w:t>合  计</w:t>
            </w:r>
          </w:p>
        </w:tc>
        <w:tc>
          <w:tcPr>
            <w:tcW w:w="178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2480.33</w:t>
            </w:r>
          </w:p>
        </w:tc>
        <w:tc>
          <w:tcPr>
            <w:tcW w:w="1837"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1649.11</w:t>
            </w:r>
          </w:p>
        </w:tc>
        <w:tc>
          <w:tcPr>
            <w:tcW w:w="1742"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rPr>
            </w:pPr>
            <w:r>
              <w:rPr>
                <w:rFonts w:hint="eastAsia" w:ascii="仿宋" w:hAnsi="仿宋" w:eastAsia="仿宋" w:cs="仿宋"/>
                <w:color w:val="000000"/>
                <w:sz w:val="18"/>
                <w:szCs w:val="18"/>
                <w:highlight w:val="none"/>
              </w:rPr>
              <w:t>831.23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编制</w:t>
      </w:r>
      <w:r>
        <w:rPr>
          <w:rFonts w:hint="eastAsia" w:ascii="仿宋" w:hAnsi="仿宋" w:eastAsia="仿宋" w:cs="仿宋"/>
          <w:color w:val="auto"/>
          <w:kern w:val="0"/>
          <w:sz w:val="18"/>
          <w:szCs w:val="18"/>
          <w:highlight w:val="none"/>
          <w:lang w:eastAsia="zh-CN"/>
        </w:rPr>
        <w:t>部门</w:t>
      </w:r>
      <w:r>
        <w:rPr>
          <w:rFonts w:hint="eastAsia" w:ascii="仿宋" w:hAnsi="仿宋" w:eastAsia="仿宋" w:cs="仿宋"/>
          <w:color w:val="auto"/>
          <w:kern w:val="0"/>
          <w:sz w:val="18"/>
          <w:szCs w:val="18"/>
          <w:highlight w:val="none"/>
        </w:rPr>
        <w:t>：</w:t>
      </w:r>
      <w:r>
        <w:rPr>
          <w:rFonts w:hint="eastAsia" w:ascii="仿宋" w:hAnsi="仿宋" w:eastAsia="仿宋" w:cs="仿宋"/>
          <w:color w:val="auto"/>
          <w:kern w:val="0"/>
          <w:sz w:val="18"/>
          <w:szCs w:val="18"/>
          <w:highlight w:val="none"/>
          <w:lang w:eastAsia="zh-CN"/>
        </w:rPr>
        <w:t>呼图壁县水利局</w:t>
      </w:r>
      <w:r>
        <w:rPr>
          <w:rFonts w:hint="eastAsia" w:ascii="仿宋" w:hAnsi="仿宋" w:eastAsia="仿宋" w:cs="仿宋"/>
          <w:color w:val="auto"/>
          <w:kern w:val="0"/>
          <w:sz w:val="18"/>
          <w:szCs w:val="18"/>
          <w:highlight w:val="none"/>
        </w:rPr>
        <w:t xml:space="preserve">                                        </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单位：万元</w:t>
      </w:r>
    </w:p>
    <w:tbl>
      <w:tblPr>
        <w:tblStyle w:val="8"/>
        <w:tblW w:w="9449" w:type="dxa"/>
        <w:tblInd w:w="-240" w:type="dxa"/>
        <w:tblLayout w:type="fixed"/>
        <w:tblCellMar>
          <w:top w:w="0" w:type="dxa"/>
          <w:left w:w="108" w:type="dxa"/>
          <w:bottom w:w="0" w:type="dxa"/>
          <w:right w:w="108" w:type="dxa"/>
        </w:tblCellMar>
      </w:tblPr>
      <w:tblGrid>
        <w:gridCol w:w="2108"/>
        <w:gridCol w:w="1185"/>
        <w:gridCol w:w="2137"/>
        <w:gridCol w:w="900"/>
        <w:gridCol w:w="1155"/>
        <w:gridCol w:w="830"/>
        <w:gridCol w:w="1134"/>
      </w:tblGrid>
      <w:tr>
        <w:tblPrEx>
          <w:tblLayout w:type="fixed"/>
          <w:tblCellMar>
            <w:top w:w="0" w:type="dxa"/>
            <w:left w:w="108" w:type="dxa"/>
            <w:bottom w:w="0" w:type="dxa"/>
            <w:right w:w="108" w:type="dxa"/>
          </w:tblCellMar>
        </w:tblPrEx>
        <w:trPr>
          <w:trHeight w:val="285" w:hRule="atLeast"/>
        </w:trPr>
        <w:tc>
          <w:tcPr>
            <w:tcW w:w="3293"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财政拨款收入</w:t>
            </w:r>
          </w:p>
        </w:tc>
        <w:tc>
          <w:tcPr>
            <w:tcW w:w="6156" w:type="dxa"/>
            <w:gridSpan w:val="5"/>
            <w:tcBorders>
              <w:top w:val="single" w:color="auto" w:sz="4" w:space="0"/>
              <w:left w:val="nil"/>
              <w:bottom w:val="single" w:color="auto" w:sz="4" w:space="0"/>
              <w:right w:val="single" w:color="000000" w:sz="4" w:space="0"/>
            </w:tcBorders>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财政拨款支出</w:t>
            </w:r>
          </w:p>
        </w:tc>
      </w:tr>
      <w:tr>
        <w:tblPrEx>
          <w:tblLayout w:type="fixed"/>
          <w:tblCellMar>
            <w:top w:w="0" w:type="dxa"/>
            <w:left w:w="108" w:type="dxa"/>
            <w:bottom w:w="0" w:type="dxa"/>
            <w:right w:w="108" w:type="dxa"/>
          </w:tblCellMar>
        </w:tblPrEx>
        <w:trPr>
          <w:trHeight w:val="500" w:hRule="atLeast"/>
        </w:trPr>
        <w:tc>
          <w:tcPr>
            <w:tcW w:w="2108"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项    目</w:t>
            </w:r>
          </w:p>
        </w:tc>
        <w:tc>
          <w:tcPr>
            <w:tcW w:w="118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合  计</w:t>
            </w:r>
          </w:p>
        </w:tc>
        <w:tc>
          <w:tcPr>
            <w:tcW w:w="21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15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一般公共预算</w:t>
            </w:r>
          </w:p>
        </w:tc>
        <w:tc>
          <w:tcPr>
            <w:tcW w:w="8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jc w:val="left"/>
              <w:textAlignment w:val="auto"/>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国有资本经营预算</w:t>
            </w:r>
          </w:p>
        </w:tc>
      </w:tr>
      <w:tr>
        <w:tblPrEx>
          <w:tblLayout w:type="fixed"/>
          <w:tblCellMar>
            <w:top w:w="0" w:type="dxa"/>
            <w:left w:w="108" w:type="dxa"/>
            <w:bottom w:w="0" w:type="dxa"/>
            <w:right w:w="108" w:type="dxa"/>
          </w:tblCellMar>
        </w:tblPrEx>
        <w:trPr>
          <w:trHeight w:val="820"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Hans"/>
              </w:rPr>
              <w:t>一、</w:t>
            </w:r>
            <w:r>
              <w:rPr>
                <w:rFonts w:hint="eastAsia" w:ascii="仿宋" w:hAnsi="仿宋" w:eastAsia="仿宋" w:cs="仿宋"/>
                <w:color w:val="000000"/>
                <w:sz w:val="18"/>
                <w:szCs w:val="18"/>
                <w:highlight w:val="none"/>
                <w:lang w:val="en-US" w:eastAsia="zh-CN"/>
              </w:rPr>
              <w:t>财政拨款（补助）</w:t>
            </w:r>
          </w:p>
        </w:tc>
        <w:tc>
          <w:tcPr>
            <w:tcW w:w="118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396.51</w:t>
            </w: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201 一般公共服务支出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一般公共预算</w:t>
            </w:r>
          </w:p>
        </w:tc>
        <w:tc>
          <w:tcPr>
            <w:tcW w:w="118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396.51</w:t>
            </w: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202 外交支出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政府性基金预算</w:t>
            </w:r>
          </w:p>
        </w:tc>
        <w:tc>
          <w:tcPr>
            <w:tcW w:w="118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203 国防支出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国有资本经营预算</w:t>
            </w: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204 公共安全支出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97"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205 教育支出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206 科学技术支出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207 文化旅游体育与传媒支出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535"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 社会保障和就业支出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44.89</w:t>
            </w: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44.89</w:t>
            </w: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209 社会保险基金支出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 卫生健康支出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25.72</w:t>
            </w: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25.72</w:t>
            </w: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211 节能环保支出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212 城乡社区支出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 农林水支出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298.89</w:t>
            </w: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298.89</w:t>
            </w: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214 交通运输支出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215 资源勘探</w:t>
            </w:r>
            <w:r>
              <w:rPr>
                <w:rFonts w:hint="eastAsia" w:ascii="仿宋" w:hAnsi="仿宋" w:eastAsia="仿宋" w:cs="仿宋"/>
                <w:color w:val="000000"/>
                <w:sz w:val="18"/>
                <w:szCs w:val="18"/>
                <w:highlight w:val="none"/>
                <w:lang w:val="en-US" w:eastAsia="zh-Hans"/>
              </w:rPr>
              <w:t>工业</w:t>
            </w:r>
            <w:r>
              <w:rPr>
                <w:rFonts w:hint="eastAsia" w:ascii="仿宋" w:hAnsi="仿宋" w:eastAsia="仿宋" w:cs="仿宋"/>
                <w:color w:val="000000"/>
                <w:sz w:val="18"/>
                <w:szCs w:val="18"/>
                <w:highlight w:val="none"/>
                <w:lang w:val="en-US" w:eastAsia="zh-CN"/>
              </w:rPr>
              <w:t>信息等支出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216 商业服务业等支出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217 金融支出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219 援助其他地区支出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220 自然资源海洋气象等支出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221 住房保障支出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222 粮油物资储备支出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223 国有资本经营预算支出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224 灾害防治及应急管理支出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227 预备费</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229 其他支出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230 转移性支出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231 债务还本支出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232 债务付息支出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85" w:type="dxa"/>
            <w:tcBorders>
              <w:top w:val="nil"/>
              <w:left w:val="nil"/>
              <w:bottom w:val="single" w:color="auto" w:sz="4" w:space="0"/>
              <w:right w:val="single" w:color="auto" w:sz="4" w:space="0"/>
            </w:tcBorders>
            <w:vAlign w:val="bottom"/>
          </w:tcPr>
          <w:p>
            <w:pPr>
              <w:spacing w:beforeLines="0" w:afterLines="0"/>
              <w:jc w:val="left"/>
              <w:rPr>
                <w:rFonts w:hint="eastAsia" w:ascii="仿宋" w:hAnsi="仿宋" w:eastAsia="仿宋" w:cs="仿宋"/>
                <w:color w:val="000000"/>
                <w:sz w:val="18"/>
                <w:szCs w:val="18"/>
                <w:highlight w:val="none"/>
                <w:lang w:val="en-US" w:eastAsia="zh-CN"/>
              </w:rPr>
            </w:pPr>
          </w:p>
        </w:tc>
        <w:tc>
          <w:tcPr>
            <w:tcW w:w="2137"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233 债务发行费用支出</w:t>
            </w:r>
          </w:p>
        </w:tc>
        <w:tc>
          <w:tcPr>
            <w:tcW w:w="9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55"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83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210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收  入  总  计</w:t>
            </w:r>
          </w:p>
        </w:tc>
        <w:tc>
          <w:tcPr>
            <w:tcW w:w="1185" w:type="dxa"/>
            <w:tcBorders>
              <w:top w:val="single" w:color="auto" w:sz="4" w:space="0"/>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396.51</w:t>
            </w:r>
          </w:p>
        </w:tc>
        <w:tc>
          <w:tcPr>
            <w:tcW w:w="2137" w:type="dxa"/>
            <w:tcBorders>
              <w:top w:val="single" w:color="auto" w:sz="4" w:space="0"/>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支  出  总  计</w:t>
            </w:r>
          </w:p>
        </w:tc>
        <w:tc>
          <w:tcPr>
            <w:tcW w:w="900" w:type="dxa"/>
            <w:tcBorders>
              <w:top w:val="single" w:color="auto" w:sz="4" w:space="0"/>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396.51</w:t>
            </w:r>
          </w:p>
        </w:tc>
        <w:tc>
          <w:tcPr>
            <w:tcW w:w="1155" w:type="dxa"/>
            <w:tcBorders>
              <w:top w:val="single" w:color="auto" w:sz="4" w:space="0"/>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396.51</w:t>
            </w:r>
          </w:p>
        </w:tc>
        <w:tc>
          <w:tcPr>
            <w:tcW w:w="830" w:type="dxa"/>
            <w:tcBorders>
              <w:top w:val="single" w:color="auto" w:sz="4" w:space="0"/>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1134" w:type="dxa"/>
            <w:tcBorders>
              <w:top w:val="single" w:color="auto" w:sz="4" w:space="0"/>
              <w:left w:val="nil"/>
              <w:bottom w:val="single" w:color="auto" w:sz="4" w:space="0"/>
              <w:right w:val="single" w:color="auto" w:sz="4" w:space="0"/>
            </w:tcBorders>
            <w:vAlign w:val="center"/>
          </w:tcPr>
          <w:p>
            <w:pPr>
              <w:widowControl/>
              <w:spacing w:line="280" w:lineRule="exact"/>
              <w:jc w:val="left"/>
              <w:rPr>
                <w:rFonts w:hint="eastAsia" w:ascii="仿宋" w:hAnsi="仿宋" w:eastAsia="仿宋" w:cs="仿宋"/>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409" w:type="dxa"/>
        <w:tblInd w:w="-229" w:type="dxa"/>
        <w:tblLayout w:type="fixed"/>
        <w:tblCellMar>
          <w:top w:w="0" w:type="dxa"/>
          <w:left w:w="108" w:type="dxa"/>
          <w:bottom w:w="0" w:type="dxa"/>
          <w:right w:w="108" w:type="dxa"/>
        </w:tblCellMar>
      </w:tblPr>
      <w:tblGrid>
        <w:gridCol w:w="669"/>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409"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182" w:type="dxa"/>
            <w:gridSpan w:val="4"/>
            <w:tcBorders>
              <w:top w:val="nil"/>
              <w:left w:val="nil"/>
              <w:bottom w:val="nil"/>
              <w:right w:val="nil"/>
            </w:tcBorders>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编制</w:t>
            </w:r>
            <w:r>
              <w:rPr>
                <w:rFonts w:hint="eastAsia" w:ascii="仿宋" w:hAnsi="仿宋" w:eastAsia="仿宋" w:cs="仿宋"/>
                <w:color w:val="auto"/>
                <w:kern w:val="0"/>
                <w:sz w:val="18"/>
                <w:szCs w:val="18"/>
                <w:highlight w:val="none"/>
                <w:lang w:eastAsia="zh-CN"/>
              </w:rPr>
              <w:t>部门</w:t>
            </w:r>
            <w:r>
              <w:rPr>
                <w:rFonts w:hint="eastAsia" w:ascii="仿宋" w:hAnsi="仿宋" w:eastAsia="仿宋" w:cs="仿宋"/>
                <w:color w:val="auto"/>
                <w:kern w:val="0"/>
                <w:sz w:val="18"/>
                <w:szCs w:val="18"/>
                <w:highlight w:val="none"/>
              </w:rPr>
              <w:t>：</w:t>
            </w:r>
            <w:r>
              <w:rPr>
                <w:rFonts w:hint="eastAsia" w:ascii="仿宋" w:hAnsi="仿宋" w:eastAsia="仿宋" w:cs="仿宋"/>
                <w:color w:val="auto"/>
                <w:kern w:val="0"/>
                <w:sz w:val="18"/>
                <w:szCs w:val="18"/>
                <w:highlight w:val="none"/>
                <w:lang w:eastAsia="zh-CN"/>
              </w:rPr>
              <w:t>呼图壁县水利局</w:t>
            </w:r>
          </w:p>
        </w:tc>
        <w:tc>
          <w:tcPr>
            <w:tcW w:w="660" w:type="dxa"/>
            <w:tcBorders>
              <w:top w:val="nil"/>
              <w:left w:val="nil"/>
              <w:bottom w:val="nil"/>
              <w:right w:val="nil"/>
            </w:tcBorders>
            <w:vAlign w:val="center"/>
          </w:tcPr>
          <w:p>
            <w:pPr>
              <w:widowControl/>
              <w:jc w:val="left"/>
              <w:rPr>
                <w:rFonts w:hint="eastAsia" w:ascii="仿宋" w:hAnsi="仿宋" w:eastAsia="仿宋" w:cs="仿宋"/>
                <w:color w:val="auto"/>
                <w:kern w:val="0"/>
                <w:sz w:val="18"/>
                <w:szCs w:val="18"/>
                <w:highlight w:val="none"/>
              </w:rPr>
            </w:pPr>
          </w:p>
        </w:tc>
        <w:tc>
          <w:tcPr>
            <w:tcW w:w="1240" w:type="dxa"/>
            <w:gridSpan w:val="2"/>
            <w:tcBorders>
              <w:top w:val="nil"/>
              <w:left w:val="nil"/>
              <w:bottom w:val="nil"/>
              <w:right w:val="nil"/>
            </w:tcBorders>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3327" w:type="dxa"/>
            <w:gridSpan w:val="2"/>
            <w:tcBorders>
              <w:top w:val="nil"/>
              <w:left w:val="nil"/>
              <w:bottom w:val="nil"/>
              <w:right w:val="nil"/>
            </w:tcBorders>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单位：万元</w:t>
            </w:r>
          </w:p>
        </w:tc>
      </w:tr>
      <w:tr>
        <w:tblPrEx>
          <w:tblLayout w:type="fixed"/>
          <w:tblCellMar>
            <w:top w:w="0" w:type="dxa"/>
            <w:left w:w="108" w:type="dxa"/>
            <w:bottom w:w="0" w:type="dxa"/>
            <w:right w:w="108" w:type="dxa"/>
          </w:tblCellMar>
        </w:tblPrEx>
        <w:trPr>
          <w:trHeight w:val="405" w:hRule="atLeast"/>
        </w:trPr>
        <w:tc>
          <w:tcPr>
            <w:tcW w:w="4182"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科</w:t>
            </w:r>
            <w:r>
              <w:rPr>
                <w:rFonts w:hint="eastAsia" w:ascii="仿宋" w:hAnsi="仿宋" w:eastAsia="仿宋" w:cs="仿宋"/>
                <w:b/>
                <w:bCs/>
                <w:color w:val="auto"/>
                <w:kern w:val="0"/>
                <w:sz w:val="18"/>
                <w:szCs w:val="18"/>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672"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项目支出</w:t>
            </w:r>
          </w:p>
        </w:tc>
      </w:tr>
      <w:tr>
        <w:tblPrEx>
          <w:tblLayout w:type="fixed"/>
          <w:tblCellMar>
            <w:top w:w="0" w:type="dxa"/>
            <w:left w:w="108" w:type="dxa"/>
            <w:bottom w:w="0" w:type="dxa"/>
            <w:right w:w="108" w:type="dxa"/>
          </w:tblCellMar>
        </w:tblPrEx>
        <w:trPr>
          <w:trHeight w:val="300" w:hRule="atLeast"/>
        </w:trPr>
        <w:tc>
          <w:tcPr>
            <w:tcW w:w="66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类</w:t>
            </w:r>
          </w:p>
        </w:tc>
        <w:tc>
          <w:tcPr>
            <w:tcW w:w="500"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款</w:t>
            </w:r>
          </w:p>
        </w:tc>
        <w:tc>
          <w:tcPr>
            <w:tcW w:w="503"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18"/>
                <w:szCs w:val="18"/>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18"/>
                <w:szCs w:val="18"/>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18"/>
                <w:szCs w:val="18"/>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b/>
                <w:bCs/>
                <w:color w:val="auto"/>
                <w:kern w:val="0"/>
                <w:sz w:val="18"/>
                <w:szCs w:val="18"/>
                <w:highlight w:val="none"/>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503"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社会保障和就业支出</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44.89</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44.89</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行政事业单位养老支出</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44.89</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44.89</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行政单位离退休</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12.22</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12.22</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251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32.68</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32.68</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208</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06</w:t>
            </w:r>
          </w:p>
        </w:tc>
        <w:tc>
          <w:tcPr>
            <w:tcW w:w="251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卫生健康支出</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25.72</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25.72</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nil"/>
              <w:left w:val="nil"/>
              <w:bottom w:val="single" w:color="auto" w:sz="4" w:space="0"/>
              <w:right w:val="single" w:color="auto" w:sz="4" w:space="0"/>
            </w:tcBorders>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行政事业单位医疗</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25.72</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25.72</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行政单位医疗</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5.36</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5.36</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事业单位医疗</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11.75</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11.75</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210</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公务员医疗补助</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8.40</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8.40</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农林水支出</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313.90</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257.89</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水利</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313.9</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257.89</w:t>
            </w:r>
          </w:p>
        </w:tc>
        <w:tc>
          <w:tcPr>
            <w:tcW w:w="1701" w:type="dxa"/>
            <w:tcBorders>
              <w:top w:val="nil"/>
              <w:left w:val="nil"/>
              <w:bottom w:val="single" w:color="auto" w:sz="4" w:space="0"/>
              <w:right w:val="single" w:color="auto" w:sz="4" w:space="0"/>
            </w:tcBorders>
            <w:vAlign w:val="top"/>
          </w:tcPr>
          <w:p>
            <w:pPr>
              <w:spacing w:beforeLines="0" w:afterLines="0"/>
              <w:jc w:val="left"/>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56.01</w:t>
            </w: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行政运行</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94.38</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94.38</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水利行业业务管理</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163.51</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163.51</w:t>
            </w:r>
          </w:p>
        </w:tc>
        <w:tc>
          <w:tcPr>
            <w:tcW w:w="1701" w:type="dxa"/>
            <w:tcBorders>
              <w:top w:val="nil"/>
              <w:left w:val="nil"/>
              <w:bottom w:val="single" w:color="auto" w:sz="4" w:space="0"/>
              <w:right w:val="single" w:color="auto" w:sz="4" w:space="0"/>
            </w:tcBorders>
            <w:vAlign w:val="top"/>
          </w:tcPr>
          <w:p>
            <w:pPr>
              <w:spacing w:beforeLines="0" w:afterLines="0"/>
              <w:jc w:val="lef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水利前期工作</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10.00</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10.00</w:t>
            </w: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09</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水利执法监督</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5.00</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5.00</w:t>
            </w: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10</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水土保持</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6.00</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6.00</w:t>
            </w: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水资源节约管理与保护</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20.00</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20.00</w:t>
            </w:r>
          </w:p>
        </w:tc>
      </w:tr>
      <w:tr>
        <w:tblPrEx>
          <w:tblLayout w:type="fixed"/>
          <w:tblCellMar>
            <w:top w:w="0" w:type="dxa"/>
            <w:left w:w="108" w:type="dxa"/>
            <w:bottom w:w="0" w:type="dxa"/>
            <w:right w:w="108" w:type="dxa"/>
          </w:tblCellMar>
        </w:tblPrEx>
        <w:trPr>
          <w:trHeight w:val="450" w:hRule="atLeast"/>
        </w:trPr>
        <w:tc>
          <w:tcPr>
            <w:tcW w:w="669"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221</w:t>
            </w:r>
          </w:p>
        </w:tc>
        <w:tc>
          <w:tcPr>
            <w:tcW w:w="500"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503" w:type="dxa"/>
            <w:tcBorders>
              <w:top w:val="nil"/>
              <w:left w:val="nil"/>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住房保障支出</w:t>
            </w:r>
          </w:p>
        </w:tc>
        <w:tc>
          <w:tcPr>
            <w:tcW w:w="1684"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842" w:type="dxa"/>
            <w:gridSpan w:val="2"/>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701" w:type="dxa"/>
            <w:tcBorders>
              <w:top w:val="nil"/>
              <w:left w:val="nil"/>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221</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50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住房改革支出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842"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701"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543" w:hRule="atLeast"/>
        </w:trPr>
        <w:tc>
          <w:tcPr>
            <w:tcW w:w="6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221</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50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2510"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住房公积金</w:t>
            </w:r>
          </w:p>
        </w:tc>
        <w:tc>
          <w:tcPr>
            <w:tcW w:w="1684"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842"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701"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6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503"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Lines="0" w:afterLines="0"/>
              <w:jc w:val="left"/>
              <w:rPr>
                <w:rFonts w:hint="eastAsia" w:ascii="仿宋" w:hAnsi="仿宋" w:eastAsia="仿宋" w:cs="仿宋"/>
                <w:color w:val="000000"/>
                <w:sz w:val="18"/>
                <w:szCs w:val="18"/>
                <w:highlight w:val="none"/>
                <w:lang w:val="en-US" w:eastAsia="zh-CN"/>
              </w:rPr>
            </w:pPr>
          </w:p>
        </w:tc>
        <w:tc>
          <w:tcPr>
            <w:tcW w:w="2510"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b/>
                <w:bCs/>
                <w:color w:val="000000"/>
                <w:sz w:val="18"/>
                <w:szCs w:val="18"/>
                <w:highlight w:val="none"/>
                <w:lang w:val="en-US" w:eastAsia="zh-CN"/>
              </w:rPr>
            </w:pPr>
            <w:r>
              <w:rPr>
                <w:rFonts w:hint="eastAsia" w:ascii="仿宋" w:hAnsi="仿宋" w:eastAsia="仿宋" w:cs="仿宋"/>
                <w:b/>
                <w:bCs/>
                <w:color w:val="auto"/>
                <w:kern w:val="0"/>
                <w:sz w:val="18"/>
                <w:szCs w:val="18"/>
                <w:highlight w:val="none"/>
              </w:rPr>
              <w:t>合  计</w:t>
            </w:r>
          </w:p>
        </w:tc>
        <w:tc>
          <w:tcPr>
            <w:tcW w:w="1684"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default" w:ascii="仿宋" w:hAnsi="仿宋" w:eastAsia="仿宋" w:cs="仿宋"/>
                <w:b/>
                <w:bCs/>
                <w:color w:val="000000"/>
                <w:sz w:val="18"/>
                <w:szCs w:val="18"/>
                <w:highlight w:val="none"/>
                <w:lang w:val="en-US" w:eastAsia="zh-CN"/>
              </w:rPr>
            </w:pPr>
            <w:r>
              <w:rPr>
                <w:rFonts w:hint="eastAsia" w:ascii="仿宋" w:hAnsi="仿宋" w:eastAsia="仿宋" w:cs="仿宋"/>
                <w:b/>
                <w:bCs/>
                <w:color w:val="000000"/>
                <w:sz w:val="18"/>
                <w:szCs w:val="18"/>
                <w:highlight w:val="none"/>
                <w:lang w:val="en-US" w:eastAsia="zh-CN"/>
              </w:rPr>
              <w:t>396.41</w:t>
            </w:r>
          </w:p>
        </w:tc>
        <w:tc>
          <w:tcPr>
            <w:tcW w:w="1842"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b/>
                <w:bCs/>
                <w:color w:val="000000"/>
                <w:sz w:val="18"/>
                <w:szCs w:val="18"/>
                <w:highlight w:val="none"/>
                <w:lang w:val="en-US" w:eastAsia="zh-CN"/>
              </w:rPr>
            </w:pPr>
            <w:r>
              <w:rPr>
                <w:rFonts w:hint="eastAsia" w:ascii="仿宋" w:hAnsi="仿宋" w:eastAsia="仿宋" w:cs="仿宋"/>
                <w:b/>
                <w:bCs/>
                <w:color w:val="000000"/>
                <w:sz w:val="18"/>
                <w:szCs w:val="18"/>
                <w:highlight w:val="none"/>
                <w:lang w:val="en-US" w:eastAsia="zh-CN"/>
              </w:rPr>
              <w:t>355.51</w:t>
            </w:r>
          </w:p>
        </w:tc>
        <w:tc>
          <w:tcPr>
            <w:tcW w:w="1701" w:type="dxa"/>
            <w:tcBorders>
              <w:top w:val="single" w:color="auto" w:sz="4" w:space="0"/>
              <w:left w:val="single" w:color="auto" w:sz="4" w:space="0"/>
              <w:bottom w:val="single" w:color="auto" w:sz="4" w:space="0"/>
              <w:right w:val="single" w:color="auto" w:sz="4" w:space="0"/>
            </w:tcBorders>
            <w:vAlign w:val="top"/>
          </w:tcPr>
          <w:p>
            <w:pPr>
              <w:spacing w:beforeLines="0" w:afterLines="0"/>
              <w:jc w:val="left"/>
              <w:rPr>
                <w:rFonts w:hint="eastAsia" w:ascii="仿宋" w:hAnsi="仿宋" w:eastAsia="仿宋" w:cs="仿宋"/>
                <w:b/>
                <w:bCs/>
                <w:color w:val="000000"/>
                <w:sz w:val="18"/>
                <w:szCs w:val="18"/>
                <w:highlight w:val="none"/>
                <w:lang w:val="en-US" w:eastAsia="zh-CN"/>
              </w:rPr>
            </w:pPr>
            <w:r>
              <w:rPr>
                <w:rFonts w:hint="eastAsia" w:ascii="仿宋" w:hAnsi="仿宋" w:eastAsia="仿宋" w:cs="仿宋"/>
                <w:b/>
                <w:bCs/>
                <w:color w:val="000000"/>
                <w:sz w:val="18"/>
                <w:szCs w:val="18"/>
                <w:highlight w:val="none"/>
                <w:lang w:val="en-US" w:eastAsia="zh-CN"/>
              </w:rPr>
              <w:t>41</w:t>
            </w:r>
          </w:p>
        </w:tc>
      </w:tr>
    </w:tbl>
    <w:p>
      <w:pPr>
        <w:keepNext w:val="0"/>
        <w:keepLines w:val="0"/>
        <w:widowControl/>
        <w:suppressLineNumbers w:val="0"/>
        <w:jc w:val="left"/>
        <w:textAlignment w:val="bottom"/>
        <w:rPr>
          <w:rFonts w:hint="eastAsia" w:ascii="仿宋" w:hAnsi="仿宋" w:eastAsia="仿宋" w:cs="仿宋"/>
          <w:i w:val="0"/>
          <w:color w:val="FF0000"/>
          <w:kern w:val="0"/>
          <w:sz w:val="18"/>
          <w:szCs w:val="18"/>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hint="eastAsia" w:ascii="仿宋" w:hAnsi="仿宋" w:eastAsia="仿宋" w:cs="仿宋"/>
                <w:color w:val="auto"/>
                <w:kern w:val="0"/>
                <w:sz w:val="18"/>
                <w:szCs w:val="18"/>
                <w:highlight w:val="none"/>
                <w:lang w:eastAsia="zh-CN"/>
              </w:rPr>
            </w:pPr>
            <w:r>
              <w:rPr>
                <w:rFonts w:hint="eastAsia" w:ascii="仿宋" w:hAnsi="仿宋" w:eastAsia="仿宋" w:cs="仿宋"/>
                <w:color w:val="auto"/>
                <w:kern w:val="0"/>
                <w:sz w:val="18"/>
                <w:szCs w:val="18"/>
                <w:highlight w:val="none"/>
              </w:rPr>
              <w:t>编制</w:t>
            </w:r>
            <w:r>
              <w:rPr>
                <w:rFonts w:hint="eastAsia" w:ascii="仿宋" w:hAnsi="仿宋" w:eastAsia="仿宋" w:cs="仿宋"/>
                <w:color w:val="auto"/>
                <w:kern w:val="0"/>
                <w:sz w:val="18"/>
                <w:szCs w:val="18"/>
                <w:highlight w:val="none"/>
                <w:lang w:eastAsia="zh-CN"/>
              </w:rPr>
              <w:t>部门</w:t>
            </w:r>
            <w:r>
              <w:rPr>
                <w:rFonts w:hint="eastAsia" w:ascii="仿宋" w:hAnsi="仿宋" w:eastAsia="仿宋" w:cs="仿宋"/>
                <w:color w:val="auto"/>
                <w:kern w:val="0"/>
                <w:sz w:val="18"/>
                <w:szCs w:val="18"/>
                <w:highlight w:val="none"/>
              </w:rPr>
              <w:t>：</w:t>
            </w:r>
            <w:r>
              <w:rPr>
                <w:rFonts w:hint="eastAsia" w:ascii="仿宋" w:hAnsi="仿宋" w:eastAsia="仿宋" w:cs="仿宋"/>
                <w:color w:val="auto"/>
                <w:kern w:val="0"/>
                <w:sz w:val="18"/>
                <w:szCs w:val="18"/>
                <w:highlight w:val="none"/>
                <w:lang w:eastAsia="zh-CN"/>
              </w:rPr>
              <w:t>呼图壁县水利局</w:t>
            </w:r>
          </w:p>
        </w:tc>
        <w:tc>
          <w:tcPr>
            <w:tcW w:w="995" w:type="dxa"/>
            <w:tcBorders>
              <w:top w:val="nil"/>
              <w:left w:val="nil"/>
              <w:bottom w:val="nil"/>
              <w:right w:val="nil"/>
            </w:tcBorders>
            <w:vAlign w:val="center"/>
          </w:tcPr>
          <w:p>
            <w:pPr>
              <w:widowControl/>
              <w:jc w:val="left"/>
              <w:rPr>
                <w:rFonts w:hint="eastAsia" w:ascii="仿宋" w:hAnsi="仿宋" w:eastAsia="仿宋" w:cs="仿宋"/>
                <w:color w:val="auto"/>
                <w:kern w:val="0"/>
                <w:sz w:val="18"/>
                <w:szCs w:val="18"/>
                <w:highlight w:val="none"/>
              </w:rPr>
            </w:pPr>
          </w:p>
        </w:tc>
        <w:tc>
          <w:tcPr>
            <w:tcW w:w="1682" w:type="dxa"/>
            <w:gridSpan w:val="2"/>
            <w:tcBorders>
              <w:top w:val="nil"/>
              <w:left w:val="nil"/>
              <w:bottom w:val="nil"/>
              <w:right w:val="nil"/>
            </w:tcBorders>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2426" w:type="dxa"/>
            <w:gridSpan w:val="2"/>
            <w:tcBorders>
              <w:top w:val="nil"/>
              <w:left w:val="nil"/>
              <w:bottom w:val="nil"/>
              <w:right w:val="nil"/>
            </w:tcBorders>
            <w:vAlign w:val="center"/>
          </w:tcPr>
          <w:p>
            <w:pPr>
              <w:widowControl/>
              <w:ind w:firstLine="540" w:firstLineChars="30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 xml:space="preserve">科  </w:t>
            </w:r>
            <w:r>
              <w:rPr>
                <w:rFonts w:hint="eastAsia" w:ascii="仿宋" w:hAnsi="仿宋" w:eastAsia="仿宋" w:cs="仿宋"/>
                <w:b/>
                <w:bCs/>
                <w:color w:val="auto"/>
                <w:kern w:val="0"/>
                <w:sz w:val="18"/>
                <w:szCs w:val="18"/>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18"/>
                <w:szCs w:val="18"/>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311.91</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311.91</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81.50</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81.50</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40.69</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40.69</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64.28</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64.28</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07</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38.50</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38.50</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32.68</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32.68</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10</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17.12</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17.12</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公务员医疗补助缴费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8.40</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8.40</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12</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其他社会保障缴费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1.76</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1.76</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13</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住房公积金</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27.00</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商品和服务支出</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29.59</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29.59</w:t>
            </w:r>
          </w:p>
        </w:tc>
      </w:tr>
      <w:tr>
        <w:tblPrEx>
          <w:tblLayout w:type="fixed"/>
          <w:tblCellMar>
            <w:top w:w="0" w:type="dxa"/>
            <w:left w:w="108" w:type="dxa"/>
            <w:bottom w:w="0" w:type="dxa"/>
            <w:right w:w="108" w:type="dxa"/>
          </w:tblCellMar>
        </w:tblPrEx>
        <w:trPr>
          <w:trHeight w:val="45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0.25</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06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电费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1.38</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1.38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07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邮电费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1.50</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取暖费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13.98</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13.98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差旅费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0.53</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28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工会经费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3.95</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31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公务用车运行维护费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2.79</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2.79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302</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39</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其他交通费用</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5.21</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5.21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303</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对个人和家庭的补助</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14.01</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14.01</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303</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退休费</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12.22</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12.22</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303</w:t>
            </w: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05　</w:t>
            </w: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生活补助</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0.02</w:t>
            </w: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0.02</w:t>
            </w: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nil"/>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303</w:t>
            </w:r>
          </w:p>
        </w:tc>
        <w:tc>
          <w:tcPr>
            <w:tcW w:w="577" w:type="dxa"/>
            <w:tcBorders>
              <w:top w:val="nil"/>
              <w:left w:val="nil"/>
              <w:bottom w:val="nil"/>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09　</w:t>
            </w:r>
          </w:p>
        </w:tc>
        <w:tc>
          <w:tcPr>
            <w:tcW w:w="2891" w:type="dxa"/>
            <w:tcBorders>
              <w:top w:val="nil"/>
              <w:left w:val="nil"/>
              <w:bottom w:val="nil"/>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奖励金</w:t>
            </w:r>
          </w:p>
        </w:tc>
        <w:tc>
          <w:tcPr>
            <w:tcW w:w="1701" w:type="dxa"/>
            <w:gridSpan w:val="2"/>
            <w:tcBorders>
              <w:top w:val="nil"/>
              <w:left w:val="nil"/>
              <w:bottom w:val="nil"/>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1.77</w:t>
            </w:r>
          </w:p>
        </w:tc>
        <w:tc>
          <w:tcPr>
            <w:tcW w:w="1701" w:type="dxa"/>
            <w:gridSpan w:val="2"/>
            <w:tcBorders>
              <w:top w:val="nil"/>
              <w:left w:val="nil"/>
              <w:bottom w:val="nil"/>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1.77</w:t>
            </w:r>
          </w:p>
        </w:tc>
        <w:tc>
          <w:tcPr>
            <w:tcW w:w="1701" w:type="dxa"/>
            <w:tcBorders>
              <w:top w:val="nil"/>
              <w:left w:val="nil"/>
              <w:bottom w:val="nil"/>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577" w:type="dxa"/>
            <w:tcBorders>
              <w:top w:val="nil"/>
              <w:left w:val="nil"/>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289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gridSpan w:val="2"/>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spacing w:beforeLines="0" w:afterLines="0"/>
              <w:jc w:val="center"/>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90" w:hRule="atLeast"/>
        </w:trPr>
        <w:tc>
          <w:tcPr>
            <w:tcW w:w="757" w:type="dxa"/>
            <w:tcBorders>
              <w:top w:val="single" w:color="auto" w:sz="4" w:space="0"/>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spacing w:beforeLines="0" w:afterLines="0"/>
              <w:jc w:val="center"/>
              <w:rPr>
                <w:rFonts w:hint="eastAsia" w:ascii="仿宋" w:hAnsi="仿宋" w:eastAsia="仿宋" w:cs="仿宋"/>
                <w:color w:val="000000"/>
                <w:sz w:val="18"/>
                <w:szCs w:val="18"/>
                <w:highlight w:val="none"/>
                <w:lang w:val="en-US" w:eastAsia="zh-CN"/>
              </w:rPr>
            </w:pPr>
          </w:p>
        </w:tc>
        <w:tc>
          <w:tcPr>
            <w:tcW w:w="2891"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b w:val="0"/>
                <w:bCs w:val="0"/>
                <w:color w:val="000000"/>
                <w:sz w:val="18"/>
                <w:szCs w:val="18"/>
                <w:highlight w:val="none"/>
                <w:lang w:val="en-US" w:eastAsia="zh-CN"/>
              </w:rPr>
            </w:pPr>
            <w:r>
              <w:rPr>
                <w:rFonts w:hint="eastAsia" w:ascii="仿宋" w:hAnsi="仿宋" w:eastAsia="仿宋" w:cs="仿宋"/>
                <w:b w:val="0"/>
                <w:bCs w:val="0"/>
                <w:color w:val="auto"/>
                <w:kern w:val="0"/>
                <w:sz w:val="18"/>
                <w:szCs w:val="18"/>
                <w:highlight w:val="none"/>
              </w:rPr>
              <w:t>合  计</w:t>
            </w:r>
          </w:p>
        </w:tc>
        <w:tc>
          <w:tcPr>
            <w:tcW w:w="1701"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b w:val="0"/>
                <w:bCs w:val="0"/>
                <w:color w:val="000000"/>
                <w:sz w:val="18"/>
                <w:szCs w:val="18"/>
                <w:highlight w:val="none"/>
                <w:lang w:val="en-US" w:eastAsia="zh-CN"/>
              </w:rPr>
            </w:pPr>
            <w:r>
              <w:rPr>
                <w:rFonts w:hint="eastAsia" w:ascii="仿宋" w:hAnsi="仿宋" w:eastAsia="仿宋" w:cs="仿宋"/>
                <w:b w:val="0"/>
                <w:bCs w:val="0"/>
                <w:color w:val="000000"/>
                <w:sz w:val="18"/>
                <w:szCs w:val="18"/>
                <w:highlight w:val="none"/>
                <w:lang w:val="en-US" w:eastAsia="zh-CN"/>
              </w:rPr>
              <w:t>355.51</w:t>
            </w:r>
          </w:p>
        </w:tc>
        <w:tc>
          <w:tcPr>
            <w:tcW w:w="1701" w:type="dxa"/>
            <w:gridSpan w:val="2"/>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b w:val="0"/>
                <w:bCs w:val="0"/>
                <w:color w:val="000000"/>
                <w:sz w:val="18"/>
                <w:szCs w:val="18"/>
                <w:highlight w:val="none"/>
                <w:lang w:val="en-US" w:eastAsia="zh-CN"/>
              </w:rPr>
            </w:pPr>
            <w:r>
              <w:rPr>
                <w:rFonts w:hint="eastAsia" w:ascii="仿宋" w:hAnsi="仿宋" w:eastAsia="仿宋" w:cs="仿宋"/>
                <w:b w:val="0"/>
                <w:bCs w:val="0"/>
                <w:color w:val="000000"/>
                <w:sz w:val="18"/>
                <w:szCs w:val="18"/>
                <w:highlight w:val="none"/>
                <w:lang w:val="en-US" w:eastAsia="zh-CN"/>
              </w:rPr>
              <w:t>325.92</w:t>
            </w:r>
          </w:p>
        </w:tc>
        <w:tc>
          <w:tcPr>
            <w:tcW w:w="1701" w:type="dxa"/>
            <w:tcBorders>
              <w:top w:val="single" w:color="auto" w:sz="4" w:space="0"/>
              <w:left w:val="single" w:color="auto" w:sz="4" w:space="0"/>
              <w:bottom w:val="single" w:color="auto" w:sz="4" w:space="0"/>
              <w:right w:val="single" w:color="auto" w:sz="4" w:space="0"/>
            </w:tcBorders>
            <w:vAlign w:val="top"/>
          </w:tcPr>
          <w:p>
            <w:pPr>
              <w:spacing w:beforeLines="0" w:afterLines="0"/>
              <w:jc w:val="center"/>
              <w:rPr>
                <w:rFonts w:hint="eastAsia" w:ascii="仿宋" w:hAnsi="仿宋" w:eastAsia="仿宋" w:cs="仿宋"/>
                <w:b w:val="0"/>
                <w:bCs w:val="0"/>
                <w:color w:val="000000"/>
                <w:sz w:val="18"/>
                <w:szCs w:val="18"/>
                <w:highlight w:val="none"/>
                <w:lang w:val="en-US" w:eastAsia="zh-CN"/>
              </w:rPr>
            </w:pPr>
            <w:r>
              <w:rPr>
                <w:rFonts w:hint="eastAsia" w:ascii="仿宋" w:hAnsi="仿宋" w:eastAsia="仿宋" w:cs="仿宋"/>
                <w:b w:val="0"/>
                <w:bCs w:val="0"/>
                <w:color w:val="000000"/>
                <w:sz w:val="18"/>
                <w:szCs w:val="18"/>
                <w:highlight w:val="none"/>
                <w:lang w:val="en-US" w:eastAsia="zh-CN"/>
              </w:rPr>
              <w:t>29.59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543"/>
        <w:gridCol w:w="438"/>
        <w:gridCol w:w="505"/>
        <w:gridCol w:w="1191"/>
        <w:gridCol w:w="1155"/>
        <w:gridCol w:w="818"/>
        <w:gridCol w:w="423"/>
        <w:gridCol w:w="736"/>
        <w:gridCol w:w="369"/>
        <w:gridCol w:w="394"/>
        <w:gridCol w:w="404"/>
        <w:gridCol w:w="156"/>
        <w:gridCol w:w="614"/>
        <w:gridCol w:w="533"/>
        <w:gridCol w:w="368"/>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20" w:hRule="atLeast"/>
        </w:trPr>
        <w:tc>
          <w:tcPr>
            <w:tcW w:w="4650"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呼图壁县水利局</w:t>
            </w:r>
          </w:p>
        </w:tc>
        <w:tc>
          <w:tcPr>
            <w:tcW w:w="1159"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167"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94"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91"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55"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2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3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6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9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60"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1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3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6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51"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05"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91"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15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6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9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0"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6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51" w:type="dxa"/>
            <w:gridSpan w:val="2"/>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213</w:t>
            </w:r>
          </w:p>
        </w:tc>
        <w:tc>
          <w:tcPr>
            <w:tcW w:w="438" w:type="dxa"/>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rPr>
            </w:pPr>
          </w:p>
        </w:tc>
        <w:tc>
          <w:tcPr>
            <w:tcW w:w="505" w:type="dxa"/>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rPr>
            </w:pPr>
          </w:p>
        </w:tc>
        <w:tc>
          <w:tcPr>
            <w:tcW w:w="1191" w:type="dxa"/>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农林水支出</w:t>
            </w:r>
          </w:p>
        </w:tc>
        <w:tc>
          <w:tcPr>
            <w:tcW w:w="1155"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818"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41</w:t>
            </w:r>
          </w:p>
        </w:tc>
        <w:tc>
          <w:tcPr>
            <w:tcW w:w="423"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736"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21</w:t>
            </w:r>
          </w:p>
        </w:tc>
        <w:tc>
          <w:tcPr>
            <w:tcW w:w="369"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394"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560" w:type="dxa"/>
            <w:gridSpan w:val="2"/>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614"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20</w:t>
            </w:r>
          </w:p>
        </w:tc>
        <w:tc>
          <w:tcPr>
            <w:tcW w:w="533"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368"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420"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465" w:type="dxa"/>
            <w:gridSpan w:val="2"/>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51" w:type="dxa"/>
            <w:gridSpan w:val="2"/>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213</w:t>
            </w:r>
          </w:p>
        </w:tc>
        <w:tc>
          <w:tcPr>
            <w:tcW w:w="438" w:type="dxa"/>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03</w:t>
            </w:r>
          </w:p>
        </w:tc>
        <w:tc>
          <w:tcPr>
            <w:tcW w:w="505" w:type="dxa"/>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rPr>
            </w:pPr>
          </w:p>
        </w:tc>
        <w:tc>
          <w:tcPr>
            <w:tcW w:w="1191" w:type="dxa"/>
            <w:tcBorders>
              <w:bottom w:val="single" w:color="auto" w:sz="4" w:space="0"/>
            </w:tcBorders>
            <w:vAlign w:val="center"/>
          </w:tcPr>
          <w:p>
            <w:pPr>
              <w:widowControl/>
              <w:jc w:val="left"/>
              <w:outlineLvl w:val="1"/>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水利</w:t>
            </w:r>
          </w:p>
        </w:tc>
        <w:tc>
          <w:tcPr>
            <w:tcW w:w="1155"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818"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41</w:t>
            </w:r>
          </w:p>
        </w:tc>
        <w:tc>
          <w:tcPr>
            <w:tcW w:w="423"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736"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21</w:t>
            </w:r>
          </w:p>
        </w:tc>
        <w:tc>
          <w:tcPr>
            <w:tcW w:w="369"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394"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560" w:type="dxa"/>
            <w:gridSpan w:val="2"/>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614"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20</w:t>
            </w:r>
          </w:p>
        </w:tc>
        <w:tc>
          <w:tcPr>
            <w:tcW w:w="533"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368"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420" w:type="dxa"/>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c>
          <w:tcPr>
            <w:tcW w:w="465" w:type="dxa"/>
            <w:gridSpan w:val="2"/>
            <w:tcBorders>
              <w:bottom w:val="single" w:color="auto" w:sz="4" w:space="0"/>
            </w:tcBorders>
            <w:vAlign w:val="top"/>
          </w:tcPr>
          <w:p>
            <w:pPr>
              <w:widowControl/>
              <w:jc w:val="left"/>
              <w:outlineLvl w:val="1"/>
              <w:rPr>
                <w:rFonts w:hint="eastAsia" w:ascii="仿宋" w:hAnsi="仿宋" w:eastAsia="仿宋" w:cs="仿宋"/>
                <w:b/>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1"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　</w:t>
            </w:r>
          </w:p>
        </w:tc>
        <w:tc>
          <w:tcPr>
            <w:tcW w:w="43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　</w:t>
            </w:r>
          </w:p>
        </w:tc>
        <w:tc>
          <w:tcPr>
            <w:tcW w:w="505"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　</w:t>
            </w:r>
          </w:p>
        </w:tc>
        <w:tc>
          <w:tcPr>
            <w:tcW w:w="1191"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水利前期工作</w:t>
            </w:r>
          </w:p>
        </w:tc>
        <w:tc>
          <w:tcPr>
            <w:tcW w:w="1155"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河湖长制工作经费（非定额）　</w:t>
            </w:r>
          </w:p>
        </w:tc>
        <w:tc>
          <w:tcPr>
            <w:tcW w:w="81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10.00</w:t>
            </w:r>
          </w:p>
        </w:tc>
        <w:tc>
          <w:tcPr>
            <w:tcW w:w="42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736"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10.00　</w:t>
            </w:r>
          </w:p>
        </w:tc>
        <w:tc>
          <w:tcPr>
            <w:tcW w:w="369"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9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60"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61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3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6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20"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65"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7" w:hRule="atLeast"/>
        </w:trPr>
        <w:tc>
          <w:tcPr>
            <w:tcW w:w="551" w:type="dxa"/>
            <w:gridSpan w:val="2"/>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　</w:t>
            </w:r>
          </w:p>
        </w:tc>
        <w:tc>
          <w:tcPr>
            <w:tcW w:w="438" w:type="dxa"/>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　</w:t>
            </w:r>
          </w:p>
        </w:tc>
        <w:tc>
          <w:tcPr>
            <w:tcW w:w="505" w:type="dxa"/>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09</w:t>
            </w:r>
          </w:p>
        </w:tc>
        <w:tc>
          <w:tcPr>
            <w:tcW w:w="1191"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水利执法监督　</w:t>
            </w:r>
          </w:p>
        </w:tc>
        <w:tc>
          <w:tcPr>
            <w:tcW w:w="1155"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非法举报奖励资金（非定额）　</w:t>
            </w:r>
          </w:p>
        </w:tc>
        <w:tc>
          <w:tcPr>
            <w:tcW w:w="818"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5.00</w:t>
            </w:r>
          </w:p>
        </w:tc>
        <w:tc>
          <w:tcPr>
            <w:tcW w:w="42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736"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5.00　</w:t>
            </w:r>
          </w:p>
        </w:tc>
        <w:tc>
          <w:tcPr>
            <w:tcW w:w="369"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9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60"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61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3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6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20"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65"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1" w:type="dxa"/>
            <w:gridSpan w:val="2"/>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　</w:t>
            </w:r>
          </w:p>
        </w:tc>
        <w:tc>
          <w:tcPr>
            <w:tcW w:w="438" w:type="dxa"/>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　</w:t>
            </w:r>
          </w:p>
        </w:tc>
        <w:tc>
          <w:tcPr>
            <w:tcW w:w="505" w:type="dxa"/>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10</w:t>
            </w:r>
          </w:p>
        </w:tc>
        <w:tc>
          <w:tcPr>
            <w:tcW w:w="1191"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水土保持</w:t>
            </w:r>
          </w:p>
        </w:tc>
        <w:tc>
          <w:tcPr>
            <w:tcW w:w="1155"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水土保持专家评审费及监督管理与监测费用（非定额）　</w:t>
            </w:r>
          </w:p>
        </w:tc>
        <w:tc>
          <w:tcPr>
            <w:tcW w:w="81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6.00</w:t>
            </w:r>
          </w:p>
        </w:tc>
        <w:tc>
          <w:tcPr>
            <w:tcW w:w="42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736"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6.00　</w:t>
            </w:r>
          </w:p>
        </w:tc>
        <w:tc>
          <w:tcPr>
            <w:tcW w:w="369"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9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60"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61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3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6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20"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65"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1" w:type="dxa"/>
            <w:gridSpan w:val="2"/>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213　</w:t>
            </w:r>
          </w:p>
        </w:tc>
        <w:tc>
          <w:tcPr>
            <w:tcW w:w="438" w:type="dxa"/>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　</w:t>
            </w:r>
          </w:p>
        </w:tc>
        <w:tc>
          <w:tcPr>
            <w:tcW w:w="505" w:type="dxa"/>
            <w:shd w:val="clear" w:color="auto" w:fill="auto"/>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11</w:t>
            </w:r>
          </w:p>
        </w:tc>
        <w:tc>
          <w:tcPr>
            <w:tcW w:w="1191" w:type="dxa"/>
            <w:vAlign w:val="top"/>
          </w:tcPr>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p>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水资源节约管理与保护</w:t>
            </w:r>
          </w:p>
        </w:tc>
        <w:tc>
          <w:tcPr>
            <w:tcW w:w="1155"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关于提前下达2025年中央水利发展资金（水资源刚性约束与调度）-农业灌溉机井折水　</w:t>
            </w:r>
          </w:p>
        </w:tc>
        <w:tc>
          <w:tcPr>
            <w:tcW w:w="81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20.00</w:t>
            </w:r>
          </w:p>
        </w:tc>
        <w:tc>
          <w:tcPr>
            <w:tcW w:w="42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736"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69"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9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560"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614"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20.00</w:t>
            </w:r>
          </w:p>
        </w:tc>
        <w:tc>
          <w:tcPr>
            <w:tcW w:w="533"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68"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20" w:type="dxa"/>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465" w:type="dxa"/>
            <w:gridSpan w:val="2"/>
            <w:vAlign w:val="top"/>
          </w:tcPr>
          <w:p>
            <w:pPr>
              <w:spacing w:beforeLines="0" w:afterLines="0"/>
              <w:jc w:val="left"/>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51" w:type="dxa"/>
            <w:gridSpan w:val="2"/>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38" w:type="dxa"/>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5" w:type="dxa"/>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91" w:type="dxa"/>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55" w:type="dxa"/>
            <w:vAlign w:val="center"/>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818" w:type="dxa"/>
            <w:vAlign w:val="center"/>
          </w:tcPr>
          <w:p>
            <w:pPr>
              <w:spacing w:beforeLines="0" w:afterLines="0"/>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000000"/>
                <w:sz w:val="18"/>
                <w:szCs w:val="18"/>
                <w:highlight w:val="none"/>
                <w:lang w:val="en-US" w:eastAsia="zh-CN"/>
              </w:rPr>
              <w:t>41</w:t>
            </w:r>
          </w:p>
        </w:tc>
        <w:tc>
          <w:tcPr>
            <w:tcW w:w="423" w:type="dxa"/>
            <w:vAlign w:val="top"/>
          </w:tcPr>
          <w:p>
            <w:pPr>
              <w:widowControl/>
              <w:jc w:val="left"/>
              <w:outlineLvl w:val="1"/>
              <w:rPr>
                <w:rFonts w:hint="eastAsia" w:ascii="仿宋" w:hAnsi="仿宋" w:eastAsia="仿宋" w:cs="仿宋"/>
                <w:color w:val="000000"/>
                <w:sz w:val="18"/>
                <w:szCs w:val="18"/>
                <w:highlight w:val="none"/>
                <w:lang w:val="en-US" w:eastAsia="zh-CN"/>
              </w:rPr>
            </w:pPr>
          </w:p>
        </w:tc>
        <w:tc>
          <w:tcPr>
            <w:tcW w:w="736" w:type="dxa"/>
            <w:vAlign w:val="top"/>
          </w:tcPr>
          <w:p>
            <w:pPr>
              <w:widowControl/>
              <w:jc w:val="left"/>
              <w:outlineLvl w:val="1"/>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21</w:t>
            </w:r>
          </w:p>
        </w:tc>
        <w:tc>
          <w:tcPr>
            <w:tcW w:w="369" w:type="dxa"/>
            <w:vAlign w:val="top"/>
          </w:tcPr>
          <w:p>
            <w:pPr>
              <w:widowControl/>
              <w:jc w:val="left"/>
              <w:outlineLvl w:val="1"/>
              <w:rPr>
                <w:rFonts w:hint="eastAsia"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　</w:t>
            </w:r>
          </w:p>
        </w:tc>
        <w:tc>
          <w:tcPr>
            <w:tcW w:w="394" w:type="dxa"/>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60" w:type="dxa"/>
            <w:gridSpan w:val="2"/>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614" w:type="dxa"/>
            <w:vAlign w:val="top"/>
          </w:tcPr>
          <w:p>
            <w:pPr>
              <w:widowControl/>
              <w:jc w:val="left"/>
              <w:outlineLvl w:val="1"/>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20</w:t>
            </w:r>
          </w:p>
        </w:tc>
        <w:tc>
          <w:tcPr>
            <w:tcW w:w="533" w:type="dxa"/>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368" w:type="dxa"/>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20" w:type="dxa"/>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65" w:type="dxa"/>
            <w:gridSpan w:val="2"/>
            <w:vAlign w:val="top"/>
          </w:tcPr>
          <w:p>
            <w:pPr>
              <w:widowControl/>
              <w:jc w:val="left"/>
              <w:outlineLvl w:val="1"/>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both"/>
        <w:rPr>
          <w:rFonts w:hint="eastAsia" w:ascii="仿宋_GB2312" w:hAnsi="宋体" w:eastAsia="仿宋_GB2312"/>
          <w:b/>
          <w:color w:val="auto"/>
          <w:kern w:val="0"/>
          <w:sz w:val="32"/>
          <w:szCs w:val="32"/>
          <w:highlight w:val="none"/>
          <w:lang w:val="en-US" w:eastAsia="zh-CN"/>
        </w:rPr>
      </w:pP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宋体" w:hAnsi="宋体" w:eastAsia="宋体" w:cs="宋体"/>
          <w:color w:val="auto"/>
          <w:kern w:val="0"/>
          <w:sz w:val="22"/>
          <w:szCs w:val="22"/>
          <w:highlight w:val="none"/>
          <w:lang w:eastAsia="zh-CN"/>
        </w:rPr>
        <w:t>呼图壁县水利局</w:t>
      </w:r>
      <w:r>
        <w:rPr>
          <w:rFonts w:hint="eastAsia" w:ascii="宋体" w:hAnsi="宋体" w:eastAsia="宋体" w:cs="宋体"/>
          <w:color w:val="auto"/>
          <w:kern w:val="0"/>
          <w:sz w:val="22"/>
          <w:szCs w:val="22"/>
          <w:highlight w:val="none"/>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outlineLvl w:val="1"/>
              <w:rPr>
                <w:rFonts w:hint="eastAsia" w:ascii="宋体" w:hAnsi="宋体" w:eastAsia="宋体" w:cs="宋体"/>
                <w:color w:val="auto"/>
                <w:kern w:val="0"/>
                <w:sz w:val="22"/>
                <w:szCs w:val="22"/>
                <w:highlight w:val="none"/>
                <w:lang w:eastAsia="zh-CN"/>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outlineLvl w:val="1"/>
              <w:rPr>
                <w:rFonts w:hint="eastAsia" w:ascii="宋体" w:hAnsi="宋体" w:eastAsia="宋体" w:cs="宋体"/>
                <w:color w:val="auto"/>
                <w:kern w:val="0"/>
                <w:sz w:val="22"/>
                <w:szCs w:val="22"/>
                <w:highlight w:val="none"/>
                <w:lang w:eastAsia="zh-CN"/>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outlineLvl w:val="1"/>
              <w:rPr>
                <w:rFonts w:hint="eastAsia" w:ascii="宋体" w:hAnsi="宋体" w:eastAsia="宋体" w:cs="宋体"/>
                <w:color w:val="auto"/>
                <w:kern w:val="0"/>
                <w:sz w:val="22"/>
                <w:szCs w:val="22"/>
                <w:highlight w:val="none"/>
                <w:lang w:eastAsia="zh-CN"/>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c>
          <w:tcPr>
            <w:tcW w:w="1398" w:type="dxa"/>
            <w:tcBorders>
              <w:top w:val="nil"/>
              <w:left w:val="nil"/>
              <w:bottom w:val="single" w:color="auto" w:sz="4" w:space="0"/>
              <w:right w:val="single" w:color="auto" w:sz="4" w:space="0"/>
            </w:tcBorders>
            <w:vAlign w:val="center"/>
          </w:tcPr>
          <w:p>
            <w:pPr>
              <w:widowControl/>
              <w:spacing w:line="280" w:lineRule="exact"/>
              <w:outlineLvl w:val="1"/>
              <w:rPr>
                <w:rFonts w:hint="eastAsia" w:ascii="宋体" w:hAnsi="宋体" w:eastAsia="宋体" w:cs="宋体"/>
                <w:color w:val="auto"/>
                <w:kern w:val="0"/>
                <w:sz w:val="22"/>
                <w:szCs w:val="22"/>
                <w:highlight w:val="none"/>
                <w:lang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center"/>
              <w:outlineLvl w:val="1"/>
              <w:rPr>
                <w:rFonts w:ascii="仿宋_GB2312" w:hAnsi="宋体" w:eastAsia="仿宋_GB2312" w:cs="宋体"/>
                <w:color w:val="auto"/>
                <w:kern w:val="0"/>
                <w:sz w:val="24"/>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仿宋_GB2312" w:cs="宋体"/>
          <w:i w:val="0"/>
          <w:color w:val="auto"/>
          <w:kern w:val="0"/>
          <w:sz w:val="24"/>
          <w:szCs w:val="24"/>
          <w:highlight w:val="none"/>
          <w:u w:val="none"/>
          <w:lang w:val="en-US" w:eastAsia="zh-CN" w:bidi="ar"/>
        </w:rPr>
      </w:pPr>
      <w:r>
        <w:rPr>
          <w:rFonts w:hint="eastAsia" w:ascii="仿宋_GB2312" w:hAnsi="宋体" w:eastAsia="仿宋_GB2312"/>
          <w:b/>
          <w:color w:val="auto"/>
          <w:kern w:val="0"/>
          <w:sz w:val="24"/>
          <w:szCs w:val="24"/>
          <w:highlight w:val="none"/>
          <w:lang w:val="en-US" w:eastAsia="zh-CN"/>
        </w:rPr>
        <w:t>本部门2025年无政府性基金预算支出，政府性基金预算支出</w:t>
      </w:r>
      <w:r>
        <w:rPr>
          <w:rFonts w:hint="eastAsia" w:ascii="仿宋_GB2312" w:hAnsi="宋体" w:eastAsia="仿宋_GB2312"/>
          <w:b/>
          <w:color w:val="auto"/>
          <w:kern w:val="0"/>
          <w:sz w:val="24"/>
          <w:szCs w:val="24"/>
          <w:highlight w:val="none"/>
        </w:rPr>
        <w:t>情况表</w:t>
      </w:r>
      <w:r>
        <w:rPr>
          <w:rFonts w:hint="eastAsia" w:ascii="仿宋_GB2312" w:hAnsi="宋体" w:eastAsia="仿宋_GB2312"/>
          <w:b/>
          <w:color w:val="auto"/>
          <w:kern w:val="0"/>
          <w:sz w:val="24"/>
          <w:szCs w:val="24"/>
          <w:highlight w:val="none"/>
          <w:lang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宋体" w:hAnsi="宋体" w:eastAsia="宋体" w:cs="宋体"/>
          <w:color w:val="auto"/>
          <w:kern w:val="0"/>
          <w:sz w:val="22"/>
          <w:szCs w:val="22"/>
          <w:highlight w:val="none"/>
          <w:lang w:eastAsia="zh-CN"/>
        </w:rPr>
        <w:t>呼图壁县水利局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nil"/>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nil"/>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nil"/>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nil"/>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nil"/>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nil"/>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nil"/>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nil"/>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cs="宋体"/>
                <w:color w:val="auto"/>
                <w:kern w:val="0"/>
                <w:sz w:val="24"/>
                <w:highlight w:val="none"/>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cs="宋体"/>
                <w:color w:val="auto"/>
                <w:kern w:val="0"/>
                <w:sz w:val="24"/>
                <w:highlight w:val="none"/>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r>
    </w:tbl>
    <w:p>
      <w:pPr>
        <w:widowControl/>
        <w:spacing w:line="280" w:lineRule="exact"/>
        <w:outlineLvl w:val="1"/>
        <w:rPr>
          <w:rFonts w:hint="eastAsia" w:ascii="仿宋_GB2312" w:hAnsi="宋体" w:eastAsia="仿宋_GB2312"/>
          <w:color w:val="FF0000"/>
          <w:kern w:val="0"/>
          <w:sz w:val="24"/>
          <w:szCs w:val="24"/>
          <w:highlight w:val="none"/>
          <w:lang w:val="en-US" w:eastAsia="zh-CN"/>
        </w:rPr>
      </w:pPr>
      <w:r>
        <w:rPr>
          <w:rFonts w:hint="eastAsia" w:ascii="仿宋_GB2312" w:hAnsi="宋体" w:eastAsia="仿宋_GB2312"/>
          <w:b/>
          <w:color w:val="auto"/>
          <w:kern w:val="0"/>
          <w:sz w:val="24"/>
          <w:szCs w:val="24"/>
          <w:highlight w:val="none"/>
          <w:lang w:eastAsia="zh-CN"/>
        </w:rPr>
        <w:t>本部门</w:t>
      </w:r>
      <w:r>
        <w:rPr>
          <w:rFonts w:hint="eastAsia" w:ascii="仿宋_GB2312" w:hAnsi="宋体" w:eastAsia="仿宋_GB2312"/>
          <w:b/>
          <w:color w:val="auto"/>
          <w:kern w:val="0"/>
          <w:sz w:val="24"/>
          <w:szCs w:val="24"/>
          <w:highlight w:val="none"/>
          <w:lang w:val="en-US" w:eastAsia="zh-CN"/>
        </w:rPr>
        <w:t>2025年</w:t>
      </w:r>
      <w:r>
        <w:rPr>
          <w:rFonts w:hint="eastAsia" w:ascii="仿宋_GB2312" w:hAnsi="宋体" w:eastAsia="仿宋_GB2312"/>
          <w:b/>
          <w:color w:val="auto"/>
          <w:kern w:val="0"/>
          <w:sz w:val="24"/>
          <w:szCs w:val="24"/>
          <w:highlight w:val="none"/>
          <w:lang w:eastAsia="zh-CN"/>
        </w:rPr>
        <w:t>无</w:t>
      </w:r>
      <w:r>
        <w:rPr>
          <w:rFonts w:hint="eastAsia" w:ascii="仿宋_GB2312" w:hAnsi="宋体" w:eastAsia="仿宋_GB2312"/>
          <w:b/>
          <w:color w:val="auto"/>
          <w:kern w:val="0"/>
          <w:sz w:val="24"/>
          <w:szCs w:val="24"/>
          <w:highlight w:val="none"/>
          <w:lang w:val="en-US" w:eastAsia="zh-CN"/>
        </w:rPr>
        <w:t>国有资本经营预算支出，国有资本经营预算支出</w:t>
      </w:r>
      <w:r>
        <w:rPr>
          <w:rFonts w:hint="eastAsia" w:ascii="仿宋_GB2312" w:hAnsi="宋体" w:eastAsia="仿宋_GB2312"/>
          <w:b/>
          <w:color w:val="auto"/>
          <w:kern w:val="0"/>
          <w:sz w:val="24"/>
          <w:szCs w:val="24"/>
          <w:highlight w:val="none"/>
        </w:rPr>
        <w:t>情况表</w:t>
      </w:r>
      <w:r>
        <w:rPr>
          <w:rFonts w:hint="eastAsia" w:ascii="仿宋_GB2312" w:hAnsi="宋体" w:eastAsia="仿宋_GB2312"/>
          <w:b/>
          <w:color w:val="auto"/>
          <w:kern w:val="0"/>
          <w:sz w:val="24"/>
          <w:szCs w:val="24"/>
          <w:highlight w:val="none"/>
          <w:lang w:eastAsia="zh-CN"/>
        </w:rPr>
        <w:t>为空表</w:t>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呼图壁县水利局</w:t>
      </w:r>
      <w:r>
        <w:rPr>
          <w:rFonts w:hint="eastAsia" w:ascii="仿宋_GB2312" w:hAnsi="宋体" w:eastAsia="仿宋_GB2312"/>
          <w:color w:val="auto"/>
          <w:kern w:val="0"/>
          <w:sz w:val="24"/>
          <w:highlight w:val="none"/>
        </w:rPr>
        <w:t xml:space="preserve">                                        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lang w:eastAsia="zh-CN"/>
              </w:rPr>
              <w:t>“</w:t>
            </w:r>
            <w:r>
              <w:rPr>
                <w:rFonts w:hint="eastAsia" w:ascii="仿宋_GB2312" w:hAnsi="宋体" w:eastAsia="仿宋_GB2312"/>
                <w:b w:val="0"/>
                <w:bCs/>
                <w:color w:val="auto"/>
                <w:kern w:val="0"/>
                <w:sz w:val="28"/>
                <w:szCs w:val="32"/>
                <w:highlight w:val="none"/>
                <w:vertAlign w:val="baseline"/>
              </w:rPr>
              <w:t>三公</w:t>
            </w:r>
            <w:r>
              <w:rPr>
                <w:rFonts w:hint="eastAsia" w:ascii="仿宋_GB2312" w:hAnsi="宋体" w:eastAsia="仿宋_GB2312"/>
                <w:b w:val="0"/>
                <w:bCs/>
                <w:color w:val="auto"/>
                <w:kern w:val="0"/>
                <w:sz w:val="28"/>
                <w:szCs w:val="32"/>
                <w:highlight w:val="none"/>
                <w:vertAlign w:val="baseline"/>
                <w:lang w:eastAsia="zh-CN"/>
              </w:rPr>
              <w:t>”</w:t>
            </w:r>
            <w:r>
              <w:rPr>
                <w:rFonts w:hint="eastAsia" w:ascii="仿宋_GB2312" w:hAnsi="宋体" w:eastAsia="仿宋_GB2312"/>
                <w:b w:val="0"/>
                <w:bCs/>
                <w:color w:val="auto"/>
                <w:kern w:val="0"/>
                <w:sz w:val="28"/>
                <w:szCs w:val="32"/>
                <w:highlight w:val="none"/>
                <w:vertAlign w:val="baseline"/>
                <w:lang w:val="en-US" w:eastAsia="zh-CN"/>
              </w:rPr>
              <w:t>经费</w:t>
            </w:r>
            <w:r>
              <w:rPr>
                <w:rFonts w:hint="eastAsia" w:ascii="仿宋_GB2312" w:hAnsi="宋体" w:eastAsia="仿宋_GB2312"/>
                <w:b w:val="0"/>
                <w:bCs/>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Hans"/>
              </w:rPr>
            </w:pPr>
            <w:r>
              <w:rPr>
                <w:rFonts w:hint="eastAsia" w:ascii="仿宋_GB2312" w:hAnsi="宋体" w:eastAsia="仿宋_GB2312"/>
                <w:b w:val="0"/>
                <w:bCs/>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Hans"/>
              </w:rPr>
            </w:pPr>
            <w:r>
              <w:rPr>
                <w:rFonts w:hint="eastAsia" w:ascii="仿宋_GB2312" w:hAnsi="宋体" w:eastAsia="仿宋_GB2312"/>
                <w:b w:val="0"/>
                <w:bCs/>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lang w:val="en-US" w:eastAsia="zh-Hans"/>
              </w:rPr>
            </w:pPr>
            <w:r>
              <w:rPr>
                <w:rFonts w:hint="eastAsia" w:ascii="仿宋_GB2312" w:hAnsi="宋体" w:eastAsia="仿宋_GB2312"/>
                <w:b w:val="0"/>
                <w:bCs/>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合计</w:t>
            </w:r>
          </w:p>
        </w:tc>
        <w:tc>
          <w:tcPr>
            <w:tcW w:w="1215" w:type="dxa"/>
            <w:vAlign w:val="top"/>
          </w:tcPr>
          <w:p>
            <w:pPr>
              <w:widowControl/>
              <w:outlineLvl w:val="1"/>
              <w:rPr>
                <w:rFonts w:hint="eastAsia" w:ascii="宋体" w:hAnsi="宋体" w:eastAsia="宋体" w:cs="宋体"/>
                <w:b w:val="0"/>
                <w:bCs/>
                <w:color w:val="auto"/>
                <w:kern w:val="0"/>
                <w:sz w:val="22"/>
                <w:szCs w:val="24"/>
                <w:highlight w:val="none"/>
                <w:vertAlign w:val="baseline"/>
                <w:lang w:val="en-US" w:eastAsia="zh-CN"/>
              </w:rPr>
            </w:pPr>
            <w:r>
              <w:rPr>
                <w:rFonts w:hint="eastAsia" w:ascii="宋体" w:hAnsi="宋体" w:eastAsia="宋体" w:cs="宋体"/>
                <w:b w:val="0"/>
                <w:bCs/>
                <w:color w:val="auto"/>
                <w:kern w:val="0"/>
                <w:sz w:val="22"/>
                <w:szCs w:val="24"/>
                <w:highlight w:val="none"/>
                <w:vertAlign w:val="baseline"/>
                <w:lang w:val="en-US" w:eastAsia="zh-CN"/>
              </w:rPr>
              <w:t>2.7</w:t>
            </w:r>
            <w:r>
              <w:rPr>
                <w:rFonts w:hint="eastAsia" w:ascii="宋体" w:hAnsi="宋体" w:cs="宋体"/>
                <w:b w:val="0"/>
                <w:bCs/>
                <w:color w:val="auto"/>
                <w:kern w:val="0"/>
                <w:sz w:val="22"/>
                <w:szCs w:val="24"/>
                <w:highlight w:val="none"/>
                <w:vertAlign w:val="baseline"/>
                <w:lang w:val="en-US" w:eastAsia="zh-CN"/>
              </w:rPr>
              <w:t>9</w:t>
            </w:r>
          </w:p>
        </w:tc>
        <w:tc>
          <w:tcPr>
            <w:tcW w:w="1314" w:type="dxa"/>
            <w:vAlign w:val="top"/>
          </w:tcPr>
          <w:p>
            <w:pPr>
              <w:widowControl/>
              <w:outlineLvl w:val="1"/>
              <w:rPr>
                <w:rFonts w:hint="eastAsia" w:ascii="宋体" w:hAnsi="宋体" w:eastAsia="宋体" w:cs="宋体"/>
                <w:b w:val="0"/>
                <w:bCs/>
                <w:color w:val="auto"/>
                <w:kern w:val="0"/>
                <w:sz w:val="22"/>
                <w:szCs w:val="24"/>
                <w:highlight w:val="none"/>
                <w:vertAlign w:val="baseline"/>
                <w:lang w:val="en-US" w:eastAsia="zh-CN"/>
              </w:rPr>
            </w:pPr>
            <w:r>
              <w:rPr>
                <w:rFonts w:hint="eastAsia" w:ascii="宋体" w:hAnsi="宋体" w:eastAsia="宋体" w:cs="宋体"/>
                <w:b w:val="0"/>
                <w:bCs/>
                <w:color w:val="auto"/>
                <w:kern w:val="0"/>
                <w:sz w:val="22"/>
                <w:szCs w:val="24"/>
                <w:highlight w:val="none"/>
                <w:vertAlign w:val="baseline"/>
                <w:lang w:val="en-US" w:eastAsia="zh-CN"/>
              </w:rPr>
              <w:t>2.7</w:t>
            </w:r>
            <w:r>
              <w:rPr>
                <w:rFonts w:hint="eastAsia" w:ascii="宋体" w:hAnsi="宋体" w:cs="宋体"/>
                <w:b w:val="0"/>
                <w:bCs/>
                <w:color w:val="auto"/>
                <w:kern w:val="0"/>
                <w:sz w:val="22"/>
                <w:szCs w:val="24"/>
                <w:highlight w:val="none"/>
                <w:vertAlign w:val="baseline"/>
                <w:lang w:val="en-US" w:eastAsia="zh-CN"/>
              </w:rPr>
              <w:t>9</w:t>
            </w: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因公出国（境）费</w:t>
            </w:r>
          </w:p>
        </w:tc>
        <w:tc>
          <w:tcPr>
            <w:tcW w:w="1215" w:type="dxa"/>
            <w:vAlign w:val="top"/>
          </w:tcPr>
          <w:p>
            <w:pPr>
              <w:widowControl/>
              <w:outlineLvl w:val="1"/>
              <w:rPr>
                <w:rFonts w:hint="eastAsia" w:ascii="宋体" w:hAnsi="宋体" w:eastAsia="宋体" w:cs="宋体"/>
                <w:b w:val="0"/>
                <w:bCs/>
                <w:color w:val="auto"/>
                <w:kern w:val="0"/>
                <w:sz w:val="22"/>
                <w:szCs w:val="24"/>
                <w:highlight w:val="none"/>
                <w:vertAlign w:val="baseline"/>
              </w:rPr>
            </w:pPr>
          </w:p>
        </w:tc>
        <w:tc>
          <w:tcPr>
            <w:tcW w:w="1314" w:type="dxa"/>
            <w:vAlign w:val="top"/>
          </w:tcPr>
          <w:p>
            <w:pPr>
              <w:widowControl/>
              <w:outlineLvl w:val="1"/>
              <w:rPr>
                <w:rFonts w:hint="eastAsia" w:ascii="宋体" w:hAnsi="宋体" w:eastAsia="宋体" w:cs="宋体"/>
                <w:b w:val="0"/>
                <w:bCs/>
                <w:color w:val="auto"/>
                <w:kern w:val="0"/>
                <w:sz w:val="22"/>
                <w:szCs w:val="24"/>
                <w:highlight w:val="none"/>
                <w:vertAlign w:val="baseline"/>
              </w:rPr>
            </w:pP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公务接待费</w:t>
            </w:r>
          </w:p>
        </w:tc>
        <w:tc>
          <w:tcPr>
            <w:tcW w:w="1215" w:type="dxa"/>
            <w:vAlign w:val="top"/>
          </w:tcPr>
          <w:p>
            <w:pPr>
              <w:widowControl/>
              <w:outlineLvl w:val="1"/>
              <w:rPr>
                <w:rFonts w:hint="eastAsia" w:ascii="宋体" w:hAnsi="宋体" w:eastAsia="宋体" w:cs="宋体"/>
                <w:b w:val="0"/>
                <w:bCs/>
                <w:color w:val="auto"/>
                <w:kern w:val="0"/>
                <w:sz w:val="22"/>
                <w:szCs w:val="24"/>
                <w:highlight w:val="none"/>
                <w:vertAlign w:val="baseline"/>
              </w:rPr>
            </w:pPr>
          </w:p>
        </w:tc>
        <w:tc>
          <w:tcPr>
            <w:tcW w:w="1314" w:type="dxa"/>
            <w:vAlign w:val="top"/>
          </w:tcPr>
          <w:p>
            <w:pPr>
              <w:widowControl/>
              <w:outlineLvl w:val="1"/>
              <w:rPr>
                <w:rFonts w:hint="eastAsia" w:ascii="宋体" w:hAnsi="宋体" w:eastAsia="宋体" w:cs="宋体"/>
                <w:b w:val="0"/>
                <w:bCs/>
                <w:color w:val="auto"/>
                <w:kern w:val="0"/>
                <w:sz w:val="22"/>
                <w:szCs w:val="24"/>
                <w:highlight w:val="none"/>
                <w:vertAlign w:val="baseline"/>
              </w:rPr>
            </w:pP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3818" w:type="dxa"/>
            <w:vAlign w:val="center"/>
          </w:tcPr>
          <w:p>
            <w:pPr>
              <w:widowControl/>
              <w:jc w:val="center"/>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公务用车购置及运行费</w:t>
            </w:r>
          </w:p>
          <w:p>
            <w:pPr>
              <w:widowControl/>
              <w:jc w:val="center"/>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（小计）</w:t>
            </w:r>
          </w:p>
        </w:tc>
        <w:tc>
          <w:tcPr>
            <w:tcW w:w="1215" w:type="dxa"/>
            <w:vAlign w:val="top"/>
          </w:tcPr>
          <w:p>
            <w:pPr>
              <w:widowControl/>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2.7</w:t>
            </w:r>
            <w:r>
              <w:rPr>
                <w:rFonts w:hint="eastAsia" w:ascii="宋体" w:hAnsi="宋体" w:cs="宋体"/>
                <w:b w:val="0"/>
                <w:bCs/>
                <w:color w:val="auto"/>
                <w:kern w:val="0"/>
                <w:sz w:val="22"/>
                <w:szCs w:val="24"/>
                <w:highlight w:val="none"/>
                <w:vertAlign w:val="baseline"/>
                <w:lang w:val="en-US" w:eastAsia="zh-CN"/>
              </w:rPr>
              <w:t>9</w:t>
            </w:r>
          </w:p>
        </w:tc>
        <w:tc>
          <w:tcPr>
            <w:tcW w:w="1314" w:type="dxa"/>
            <w:vAlign w:val="top"/>
          </w:tcPr>
          <w:p>
            <w:pPr>
              <w:widowControl/>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2.7</w:t>
            </w:r>
            <w:r>
              <w:rPr>
                <w:rFonts w:hint="eastAsia" w:ascii="宋体" w:hAnsi="宋体" w:cs="宋体"/>
                <w:b w:val="0"/>
                <w:bCs/>
                <w:color w:val="auto"/>
                <w:kern w:val="0"/>
                <w:sz w:val="22"/>
                <w:szCs w:val="24"/>
                <w:highlight w:val="none"/>
                <w:vertAlign w:val="baseline"/>
                <w:lang w:val="en-US" w:eastAsia="zh-CN"/>
              </w:rPr>
              <w:t>9</w:t>
            </w: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20" w:firstLineChars="100"/>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其中：公务用车购置费</w:t>
            </w:r>
          </w:p>
        </w:tc>
        <w:tc>
          <w:tcPr>
            <w:tcW w:w="1215" w:type="dxa"/>
            <w:vAlign w:val="top"/>
          </w:tcPr>
          <w:p>
            <w:pPr>
              <w:widowControl/>
              <w:outlineLvl w:val="1"/>
              <w:rPr>
                <w:rFonts w:hint="eastAsia" w:ascii="宋体" w:hAnsi="宋体" w:eastAsia="宋体" w:cs="宋体"/>
                <w:b w:val="0"/>
                <w:bCs/>
                <w:color w:val="auto"/>
                <w:kern w:val="0"/>
                <w:sz w:val="22"/>
                <w:szCs w:val="24"/>
                <w:highlight w:val="none"/>
                <w:vertAlign w:val="baseline"/>
              </w:rPr>
            </w:pPr>
          </w:p>
        </w:tc>
        <w:tc>
          <w:tcPr>
            <w:tcW w:w="1314" w:type="dxa"/>
            <w:vAlign w:val="top"/>
          </w:tcPr>
          <w:p>
            <w:pPr>
              <w:widowControl/>
              <w:outlineLvl w:val="1"/>
              <w:rPr>
                <w:rFonts w:hint="eastAsia" w:ascii="宋体" w:hAnsi="宋体" w:eastAsia="宋体" w:cs="宋体"/>
                <w:b w:val="0"/>
                <w:bCs/>
                <w:color w:val="auto"/>
                <w:kern w:val="0"/>
                <w:sz w:val="22"/>
                <w:szCs w:val="24"/>
                <w:highlight w:val="none"/>
                <w:vertAlign w:val="baseline"/>
              </w:rPr>
            </w:pP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 xml:space="preserve">        公务用车运行费</w:t>
            </w:r>
          </w:p>
        </w:tc>
        <w:tc>
          <w:tcPr>
            <w:tcW w:w="1215" w:type="dxa"/>
            <w:vAlign w:val="top"/>
          </w:tcPr>
          <w:p>
            <w:pPr>
              <w:widowControl/>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2.7</w:t>
            </w:r>
            <w:r>
              <w:rPr>
                <w:rFonts w:hint="eastAsia" w:ascii="宋体" w:hAnsi="宋体" w:cs="宋体"/>
                <w:b w:val="0"/>
                <w:bCs/>
                <w:color w:val="auto"/>
                <w:kern w:val="0"/>
                <w:sz w:val="22"/>
                <w:szCs w:val="24"/>
                <w:highlight w:val="none"/>
                <w:vertAlign w:val="baseline"/>
                <w:lang w:val="en-US" w:eastAsia="zh-CN"/>
              </w:rPr>
              <w:t>9</w:t>
            </w:r>
          </w:p>
        </w:tc>
        <w:tc>
          <w:tcPr>
            <w:tcW w:w="1314" w:type="dxa"/>
            <w:vAlign w:val="top"/>
          </w:tcPr>
          <w:p>
            <w:pPr>
              <w:widowControl/>
              <w:outlineLvl w:val="1"/>
              <w:rPr>
                <w:rFonts w:hint="eastAsia" w:ascii="宋体" w:hAnsi="宋体" w:eastAsia="宋体" w:cs="宋体"/>
                <w:b w:val="0"/>
                <w:bCs/>
                <w:color w:val="auto"/>
                <w:kern w:val="0"/>
                <w:sz w:val="22"/>
                <w:szCs w:val="24"/>
                <w:highlight w:val="none"/>
                <w:vertAlign w:val="baseline"/>
              </w:rPr>
            </w:pPr>
            <w:r>
              <w:rPr>
                <w:rFonts w:hint="eastAsia" w:ascii="宋体" w:hAnsi="宋体" w:eastAsia="宋体" w:cs="宋体"/>
                <w:b w:val="0"/>
                <w:bCs/>
                <w:color w:val="auto"/>
                <w:kern w:val="0"/>
                <w:sz w:val="22"/>
                <w:szCs w:val="24"/>
                <w:highlight w:val="none"/>
                <w:vertAlign w:val="baseline"/>
              </w:rPr>
              <w:t>2.7</w:t>
            </w:r>
            <w:r>
              <w:rPr>
                <w:rFonts w:hint="eastAsia" w:ascii="宋体" w:hAnsi="宋体" w:cs="宋体"/>
                <w:b w:val="0"/>
                <w:bCs/>
                <w:color w:val="auto"/>
                <w:kern w:val="0"/>
                <w:sz w:val="22"/>
                <w:szCs w:val="24"/>
                <w:highlight w:val="none"/>
                <w:vertAlign w:val="baseline"/>
                <w:lang w:val="en-US" w:eastAsia="zh-CN"/>
              </w:rPr>
              <w:t>9</w:t>
            </w: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p/>
        </w:tc>
        <w:tc>
          <w:tcPr>
            <w:tcW w:w="1621"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p>
    <w:p>
      <w:pPr>
        <w:spacing w:line="600" w:lineRule="exact"/>
        <w:jc w:val="both"/>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呼图壁县水利局</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892"/>
        <w:gridCol w:w="624"/>
        <w:gridCol w:w="767"/>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798"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92"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316"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798"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92"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62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481"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798"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2"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62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67"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98" w:type="dxa"/>
            <w:vAlign w:val="center"/>
          </w:tcPr>
          <w:p>
            <w:pPr>
              <w:spacing w:line="240" w:lineRule="auto"/>
              <w:jc w:val="center"/>
              <w:rPr>
                <w:rFonts w:hint="default" w:ascii="宋体" w:hAnsi="宋体" w:eastAsia="宋体" w:cs="宋体"/>
                <w:bCs/>
                <w:color w:val="auto"/>
                <w:kern w:val="0"/>
                <w:sz w:val="22"/>
                <w:szCs w:val="22"/>
                <w:highlight w:val="none"/>
                <w:lang w:val="en-US" w:eastAsia="zh-CN"/>
              </w:rPr>
            </w:pPr>
            <w:r>
              <w:rPr>
                <w:rFonts w:hint="eastAsia" w:ascii="宋体" w:hAnsi="宋体" w:eastAsia="宋体" w:cs="宋体"/>
                <w:bCs/>
                <w:color w:val="auto"/>
                <w:kern w:val="0"/>
                <w:sz w:val="22"/>
                <w:szCs w:val="22"/>
                <w:highlight w:val="none"/>
                <w:lang w:val="en-US" w:eastAsia="zh-CN"/>
              </w:rPr>
              <w:t>2024年中央水利发展资金-山洪灾害防治</w:t>
            </w:r>
          </w:p>
        </w:tc>
        <w:tc>
          <w:tcPr>
            <w:tcW w:w="892" w:type="dxa"/>
            <w:vAlign w:val="center"/>
          </w:tcPr>
          <w:p>
            <w:pPr>
              <w:spacing w:line="600" w:lineRule="exact"/>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0.0023</w:t>
            </w:r>
          </w:p>
        </w:tc>
        <w:tc>
          <w:tcPr>
            <w:tcW w:w="624" w:type="dxa"/>
            <w:vAlign w:val="center"/>
          </w:tcPr>
          <w:p>
            <w:pPr>
              <w:spacing w:line="600" w:lineRule="exact"/>
              <w:jc w:val="both"/>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0.0023</w:t>
            </w:r>
          </w:p>
        </w:tc>
        <w:tc>
          <w:tcPr>
            <w:tcW w:w="76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宋体" w:hAnsi="宋体" w:eastAsia="宋体" w:cs="宋体"/>
                <w:bCs/>
                <w:color w:val="auto"/>
                <w:kern w:val="0"/>
                <w:sz w:val="22"/>
                <w:szCs w:val="22"/>
                <w:highlight w:val="none"/>
                <w:lang w:val="en-US" w:eastAsia="zh-CN"/>
              </w:rPr>
              <w:t>0.0023</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98" w:type="dxa"/>
            <w:vAlign w:val="center"/>
          </w:tcPr>
          <w:p>
            <w:pPr>
              <w:spacing w:line="240" w:lineRule="auto"/>
              <w:jc w:val="center"/>
              <w:rPr>
                <w:rFonts w:hint="default" w:ascii="宋体" w:hAnsi="宋体" w:eastAsia="宋体" w:cs="宋体"/>
                <w:bCs/>
                <w:color w:val="auto"/>
                <w:kern w:val="0"/>
                <w:sz w:val="22"/>
                <w:szCs w:val="22"/>
                <w:highlight w:val="none"/>
                <w:lang w:val="en-US" w:eastAsia="zh-CN"/>
              </w:rPr>
            </w:pPr>
            <w:r>
              <w:rPr>
                <w:rFonts w:hint="eastAsia" w:ascii="宋体" w:hAnsi="宋体" w:eastAsia="宋体" w:cs="宋体"/>
                <w:bCs/>
                <w:color w:val="auto"/>
                <w:kern w:val="0"/>
                <w:sz w:val="22"/>
                <w:szCs w:val="22"/>
                <w:highlight w:val="none"/>
                <w:lang w:val="en-US" w:eastAsia="zh-CN"/>
              </w:rPr>
              <w:t>2024年访惠聚为民办实事-村级支出</w:t>
            </w:r>
          </w:p>
        </w:tc>
        <w:tc>
          <w:tcPr>
            <w:tcW w:w="892" w:type="dxa"/>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15</w:t>
            </w:r>
          </w:p>
        </w:tc>
        <w:tc>
          <w:tcPr>
            <w:tcW w:w="624" w:type="dxa"/>
            <w:vAlign w:val="center"/>
          </w:tcPr>
          <w:p>
            <w:pPr>
              <w:spacing w:line="600" w:lineRule="exact"/>
              <w:jc w:val="center"/>
              <w:rPr>
                <w:rFonts w:hint="eastAsia"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15</w:t>
            </w:r>
          </w:p>
        </w:tc>
        <w:tc>
          <w:tcPr>
            <w:tcW w:w="76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hint="default" w:ascii="宋体" w:hAnsi="宋体" w:eastAsia="宋体" w:cs="宋体"/>
                <w:bCs/>
                <w:color w:val="auto"/>
                <w:kern w:val="0"/>
                <w:sz w:val="22"/>
                <w:szCs w:val="22"/>
                <w:highlight w:val="none"/>
                <w:lang w:val="en-US" w:eastAsia="zh-CN"/>
              </w:rPr>
            </w:pPr>
            <w:r>
              <w:rPr>
                <w:rFonts w:hint="eastAsia" w:ascii="宋体" w:hAnsi="宋体" w:eastAsia="宋体" w:cs="宋体"/>
                <w:bCs/>
                <w:color w:val="auto"/>
                <w:kern w:val="0"/>
                <w:sz w:val="22"/>
                <w:szCs w:val="22"/>
                <w:highlight w:val="none"/>
                <w:lang w:val="en-US" w:eastAsia="zh-CN"/>
              </w:rPr>
              <w:t>15</w:t>
            </w:r>
            <w:r>
              <w:rPr>
                <w:rFonts w:hint="eastAsia" w:ascii="宋体" w:hAnsi="宋体" w:cs="宋体"/>
                <w:bCs/>
                <w:color w:val="auto"/>
                <w:kern w:val="0"/>
                <w:sz w:val="22"/>
                <w:szCs w:val="22"/>
                <w:highlight w:val="none"/>
                <w:lang w:val="en-US" w:eastAsia="zh-CN"/>
              </w:rPr>
              <w:t>.00</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98" w:type="dxa"/>
            <w:vAlign w:val="center"/>
          </w:tcPr>
          <w:p>
            <w:pPr>
              <w:spacing w:line="240" w:lineRule="auto"/>
              <w:jc w:val="center"/>
              <w:rPr>
                <w:rFonts w:hint="default" w:ascii="宋体" w:hAnsi="宋体" w:eastAsia="宋体" w:cs="宋体"/>
                <w:bCs/>
                <w:color w:val="auto"/>
                <w:kern w:val="0"/>
                <w:sz w:val="22"/>
                <w:szCs w:val="22"/>
                <w:highlight w:val="none"/>
                <w:lang w:val="en-US" w:eastAsia="zh-CN"/>
              </w:rPr>
            </w:pPr>
            <w:r>
              <w:rPr>
                <w:rFonts w:hint="eastAsia" w:ascii="宋体" w:hAnsi="宋体" w:eastAsia="宋体" w:cs="宋体"/>
                <w:bCs/>
                <w:color w:val="auto"/>
                <w:kern w:val="0"/>
                <w:sz w:val="22"/>
                <w:szCs w:val="22"/>
                <w:highlight w:val="none"/>
                <w:lang w:val="en-US" w:eastAsia="zh-CN"/>
              </w:rPr>
              <w:t>2024年中央水利发展资金-山洪灾害防治维修养护</w:t>
            </w:r>
          </w:p>
        </w:tc>
        <w:tc>
          <w:tcPr>
            <w:tcW w:w="892" w:type="dxa"/>
            <w:vAlign w:val="center"/>
          </w:tcPr>
          <w:p>
            <w:pPr>
              <w:spacing w:line="600" w:lineRule="exact"/>
              <w:jc w:val="center"/>
              <w:rPr>
                <w:rFonts w:ascii="仿宋" w:hAnsi="仿宋" w:eastAsia="仿宋" w:cs="仿宋_GB2312"/>
                <w:bCs/>
                <w:color w:val="auto"/>
                <w:kern w:val="0"/>
                <w:sz w:val="20"/>
                <w:szCs w:val="20"/>
                <w:highlight w:val="none"/>
              </w:rPr>
            </w:pPr>
            <w:r>
              <w:rPr>
                <w:rFonts w:hint="eastAsia" w:ascii="宋体" w:hAnsi="宋体" w:eastAsia="宋体" w:cs="宋体"/>
                <w:bCs/>
                <w:color w:val="auto"/>
                <w:kern w:val="0"/>
                <w:sz w:val="22"/>
                <w:szCs w:val="22"/>
                <w:highlight w:val="none"/>
                <w:lang w:val="en-US" w:eastAsia="zh-CN"/>
              </w:rPr>
              <w:t>0.0071</w:t>
            </w:r>
          </w:p>
        </w:tc>
        <w:tc>
          <w:tcPr>
            <w:tcW w:w="624" w:type="dxa"/>
            <w:vAlign w:val="center"/>
          </w:tcPr>
          <w:p>
            <w:pPr>
              <w:spacing w:line="600" w:lineRule="exact"/>
              <w:jc w:val="center"/>
              <w:rPr>
                <w:rFonts w:ascii="仿宋" w:hAnsi="仿宋" w:eastAsia="仿宋" w:cs="仿宋_GB2312"/>
                <w:bCs/>
                <w:color w:val="auto"/>
                <w:kern w:val="0"/>
                <w:sz w:val="20"/>
                <w:szCs w:val="20"/>
                <w:highlight w:val="none"/>
              </w:rPr>
            </w:pPr>
            <w:r>
              <w:rPr>
                <w:rFonts w:hint="eastAsia" w:ascii="宋体" w:hAnsi="宋体" w:eastAsia="宋体" w:cs="宋体"/>
                <w:bCs/>
                <w:color w:val="auto"/>
                <w:kern w:val="0"/>
                <w:sz w:val="22"/>
                <w:szCs w:val="22"/>
                <w:highlight w:val="none"/>
                <w:lang w:val="en-US" w:eastAsia="zh-CN"/>
              </w:rPr>
              <w:t>0.0071</w:t>
            </w:r>
          </w:p>
        </w:tc>
        <w:tc>
          <w:tcPr>
            <w:tcW w:w="76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hint="default" w:ascii="宋体" w:hAnsi="宋体" w:eastAsia="宋体" w:cs="宋体"/>
                <w:bCs/>
                <w:color w:val="auto"/>
                <w:kern w:val="0"/>
                <w:sz w:val="22"/>
                <w:szCs w:val="22"/>
                <w:highlight w:val="none"/>
                <w:lang w:val="en-US" w:eastAsia="zh-CN"/>
              </w:rPr>
            </w:pPr>
            <w:r>
              <w:rPr>
                <w:rFonts w:hint="eastAsia" w:ascii="宋体" w:hAnsi="宋体" w:eastAsia="宋体" w:cs="宋体"/>
                <w:bCs/>
                <w:color w:val="auto"/>
                <w:kern w:val="0"/>
                <w:sz w:val="22"/>
                <w:szCs w:val="22"/>
                <w:highlight w:val="none"/>
                <w:lang w:val="en-US" w:eastAsia="zh-CN"/>
              </w:rPr>
              <w:t>0.0071</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98" w:type="dxa"/>
            <w:vAlign w:val="center"/>
          </w:tcPr>
          <w:p>
            <w:pPr>
              <w:spacing w:line="240" w:lineRule="auto"/>
              <w:jc w:val="center"/>
              <w:rPr>
                <w:rFonts w:hint="default" w:ascii="宋体" w:hAnsi="宋体" w:eastAsia="宋体" w:cs="宋体"/>
                <w:bCs/>
                <w:color w:val="auto"/>
                <w:kern w:val="0"/>
                <w:sz w:val="22"/>
                <w:szCs w:val="22"/>
                <w:highlight w:val="none"/>
                <w:lang w:val="en-US" w:eastAsia="zh-CN"/>
              </w:rPr>
            </w:pPr>
            <w:r>
              <w:rPr>
                <w:rFonts w:hint="eastAsia" w:ascii="宋体" w:hAnsi="宋体" w:eastAsia="宋体" w:cs="宋体"/>
                <w:bCs/>
                <w:color w:val="auto"/>
                <w:kern w:val="0"/>
                <w:sz w:val="22"/>
                <w:szCs w:val="22"/>
                <w:highlight w:val="none"/>
                <w:lang w:val="en-US" w:eastAsia="zh-CN"/>
              </w:rPr>
              <w:t>2024年自治区第四批地方政府债券转贷资金-呼图壁县大丰镇供水保障工程（二期）</w:t>
            </w:r>
          </w:p>
        </w:tc>
        <w:tc>
          <w:tcPr>
            <w:tcW w:w="892" w:type="dxa"/>
            <w:vAlign w:val="center"/>
          </w:tcPr>
          <w:p>
            <w:pPr>
              <w:spacing w:line="600" w:lineRule="exact"/>
              <w:jc w:val="center"/>
              <w:rPr>
                <w:rFonts w:ascii="仿宋" w:hAnsi="仿宋" w:eastAsia="仿宋" w:cs="仿宋_GB2312"/>
                <w:bCs/>
                <w:color w:val="auto"/>
                <w:kern w:val="0"/>
                <w:sz w:val="20"/>
                <w:szCs w:val="20"/>
                <w:highlight w:val="none"/>
              </w:rPr>
            </w:pPr>
            <w:r>
              <w:rPr>
                <w:rFonts w:hint="eastAsia" w:asciiTheme="minorEastAsia" w:hAnsiTheme="minorEastAsia" w:eastAsiaTheme="minorEastAsia" w:cstheme="minorEastAsia"/>
                <w:bCs/>
                <w:color w:val="auto"/>
                <w:kern w:val="0"/>
                <w:sz w:val="22"/>
                <w:szCs w:val="22"/>
                <w:highlight w:val="none"/>
                <w:lang w:val="en-US" w:eastAsia="zh-CN"/>
              </w:rPr>
              <w:t>775.22</w:t>
            </w:r>
          </w:p>
        </w:tc>
        <w:tc>
          <w:tcPr>
            <w:tcW w:w="624" w:type="dxa"/>
            <w:vAlign w:val="center"/>
          </w:tcPr>
          <w:p>
            <w:pPr>
              <w:spacing w:line="600" w:lineRule="exact"/>
              <w:jc w:val="center"/>
              <w:rPr>
                <w:rFonts w:ascii="仿宋" w:hAnsi="仿宋" w:eastAsia="仿宋" w:cs="仿宋_GB2312"/>
                <w:bCs/>
                <w:color w:val="auto"/>
                <w:kern w:val="0"/>
                <w:sz w:val="20"/>
                <w:szCs w:val="20"/>
                <w:highlight w:val="none"/>
              </w:rPr>
            </w:pPr>
            <w:r>
              <w:rPr>
                <w:rFonts w:hint="eastAsia" w:asciiTheme="minorEastAsia" w:hAnsiTheme="minorEastAsia" w:eastAsiaTheme="minorEastAsia" w:cstheme="minorEastAsia"/>
                <w:bCs/>
                <w:color w:val="auto"/>
                <w:kern w:val="0"/>
                <w:sz w:val="22"/>
                <w:szCs w:val="22"/>
                <w:highlight w:val="none"/>
                <w:lang w:val="en-US" w:eastAsia="zh-CN"/>
              </w:rPr>
              <w:t>775.22</w:t>
            </w:r>
          </w:p>
        </w:tc>
        <w:tc>
          <w:tcPr>
            <w:tcW w:w="76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Theme="minorEastAsia" w:hAnsiTheme="minorEastAsia" w:eastAsiaTheme="minorEastAsia" w:cstheme="minorEastAsia"/>
                <w:b/>
                <w:bCs/>
                <w:color w:val="auto"/>
                <w:kern w:val="0"/>
                <w:sz w:val="22"/>
                <w:szCs w:val="22"/>
                <w:highlight w:val="none"/>
                <w:lang w:val="en-US" w:eastAsia="zh-CN"/>
              </w:rPr>
            </w:pPr>
          </w:p>
        </w:tc>
        <w:tc>
          <w:tcPr>
            <w:tcW w:w="1211" w:type="dxa"/>
            <w:vAlign w:val="center"/>
          </w:tcPr>
          <w:p>
            <w:pPr>
              <w:spacing w:line="600" w:lineRule="exact"/>
              <w:jc w:val="center"/>
              <w:rPr>
                <w:rFonts w:hint="eastAsia" w:asciiTheme="minorEastAsia" w:hAnsiTheme="minorEastAsia" w:eastAsiaTheme="minorEastAsia" w:cstheme="minorEastAsia"/>
                <w:bCs/>
                <w:color w:val="auto"/>
                <w:kern w:val="0"/>
                <w:sz w:val="22"/>
                <w:szCs w:val="22"/>
                <w:highlight w:val="none"/>
                <w:lang w:val="en-US" w:eastAsia="zh-CN"/>
              </w:rPr>
            </w:pPr>
            <w:r>
              <w:rPr>
                <w:rFonts w:hint="eastAsia" w:asciiTheme="minorEastAsia" w:hAnsiTheme="minorEastAsia" w:eastAsiaTheme="minorEastAsia" w:cstheme="minorEastAsia"/>
                <w:bCs/>
                <w:color w:val="auto"/>
                <w:kern w:val="0"/>
                <w:sz w:val="22"/>
                <w:szCs w:val="22"/>
                <w:highlight w:val="none"/>
                <w:lang w:val="en-US" w:eastAsia="zh-CN"/>
              </w:rPr>
              <w:t>775.22</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98" w:type="dxa"/>
            <w:vAlign w:val="center"/>
          </w:tcPr>
          <w:p>
            <w:pPr>
              <w:spacing w:line="600" w:lineRule="exact"/>
              <w:jc w:val="center"/>
              <w:rPr>
                <w:rFonts w:ascii="仿宋" w:hAnsi="仿宋" w:eastAsia="仿宋" w:cs="仿宋_GB2312"/>
                <w:bCs/>
                <w:color w:val="auto"/>
                <w:kern w:val="0"/>
                <w:sz w:val="28"/>
                <w:szCs w:val="28"/>
                <w:highlight w:val="none"/>
              </w:rPr>
            </w:pPr>
          </w:p>
        </w:tc>
        <w:tc>
          <w:tcPr>
            <w:tcW w:w="892"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624" w:type="dxa"/>
            <w:vAlign w:val="center"/>
          </w:tcPr>
          <w:p>
            <w:pPr>
              <w:spacing w:line="600" w:lineRule="exact"/>
              <w:jc w:val="both"/>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2"/>
                <w:szCs w:val="22"/>
                <w:highlight w:val="none"/>
                <w:lang w:val="en-US" w:eastAsia="zh-CN"/>
              </w:rPr>
              <w:t>790.23</w:t>
            </w:r>
          </w:p>
        </w:tc>
        <w:tc>
          <w:tcPr>
            <w:tcW w:w="76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hint="default" w:ascii="仿宋" w:hAnsi="仿宋" w:eastAsia="仿宋" w:cs="仿宋_GB2312"/>
                <w:bCs/>
                <w:color w:val="auto"/>
                <w:kern w:val="0"/>
                <w:sz w:val="28"/>
                <w:szCs w:val="28"/>
                <w:highlight w:val="none"/>
                <w:lang w:val="en-US" w:eastAsia="zh-CN" w:bidi="ar-SA"/>
              </w:rPr>
            </w:pPr>
            <w:r>
              <w:rPr>
                <w:rFonts w:hint="eastAsia" w:ascii="宋体" w:hAnsi="宋体" w:eastAsia="宋体" w:cs="宋体"/>
                <w:bCs/>
                <w:color w:val="auto"/>
                <w:kern w:val="0"/>
                <w:sz w:val="22"/>
                <w:szCs w:val="22"/>
                <w:highlight w:val="none"/>
                <w:lang w:val="en-US" w:eastAsia="zh-CN"/>
              </w:rPr>
              <w:t>790.23</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呼图壁县水利局部门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呼图壁县水利局</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呼图壁县水利局部门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2480.33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kern w:val="0"/>
          <w:sz w:val="32"/>
          <w:szCs w:val="32"/>
          <w:highlight w:val="none"/>
        </w:rPr>
        <w:t>等</w:t>
      </w:r>
      <w:r>
        <w:rPr>
          <w:rFonts w:hint="eastAsia" w:ascii="仿宋_GB2312" w:hAnsi="宋体" w:eastAsia="仿宋_GB2312" w:cs="宋体"/>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支出预算包括：社会保障和就业支出、卫生健康支出、农林水支出、住房保障支出、其他支出等。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呼图壁县水利局</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呼图壁县水利局部门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2480.33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376.51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15.18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513.71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57.71%，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水利局项目预算减少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2024年中央水利发展资金-水资源刚性约束与调度（水资源管理）、2024年中央水利发展资金-山洪灾害防治维修养护、2024年中央水利发展资金-山洪灾害防治、2024年中央水利发展资金-小型水库维修养护、2024年中央水利发展资金-农村饮水工程维修养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安排的转移支付20.00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0.81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95.94%，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2025年减少项目</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2024年中央水利发展资金-水资源刚性约束与调度（水资源管理）、2024年中央水利发展资金-山洪灾害防治维修养护、2024年中央水利发展资金-山洪灾害防治、2024年中央水利发展资金-小型水库维修养护、2024年中央水利发展资金-农村饮水工程维修养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1293.60万元，占</w:t>
      </w:r>
      <w:r>
        <w:rPr>
          <w:rFonts w:hint="eastAsia" w:ascii="仿宋_GB2312" w:hAnsi="宋体" w:eastAsia="仿宋_GB2312" w:cs="宋体"/>
          <w:color w:val="auto"/>
          <w:kern w:val="0"/>
          <w:sz w:val="32"/>
          <w:szCs w:val="32"/>
          <w:highlight w:val="none"/>
          <w:lang w:val="en-US" w:eastAsia="zh-CN"/>
        </w:rPr>
        <w:t>52.15%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1.48%，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：本单位在职人员减少，导致资金总量下降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790.23万元，占</w:t>
      </w:r>
      <w:r>
        <w:rPr>
          <w:rFonts w:hint="eastAsia" w:ascii="仿宋_GB2312" w:hAnsi="宋体" w:eastAsia="仿宋_GB2312" w:cs="宋体"/>
          <w:color w:val="auto"/>
          <w:kern w:val="0"/>
          <w:sz w:val="32"/>
          <w:szCs w:val="32"/>
          <w:highlight w:val="none"/>
          <w:lang w:val="en-US" w:eastAsia="zh-CN"/>
        </w:rPr>
        <w:t>31.86%</w:t>
      </w:r>
      <w:r>
        <w:rPr>
          <w:rFonts w:hint="eastAsia" w:ascii="仿宋_GB2312" w:hAnsi="宋体" w:eastAsia="仿宋_GB2312" w:cs="宋体"/>
          <w:color w:val="auto"/>
          <w:kern w:val="0"/>
          <w:sz w:val="32"/>
          <w:szCs w:val="32"/>
          <w:highlight w:val="none"/>
        </w:rPr>
        <w:t>，比上年预算减</w:t>
      </w:r>
      <w:r>
        <w:rPr>
          <w:rFonts w:hint="eastAsia" w:ascii="仿宋_GB2312" w:hAnsi="宋体" w:eastAsia="仿宋_GB2312" w:cs="宋体"/>
          <w:color w:val="auto"/>
          <w:kern w:val="0"/>
          <w:sz w:val="32"/>
          <w:szCs w:val="32"/>
          <w:highlight w:val="none"/>
          <w:lang w:eastAsia="zh-CN"/>
        </w:rPr>
        <w:t>少</w:t>
      </w:r>
      <w:r>
        <w:rPr>
          <w:rFonts w:hint="eastAsia" w:ascii="仿宋_GB2312" w:hAnsi="宋体" w:eastAsia="仿宋_GB2312" w:cs="宋体"/>
          <w:color w:val="auto"/>
          <w:kern w:val="0"/>
          <w:sz w:val="32"/>
          <w:szCs w:val="32"/>
          <w:highlight w:val="none"/>
          <w:lang w:val="en-US" w:eastAsia="zh-CN"/>
        </w:rPr>
        <w:t>6857.77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89.67%，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呼图壁县独山子渠首除险加固工程、红山水库除险加固工程已付，今年未结转该项目。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呼图壁县水利局</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呼图壁县水利局部门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年支出预算2480.33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1649.11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66.49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60.19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本年度减少在职人员。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831.23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33.51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7330.77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89.82%，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上年度财政拨款项目预算较多，而本年度水利局项目减少</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2024年中央水利发展资金-水资源刚性约束与调度（水资源管理）、2024年中央水利发展资金-山洪灾害防治维修养护、2024年中央水利发展资金-山洪灾害防治、2024年中央水利发展资金-小型水库维修养护、2024年中央水利发展资金-农村饮水工程维修养护。</w:t>
      </w:r>
      <w:r>
        <w:rPr>
          <w:rFonts w:hint="eastAsia" w:ascii="仿宋_GB2312" w:hAnsi="宋体" w:eastAsia="仿宋_GB2312" w:cs="宋体"/>
          <w:color w:val="auto"/>
          <w:kern w:val="0"/>
          <w:sz w:val="32"/>
          <w:szCs w:val="32"/>
          <w:highlight w:val="none"/>
          <w:lang w:eastAsia="zh-CN"/>
        </w:rPr>
        <w:t>所以项目预算占预算小部分。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呼图壁县水利局部门</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396.51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收入预算包括：一般公共预算拨款411.51万元。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一般公共预算支出包括：社会保障和就业支出44.89</w:t>
      </w:r>
      <w:r>
        <w:rPr>
          <w:rFonts w:hint="eastAsia" w:ascii="仿宋_GB2312" w:hAnsi="宋体" w:eastAsia="仿宋_GB2312" w:cs="宋体"/>
          <w:color w:val="auto"/>
          <w:kern w:val="0"/>
          <w:sz w:val="32"/>
          <w:szCs w:val="32"/>
          <w:highlight w:val="none"/>
          <w:lang w:eastAsia="zh-CN"/>
        </w:rPr>
        <w:t>万元，主要用于单位职工社会保险缴费；卫生健康支出25.72万元，主要用于支付人员医疗费用，农林水支出313.90万元，主要用于单位日常经费的开支和单位人员经费及2024年访惠聚为民办实事-村级支出、河湖长制工作经费（非定额）、非法举报奖励资金（非定额）、水土保持专家评审费及监督管理与监测费用（非定额）、2024年中央水利发展资金-山洪灾害防治、2024年中央水利发展资金-山洪灾害防治维修养护项目支出；住房保障支出，主要用于人员住房公积金支出。其他支出，主要用于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呼图壁县水利局部门</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spacing w:val="-6"/>
          <w:kern w:val="0"/>
          <w:sz w:val="32"/>
          <w:szCs w:val="32"/>
          <w:highlight w:val="none"/>
          <w:lang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呼图壁县水利局部门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eastAsia="zh-CN"/>
        </w:rPr>
        <w:t>年一般公共预算拨款合计</w:t>
      </w:r>
      <w:r>
        <w:rPr>
          <w:rFonts w:hint="eastAsia" w:ascii="仿宋_GB2312" w:hAnsi="宋体" w:eastAsia="仿宋_GB2312" w:cs="宋体"/>
          <w:color w:val="auto"/>
          <w:kern w:val="0"/>
          <w:sz w:val="32"/>
          <w:szCs w:val="32"/>
          <w:highlight w:val="none"/>
          <w:lang w:val="en-US" w:eastAsia="zh-CN"/>
        </w:rPr>
        <w:t>396.51</w:t>
      </w:r>
      <w:r>
        <w:rPr>
          <w:rFonts w:hint="eastAsia" w:ascii="仿宋_GB2312" w:hAnsi="宋体" w:eastAsia="仿宋_GB2312" w:cs="宋体"/>
          <w:color w:val="auto"/>
          <w:kern w:val="0"/>
          <w:sz w:val="32"/>
          <w:szCs w:val="32"/>
          <w:highlight w:val="none"/>
          <w:lang w:eastAsia="zh-CN"/>
        </w:rPr>
        <w:t>万元，其中：基本支出</w:t>
      </w:r>
      <w:r>
        <w:rPr>
          <w:rFonts w:hint="eastAsia" w:ascii="仿宋_GB2312" w:hAnsi="宋体" w:eastAsia="仿宋_GB2312" w:cs="宋体"/>
          <w:color w:val="auto"/>
          <w:kern w:val="0"/>
          <w:sz w:val="32"/>
          <w:szCs w:val="32"/>
          <w:highlight w:val="none"/>
          <w:lang w:val="en-US" w:eastAsia="zh-CN"/>
        </w:rPr>
        <w:t>355.51</w:t>
      </w:r>
      <w:r>
        <w:rPr>
          <w:rFonts w:hint="eastAsia" w:ascii="仿宋_GB2312" w:hAnsi="宋体" w:eastAsia="仿宋_GB2312" w:cs="宋体"/>
          <w:color w:val="auto"/>
          <w:kern w:val="0"/>
          <w:sz w:val="32"/>
          <w:szCs w:val="32"/>
          <w:highlight w:val="none"/>
          <w:lang w:eastAsia="zh-CN"/>
        </w:rPr>
        <w:t>万元，比上年预算减少</w:t>
      </w:r>
      <w:r>
        <w:rPr>
          <w:rFonts w:hint="eastAsia" w:ascii="仿宋_GB2312" w:hAnsi="宋体" w:eastAsia="仿宋_GB2312" w:cs="宋体"/>
          <w:color w:val="auto"/>
          <w:kern w:val="0"/>
          <w:sz w:val="32"/>
          <w:szCs w:val="32"/>
          <w:highlight w:val="none"/>
          <w:lang w:val="en-US" w:eastAsia="zh-CN"/>
        </w:rPr>
        <w:t>40.71</w:t>
      </w:r>
      <w:r>
        <w:rPr>
          <w:rFonts w:hint="eastAsia" w:ascii="仿宋_GB2312" w:hAnsi="宋体" w:eastAsia="仿宋_GB2312" w:cs="宋体"/>
          <w:color w:val="auto"/>
          <w:kern w:val="0"/>
          <w:sz w:val="32"/>
          <w:szCs w:val="32"/>
          <w:highlight w:val="none"/>
          <w:lang w:eastAsia="zh-CN"/>
        </w:rPr>
        <w:t>万元，下降</w:t>
      </w:r>
      <w:r>
        <w:rPr>
          <w:rFonts w:hint="eastAsia" w:ascii="仿宋_GB2312" w:hAnsi="宋体" w:eastAsia="仿宋_GB2312" w:cs="宋体"/>
          <w:color w:val="auto"/>
          <w:kern w:val="0"/>
          <w:sz w:val="32"/>
          <w:szCs w:val="32"/>
          <w:highlight w:val="none"/>
          <w:lang w:val="en-US" w:eastAsia="zh-CN"/>
        </w:rPr>
        <w:t>10.27</w:t>
      </w:r>
      <w:r>
        <w:rPr>
          <w:rFonts w:hint="eastAsia" w:ascii="仿宋_GB2312" w:hAnsi="宋体" w:eastAsia="仿宋_GB2312" w:cs="宋体"/>
          <w:color w:val="auto"/>
          <w:kern w:val="0"/>
          <w:sz w:val="32"/>
          <w:szCs w:val="32"/>
          <w:highlight w:val="none"/>
          <w:lang w:eastAsia="zh-CN"/>
        </w:rPr>
        <w:t>%。主要原因是：</w:t>
      </w:r>
      <w:r>
        <w:rPr>
          <w:rFonts w:hint="eastAsia" w:ascii="仿宋_GB2312" w:hAnsi="宋体" w:eastAsia="仿宋_GB2312" w:cs="宋体"/>
          <w:color w:val="auto"/>
          <w:kern w:val="0"/>
          <w:sz w:val="32"/>
          <w:szCs w:val="32"/>
          <w:highlight w:val="none"/>
          <w:lang w:val="en-US" w:eastAsia="zh-CN"/>
        </w:rPr>
        <w:t>本单位在职人员减少4人，工资社保减少。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41</w:t>
      </w:r>
      <w:r>
        <w:rPr>
          <w:rFonts w:hint="eastAsia" w:ascii="仿宋_GB2312" w:hAnsi="宋体" w:eastAsia="仿宋_GB2312" w:cs="宋体"/>
          <w:color w:val="auto"/>
          <w:kern w:val="0"/>
          <w:sz w:val="32"/>
          <w:szCs w:val="32"/>
          <w:highlight w:val="none"/>
          <w:lang w:eastAsia="zh-CN"/>
        </w:rPr>
        <w:t>万元，比上年预算减少</w:t>
      </w:r>
      <w:r>
        <w:rPr>
          <w:rFonts w:hint="eastAsia" w:ascii="仿宋_GB2312" w:hAnsi="宋体" w:eastAsia="仿宋_GB2312" w:cs="宋体"/>
          <w:color w:val="auto"/>
          <w:kern w:val="0"/>
          <w:sz w:val="32"/>
          <w:szCs w:val="32"/>
          <w:highlight w:val="none"/>
          <w:lang w:val="en-US" w:eastAsia="zh-CN"/>
        </w:rPr>
        <w:t>457.99</w:t>
      </w:r>
      <w:r>
        <w:rPr>
          <w:rFonts w:hint="eastAsia" w:ascii="仿宋_GB2312" w:hAnsi="宋体" w:eastAsia="仿宋_GB2312" w:cs="宋体"/>
          <w:color w:val="auto"/>
          <w:kern w:val="0"/>
          <w:sz w:val="32"/>
          <w:szCs w:val="32"/>
          <w:highlight w:val="none"/>
          <w:lang w:eastAsia="zh-CN"/>
        </w:rPr>
        <w:t>万元，下降</w:t>
      </w:r>
      <w:r>
        <w:rPr>
          <w:rFonts w:hint="eastAsia" w:ascii="仿宋_GB2312" w:hAnsi="宋体" w:eastAsia="仿宋_GB2312" w:cs="宋体"/>
          <w:color w:val="auto"/>
          <w:kern w:val="0"/>
          <w:sz w:val="32"/>
          <w:szCs w:val="32"/>
          <w:highlight w:val="none"/>
          <w:lang w:val="en-US" w:eastAsia="zh-CN"/>
        </w:rPr>
        <w:t>89.10</w:t>
      </w:r>
      <w:r>
        <w:rPr>
          <w:rFonts w:hint="eastAsia" w:ascii="仿宋_GB2312" w:hAnsi="宋体" w:eastAsia="仿宋_GB2312" w:cs="宋体"/>
          <w:color w:val="auto"/>
          <w:kern w:val="0"/>
          <w:sz w:val="32"/>
          <w:szCs w:val="32"/>
          <w:highlight w:val="none"/>
          <w:lang w:eastAsia="zh-CN"/>
        </w:rPr>
        <w:t>%。主要原因是：上年度安排的项目支出多，本年度减少项目支出预算。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val="en-US" w:eastAsia="zh-CN"/>
        </w:rPr>
      </w:pPr>
      <w:r>
        <w:rPr>
          <w:rFonts w:hint="eastAsia" w:ascii="楷体_GB2312" w:hAnsi="楷体_GB2312" w:eastAsia="楷体_GB2312" w:cs="楷体_GB2312"/>
          <w:b/>
          <w:bCs/>
          <w:color w:val="auto"/>
          <w:spacing w:val="-6"/>
          <w:kern w:val="0"/>
          <w:sz w:val="32"/>
          <w:szCs w:val="32"/>
          <w:highlight w:val="none"/>
          <w:lang w:eastAsia="zh-CN"/>
        </w:rPr>
        <w:t>（</w:t>
      </w:r>
      <w:r>
        <w:rPr>
          <w:rFonts w:hint="eastAsia" w:ascii="楷体_GB2312" w:hAnsi="楷体_GB2312" w:eastAsia="楷体_GB2312" w:cs="楷体_GB2312"/>
          <w:b/>
          <w:bCs/>
          <w:color w:val="auto"/>
          <w:spacing w:val="-6"/>
          <w:kern w:val="0"/>
          <w:sz w:val="32"/>
          <w:szCs w:val="32"/>
          <w:highlight w:val="none"/>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1.社会保障和就业支出（208类）44.89万元，占11.32%。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2.卫生健康支出（210类）25.72万元，占6.49%。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3.农林水支出（213类）313.90万元，占79.17%。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4.住房保障支出（221类）27万元，占6.81%。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spacing w:val="-6"/>
          <w:kern w:val="0"/>
          <w:sz w:val="32"/>
          <w:szCs w:val="32"/>
          <w:highlight w:val="none"/>
          <w:lang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yellow"/>
        </w:rPr>
      </w:pPr>
      <w:r>
        <w:rPr>
          <w:rFonts w:hint="eastAsia" w:ascii="仿宋_GB2312" w:hAnsi="宋体" w:eastAsia="仿宋_GB2312" w:cs="宋体"/>
          <w:color w:val="auto"/>
          <w:kern w:val="0"/>
          <w:sz w:val="32"/>
          <w:szCs w:val="32"/>
          <w:highlight w:val="none"/>
          <w:lang w:val="en-US" w:eastAsia="zh-CN"/>
        </w:rPr>
        <w:t>1.社会保障和就业支出（208类）行政事业单位养老支出（05款）行政单位离退休（01项）：2025年预算数为12.22万元比上年预算数减少0.4万元下降3.17%，主要原因是：本单位在职人员减少4人，工资社保减少。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社会保障和就业支出（208类）行政事业单位养老支出（05款）机关事业单位基本养老保险缴费支出（05项）2025年预算数32.68万元比上年预算数减少5.11万元下降13.52%，主要原因：本单位在职人员减少4人，工资社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3.卫生健康支出（210类）行政事业单位医疗（11款）行政单位医疗（01项）：2025年预算数为5.36万元比上年预算数减少0.27万元下降4.8%，主要原因：本单位在职人员减少4人，工资社保减少。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4.卫生健康支出（210类）行政事业单位医疗（11款）事业单位医疗（02项）：2025年预算数为11.75万元比上年预算数减少1.52万元下降11.45%，主要原因：本单位在职人员减少4人，医保减少。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5.卫生健康支出（210类）行政事业单位医疗（11款）公务员医疗补助（03项）：2025年预算数为8.40万元增加3.2万元增长61.54%，主要原因：2025年公务员医疗缴费比例上调，从2024年的2.2%提高到4%所以公务员补助增加。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6.卫生健康支出（210类）行政事业单位医疗（11款）其他行政事业单位医疗支出（99项）：2025年预算数为0.21万元增加0.08万元增长61.54%，主要原因：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7.农林水支出（213类）水利（03款）行政运行（01项）：2025年预算数为94.38万元减少194.33万元下降67.31%，主要原因：上年度项目预算较多，本年度水利局项目预算占预算的小部分。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8.农林水支出（213类）水利（03款）水利行业业务管理（04项）：2025年预算数为178.51万元增加178.51万元增长100%，主要原因：上年度水利行业业务管理未列入预算，本年度水利行业业务管理列入预算，因此水利行业业务管理款项比去年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9.农林水支出（213类）水利（03款）水利前期工作（08项）：2025年预算数为10万元，与上年预算数一样。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10.农林水支出（213类）水利（03款）水利执法监督（09项）：2025年预算数为5万元，与上年预算数一样。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11.农林水支出（213类）水利（03款）水土保持（10项）：2025年预算数为6万元，与上年预算数一样。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12.农林水支出（213类）水利（03款）水资源节约管理与保护（11项）：2025年预算数为20万元，比上年预算减少270万，下降93.10%，主要原因：上年度水利局项目较多，本年度水利局项目预算占预算的小部分。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13.住房保障支出（221类）住房改革支出（02款）住房公积金（01项）2025年预算数为27万元，比上年预算减少4.23万元，降低13.54%，主要原因：本单位在职人员减少4人，所以住房公积金预算减少。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呼图壁县水利局部门</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呼图壁县水利局部门</w:t>
      </w:r>
      <w:r>
        <w:rPr>
          <w:rFonts w:hint="eastAsia" w:ascii="仿宋_GB2312" w:hAnsi="宋体" w:eastAsia="仿宋_GB2312" w:cs="宋体"/>
          <w:color w:val="auto"/>
          <w:spacing w:val="-6"/>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年一般公共预算基本支出355.51万元，其中：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人员经费325.92万元，主要包括：基本工资、津贴补贴、奖金、绩效工资、机关事业单位基本养老保险缴费、职工基本医疗保险缴费、公务员医疗补助缴费、其他社会保障缴费、住房公积金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生活补助、奖励金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公用经费29.59万元，主要包括：水费、电费、邮电费、取暖费、差旅费、工会经费、公务用车运行维护费、其他交通费用</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呼图壁县水利局部门</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：河长制委托业务费、交通费、办公费、广告费、维修费（非定额）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《关于开展在建涉河建设项目汛前检查的通知》（新水办</w:t>
      </w:r>
      <w:r>
        <w:rPr>
          <w:rFonts w:hint="eastAsia" w:ascii="仿宋_GB2312" w:hAnsi="黑体" w:eastAsia="仿宋_GB2312"/>
          <w:color w:val="auto"/>
          <w:sz w:val="32"/>
          <w:szCs w:val="32"/>
          <w:highlight w:val="none"/>
          <w:lang w:val="en-US" w:eastAsia="zh-CN"/>
        </w:rPr>
        <w:t>[2024]47号</w:t>
      </w:r>
      <w:r>
        <w:rPr>
          <w:rFonts w:hint="eastAsia" w:ascii="仿宋_GB2312" w:hAnsi="黑体" w:eastAsia="仿宋_GB2312"/>
          <w:color w:val="auto"/>
          <w:sz w:val="32"/>
          <w:szCs w:val="32"/>
          <w:highlight w:val="none"/>
          <w:lang w:eastAsia="zh-CN"/>
        </w:rPr>
        <w:t>）、《关于进一步加强涉河建设项目和有关活动监管的通知》</w:t>
      </w:r>
      <w:r>
        <w:rPr>
          <w:rFonts w:hint="eastAsia" w:ascii="仿宋_GB2312" w:hAnsi="黑体" w:eastAsia="仿宋_GB2312"/>
          <w:color w:val="auto"/>
          <w:sz w:val="32"/>
          <w:szCs w:val="32"/>
          <w:highlight w:val="none"/>
          <w:lang w:val="en-US" w:eastAsia="zh-CN"/>
        </w:rPr>
        <w:t>(新水办[2022]226号），州、县级下达水利局绩效考核指标，《关于印发呼图壁县河（湖）长巡查制度会议制度等五项制度（修订稿）的通知》（呼县河长办[2021]2号，《关于开展遥感图斑核查工作的通知》（新河长办[2023]3号），关于印发《昌吉州2023年全面推行河湖长制工作计划》的通知（昌州河长办字[2023]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10万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呼图壁县水利局河湖管理中心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河长制监督检查费用</w:t>
      </w:r>
      <w:r>
        <w:rPr>
          <w:rFonts w:hint="eastAsia" w:ascii="仿宋_GB2312" w:hAnsi="黑体" w:eastAsia="仿宋_GB2312"/>
          <w:color w:val="auto"/>
          <w:sz w:val="32"/>
          <w:szCs w:val="32"/>
          <w:highlight w:val="none"/>
          <w:lang w:val="en-US" w:eastAsia="zh-CN"/>
        </w:rPr>
        <w:t>1万元，河长制宣传、培训与办公经费2万元，河长制表彰奖励3万元，河长制委托业务咨询费4万元。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：非法举报奖励资金（非定额）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《关于印发呼图壁县井电双控取水计量设施管理办法》《呼图壁县水资源管理举报奖励制度的通知》（呼县政办</w:t>
      </w:r>
      <w:r>
        <w:rPr>
          <w:rFonts w:hint="eastAsia" w:ascii="仿宋_GB2312" w:hAnsi="黑体" w:eastAsia="仿宋_GB2312"/>
          <w:color w:val="auto"/>
          <w:sz w:val="32"/>
          <w:szCs w:val="32"/>
          <w:highlight w:val="none"/>
          <w:lang w:val="en-US" w:eastAsia="zh-CN"/>
        </w:rPr>
        <w:t>[2019]45号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项目承担单位：呼图壁县水利局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资金分配情况：预计举报破坏井电双控设施行为的</w:t>
      </w:r>
      <w:r>
        <w:rPr>
          <w:rFonts w:hint="eastAsia" w:ascii="仿宋_GB2312" w:hAnsi="黑体" w:eastAsia="仿宋_GB2312"/>
          <w:color w:val="auto"/>
          <w:sz w:val="32"/>
          <w:szCs w:val="32"/>
          <w:highlight w:val="none"/>
          <w:lang w:val="en-US" w:eastAsia="zh-CN"/>
        </w:rPr>
        <w:t>2起，给予举报人奖励1万元；预计举报非法取用地下水行为的4起，给予举报人奖励4万元。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：水土保持技术评审费（非定额）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《水利部关于进一步深化“放管服”改革全面加强水土保持监管的意见》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项目承担单位：呼图壁县水利局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资金分配情况：本次预算内资金计划支付2023年23个项目所产生的水土保持方案技术评审费用总计3.91万元；剩余预算资金支付2025年申报项目的水土保持技术评审费。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：关于提前下达</w:t>
      </w:r>
      <w:r>
        <w:rPr>
          <w:rFonts w:hint="eastAsia" w:ascii="仿宋_GB2312" w:hAnsi="黑体" w:eastAsia="仿宋_GB2312"/>
          <w:color w:val="auto"/>
          <w:sz w:val="32"/>
          <w:szCs w:val="32"/>
          <w:highlight w:val="none"/>
          <w:lang w:val="en-US" w:eastAsia="zh-CN"/>
        </w:rPr>
        <w:t>2025年中央水库发展资金（水资源刚性约束与调度）-农业灌溉机井折水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根据《水利部关于强化取水口取水监测计量的意见》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预算安排规模：</w:t>
      </w:r>
      <w:r>
        <w:rPr>
          <w:rFonts w:hint="eastAsia" w:ascii="仿宋_GB2312" w:hAnsi="黑体" w:eastAsia="仿宋_GB2312"/>
          <w:color w:val="auto"/>
          <w:sz w:val="32"/>
          <w:szCs w:val="32"/>
          <w:highlight w:val="none"/>
          <w:lang w:val="en-US" w:eastAsia="zh-CN"/>
        </w:rPr>
        <w:t>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项目承担单位：呼图壁县水利局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资金分配情况：本次预算内资金计划支付以电折水20万元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资金执行时间：2025年1月1日-2025年12月31日</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呼图壁县水利局部门</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呼图壁县水利局部门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呼图壁县水利局部门</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呼图壁县水利局部门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呼图壁县水利局部门</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呼图壁县水利局部门</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2.79</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2.79</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2.79</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2.47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47.03%，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主要原因是2024年和2025年均</w:t>
      </w:r>
      <w:r>
        <w:rPr>
          <w:rFonts w:hint="eastAsia" w:ascii="仿宋_GB2312" w:hAnsi="宋体" w:eastAsia="仿宋_GB2312" w:cs="宋体"/>
          <w:color w:val="auto"/>
          <w:kern w:val="0"/>
          <w:sz w:val="32"/>
          <w:szCs w:val="32"/>
          <w:highlight w:val="none"/>
          <w:lang w:val="en-US" w:eastAsia="zh-CN"/>
        </w:rPr>
        <w:t>未安排预算数；</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主要原因是2024年和2025年均</w:t>
      </w:r>
      <w:r>
        <w:rPr>
          <w:rFonts w:hint="eastAsia" w:ascii="仿宋_GB2312" w:hAnsi="宋体" w:eastAsia="仿宋_GB2312" w:cs="宋体"/>
          <w:color w:val="auto"/>
          <w:kern w:val="0"/>
          <w:sz w:val="32"/>
          <w:szCs w:val="32"/>
          <w:highlight w:val="none"/>
          <w:lang w:val="en-US" w:eastAsia="zh-CN"/>
        </w:rPr>
        <w:t>未安排预算数</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2.47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47.03%，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严格执行三公经费逐年递减政策，减少了公务接待费</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主要原因是2024年和2025年均</w:t>
      </w:r>
      <w:r>
        <w:rPr>
          <w:rFonts w:hint="eastAsia" w:ascii="仿宋_GB2312" w:hAnsi="宋体" w:eastAsia="仿宋_GB2312" w:cs="宋体"/>
          <w:color w:val="auto"/>
          <w:kern w:val="0"/>
          <w:sz w:val="32"/>
          <w:szCs w:val="32"/>
          <w:highlight w:val="none"/>
          <w:lang w:val="en-US" w:eastAsia="zh-CN"/>
        </w:rPr>
        <w:t>未安排预算数</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呼图壁县水利局部门</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呼图壁县水利局部门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上年结转结余790.23万元，包括：财政拨款790.23万元，非财政拨款0万元，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1.2024年中央水利发展资金-山洪灾害防治支付0.0023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主要用于：修建的雨量站里面装的RTU。</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2.2024年访惠聚为民办实事-村级支出支付15万元</w:t>
      </w:r>
      <w:r>
        <w:rPr>
          <w:rFonts w:hint="eastAsia" w:ascii="仿宋_GB2312" w:hAnsi="仿宋_GB2312" w:eastAsia="仿宋_GB2312" w:cs="仿宋_GB2312"/>
          <w:color w:val="auto"/>
          <w:kern w:val="0"/>
          <w:sz w:val="32"/>
          <w:szCs w:val="32"/>
          <w:highlight w:val="none"/>
          <w:lang w:val="en-US" w:eastAsia="zh-CN"/>
        </w:rPr>
        <w:t>主要用于：驻村工作队为民办实事经费。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3.2024年中央水利发展资金-山洪灾害防治维修养护支付0.0071万元，</w:t>
      </w:r>
      <w:r>
        <w:rPr>
          <w:rFonts w:hint="eastAsia" w:ascii="仿宋_GB2312" w:hAnsi="仿宋_GB2312" w:eastAsia="仿宋_GB2312" w:cs="仿宋_GB2312"/>
          <w:color w:val="auto"/>
          <w:kern w:val="0"/>
          <w:sz w:val="32"/>
          <w:szCs w:val="32"/>
          <w:highlight w:val="none"/>
          <w:lang w:val="en-US" w:eastAsia="zh-CN"/>
        </w:rPr>
        <w:t>主要用于：雨量站的军备，雨量站的数据上传。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4.2024年自治区第四批地方政府债券转贷资金-呼图壁县大丰镇供水保障工程（二期）775.22万元，</w:t>
      </w:r>
      <w:r>
        <w:rPr>
          <w:rFonts w:hint="eastAsia" w:ascii="仿宋_GB2312" w:hAnsi="仿宋_GB2312" w:eastAsia="仿宋_GB2312" w:cs="仿宋_GB2312"/>
          <w:color w:val="auto"/>
          <w:kern w:val="0"/>
          <w:sz w:val="32"/>
          <w:szCs w:val="32"/>
          <w:highlight w:val="none"/>
          <w:lang w:val="en-US" w:eastAsia="zh-CN"/>
        </w:rPr>
        <w:t>主要用于：大丰镇工业园区提供水源保障。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呼图壁县水利局部门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29.59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10.87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由于工作业务需要本年度增加了按规定开支的各项公务支出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呼图壁县水利局部门</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1041.38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1041.38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呼图壁县水利局</w:t>
      </w:r>
      <w:r>
        <w:rPr>
          <w:rFonts w:hint="eastAsia" w:ascii="仿宋_GB2312" w:hAnsi="仿宋_GB2312" w:eastAsia="仿宋_GB2312" w:cs="仿宋_GB2312"/>
          <w:color w:val="auto"/>
          <w:sz w:val="32"/>
          <w:highlight w:val="none"/>
          <w:lang w:eastAsia="zh-CN"/>
        </w:rPr>
        <w:t>部门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1041.38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1041.38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水利局部门</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8.82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34.51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34.51</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34.51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15.61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132.56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整体预算绩效目标1个，涉及预算金额2480.33万元；当年预算安排项目共2个，其中: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涉及预算金额41万元；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8"/>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9"/>
        <w:gridCol w:w="1420"/>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刘丹阳</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15109943397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主要用于加强水资源保护，水污染防治，水环境治理等方面工作，负责水资源的开发利用，负责生活生产和生态环境用水统筹兼顾与保障，实施水资源的统一监督管理，负责水土保持工作，提高饮水质量，通过监测预警系统，实施监测降雨量、水位等数据，及时发布山洪预警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1166.74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1293.6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4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42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敲门入户排查饮用水安全轮次</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&gt;=2轮次</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2025水利谋划情况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4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编制防洪规划</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&gt;=1个</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2025水利谋划情况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山洪灾害监测预警上线率</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&gt;=100%</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2025水利谋划情况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42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山洪预警信息发布及时率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&gt;=100%</w:t>
            </w: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2025水利谋划情况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06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4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highlight w:val="none"/>
                <w:u w:val="none"/>
              </w:rPr>
            </w:pPr>
          </w:p>
        </w:tc>
      </w:tr>
    </w:tbl>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814"/>
        <w:gridCol w:w="103"/>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0"/>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0"/>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呼图壁县水利局本级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非法举报奖励资金（非定额）</w:t>
            </w:r>
          </w:p>
        </w:tc>
        <w:tc>
          <w:tcPr>
            <w:tcW w:w="1998"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杨兵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6"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w:t>
            </w:r>
          </w:p>
        </w:tc>
        <w:tc>
          <w:tcPr>
            <w:tcW w:w="91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于2024年举报的五起水事违法案件，经水利局综合执法科核实，办结完以后违法当事人未提出异议的情况下，兑现举报人奖励金额.通过项目的实施，起到全民监督作用，有效遏止偷采地下水行为，提高地下水水位，改善生态环境，促进水资源的可持续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14"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非法打井或破坏计量设施案件举报受理数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&gt;=5起</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=3起</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4"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核实违法举报事实</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&gt;=5起</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=3起</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举报核查准确率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91"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举报核查及时率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举报奖励金标准(非法打井)</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=1万元/起</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=1万元/起</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举报奖励金标准(破坏井电双控计量设</w:t>
            </w:r>
            <w:r>
              <w:rPr>
                <w:rFonts w:hint="eastAsia" w:ascii="宋体" w:hAnsi="宋体" w:eastAsia="宋体" w:cs="宋体"/>
                <w:i w:val="0"/>
                <w:iCs w:val="0"/>
                <w:color w:val="000000"/>
                <w:sz w:val="18"/>
                <w:szCs w:val="18"/>
                <w:highlight w:val="none"/>
                <w:u w:val="none"/>
              </w:rPr>
              <w:t>施)</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=0.50万元/起</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=0.50万元/起</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1"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遏制非法凿井行为</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有效遏制</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有效遏制</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按照完成比例</w:t>
            </w:r>
            <w:r>
              <w:rPr>
                <w:rFonts w:hint="eastAsia" w:ascii="宋体" w:hAnsi="宋体" w:eastAsia="宋体" w:cs="宋体"/>
                <w:i w:val="0"/>
                <w:iCs w:val="0"/>
                <w:color w:val="000000"/>
                <w:sz w:val="18"/>
                <w:szCs w:val="18"/>
                <w:highlight w:val="none"/>
                <w:u w:val="none"/>
              </w:rPr>
              <w:t>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举报人满意度（%）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17"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tbl>
      <w:tblPr>
        <w:tblStyle w:val="8"/>
        <w:tblW w:w="9262" w:type="dxa"/>
        <w:tblInd w:w="-68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37"/>
        <w:gridCol w:w="205"/>
        <w:gridCol w:w="331"/>
        <w:gridCol w:w="405"/>
        <w:gridCol w:w="171"/>
        <w:gridCol w:w="184"/>
        <w:gridCol w:w="630"/>
        <w:gridCol w:w="2"/>
        <w:gridCol w:w="645"/>
        <w:gridCol w:w="206"/>
        <w:gridCol w:w="510"/>
        <w:gridCol w:w="335"/>
        <w:gridCol w:w="241"/>
        <w:gridCol w:w="469"/>
        <w:gridCol w:w="722"/>
        <w:gridCol w:w="52"/>
        <w:gridCol w:w="695"/>
        <w:gridCol w:w="134"/>
        <w:gridCol w:w="1557"/>
        <w:gridCol w:w="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53" w:hRule="atLeast"/>
        </w:trPr>
        <w:tc>
          <w:tcPr>
            <w:tcW w:w="9262" w:type="dxa"/>
            <w:gridSpan w:val="2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262" w:type="dxa"/>
            <w:gridSpan w:val="2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2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989"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0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水土保持专家评审费及监督管理与监测费用</w:t>
            </w:r>
          </w:p>
        </w:tc>
        <w:tc>
          <w:tcPr>
            <w:tcW w:w="12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6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李刚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2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6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2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989" w:type="dxa"/>
            <w:gridSpan w:val="1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6万元用于支付水土保持专家评审费及水土保持监督管理费，邀请自治区水土保持专家库专家对30个生产建设项目水土保持方案报告书进行技术评审，组织对全县150个生产建设项目水土保持方案落实情况进行监督检查。通过对新申报的所有生产建设项目水土保持方案报告书进行技术评审，使受理审批的所有方案满足国家现行标准的要求；通过督促生产建设单位落实水土保持措施，减少生产建设活动造成的水土流失，保护生态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73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53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76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3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1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243"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417"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5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水土保持方案评审次数</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&gt;=30次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=23次</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监督检查项目数</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&gt;=150个</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=217个</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水土保持方案通过率</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技术评审时限</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2025年12月10日前</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2024年12月10日</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5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评审费</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&lt;=5万元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=0.17万元/次</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监督管理费</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&lt;=1万元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提高生态环境质量</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生产建设单位满意度</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4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05" w:hRule="atLeast"/>
        </w:trPr>
        <w:tc>
          <w:tcPr>
            <w:tcW w:w="9231" w:type="dxa"/>
            <w:gridSpan w:val="1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9231" w:type="dxa"/>
            <w:gridSpan w:val="1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55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河长制工作经费</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李刚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84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553" w:type="dxa"/>
            <w:gridSpan w:val="15"/>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总投资10万元，主要用于河湖长制工作推进及河湖库管护效能提升，其中，车辆运维费1万元，主要用于巡河巡查车辆日常加油、维修养护，保障河湖巡查任务完成及时率达100%；宣传及办公经费2万元，主要用于制作河长制宣传片、更新河长制公示牌28个，并开展专题培训宣传；委托业务费4万元，主要用于第三方机构编制河湖管理规划、整治方案及技术咨询；表彰奖励经费3万元，主要用于对“四乱”清理成效显著的乡镇、优秀河湖长及工作人员进行激励。项目通过“巡查保障+宣传引导+规划支撑+考核激励”多措并举，强化河湖治理能力，巩固整治成果，推动河湖生态环境持续改善。通过项目的实施，使受理审批的所有方案满足国家现行标准的要求，减少水土流失，保护生态环境，优化水资源配置，延长水利设施使用寿命，提高水环境的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73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53"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1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81"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55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制作更新河长制公示牌数量</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&gt;=28个</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=28个</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河湖长制碍洪图斑核查覆盖率</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河湖问题整改完成率</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河湖长制巡查任务完成时限</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2025年12月10日前</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2024年12月10日</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巡河巡查车辆加油、维修费</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&lt;=1万元</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宣传、培训与办公经费</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&lt;=2万元</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=3万元</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对优秀河湖长、部门、工作人员进行表彰奖励</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&lt;=3万元</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委托咨询业务费</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&lt;=4万元</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=5万元</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提高水环境质量</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周边居民对河湖环境满意度</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05" w:hRule="atLeast"/>
        </w:trPr>
        <w:tc>
          <w:tcPr>
            <w:tcW w:w="9231" w:type="dxa"/>
            <w:gridSpan w:val="19"/>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9231" w:type="dxa"/>
            <w:gridSpan w:val="1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553"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eastAsia="zh-CN"/>
              </w:rPr>
              <w:t>关于提前下达</w:t>
            </w:r>
            <w:r>
              <w:rPr>
                <w:rFonts w:hint="eastAsia" w:ascii="宋体" w:hAnsi="宋体" w:cs="宋体"/>
                <w:i w:val="0"/>
                <w:iCs w:val="0"/>
                <w:color w:val="000000"/>
                <w:sz w:val="18"/>
                <w:szCs w:val="18"/>
                <w:u w:val="none"/>
                <w:lang w:val="en-US" w:eastAsia="zh-CN"/>
              </w:rPr>
              <w:t>2025年中央水利发展资金（水资源刚性约束与调度）-农业灌溉机井折水</w:t>
            </w:r>
          </w:p>
        </w:tc>
        <w:tc>
          <w:tcPr>
            <w:tcW w:w="14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孙思琦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20</w:t>
            </w:r>
          </w:p>
        </w:tc>
        <w:tc>
          <w:tcPr>
            <w:tcW w:w="84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840" w:hRule="atLeast"/>
        </w:trPr>
        <w:tc>
          <w:tcPr>
            <w:tcW w:w="26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553" w:type="dxa"/>
            <w:gridSpan w:val="15"/>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本项目总投资</w:t>
            </w:r>
            <w:r>
              <w:rPr>
                <w:rFonts w:hint="eastAsia" w:ascii="宋体" w:hAnsi="宋体" w:cs="宋体"/>
                <w:i w:val="0"/>
                <w:iCs w:val="0"/>
                <w:color w:val="000000"/>
                <w:kern w:val="0"/>
                <w:sz w:val="18"/>
                <w:szCs w:val="18"/>
                <w:u w:val="none"/>
                <w:lang w:val="en-US" w:eastAsia="zh-CN" w:bidi="ar"/>
              </w:rPr>
              <w:t>20</w:t>
            </w:r>
            <w:r>
              <w:rPr>
                <w:rFonts w:hint="eastAsia" w:ascii="宋体" w:hAnsi="宋体" w:eastAsia="宋体" w:cs="宋体"/>
                <w:i w:val="0"/>
                <w:iCs w:val="0"/>
                <w:color w:val="000000"/>
                <w:kern w:val="0"/>
                <w:sz w:val="18"/>
                <w:szCs w:val="18"/>
                <w:u w:val="none"/>
                <w:lang w:val="en-US" w:eastAsia="zh-CN" w:bidi="ar"/>
              </w:rPr>
              <w:t>万元，主要用于。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73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53"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4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1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4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69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农业灌溉机井“以电折水”样本井电数</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个</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个</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截至</w:t>
            </w:r>
            <w:r>
              <w:rPr>
                <w:rFonts w:hint="eastAsia" w:ascii="宋体" w:hAnsi="宋体" w:cs="宋体"/>
                <w:i w:val="0"/>
                <w:iCs w:val="0"/>
                <w:color w:val="000000"/>
                <w:sz w:val="20"/>
                <w:szCs w:val="20"/>
                <w:u w:val="none"/>
                <w:lang w:val="en-US" w:eastAsia="zh-CN"/>
              </w:rPr>
              <w:t>2026年6月底，完工项目初步验收率</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已建工程是否存在质量问题</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否</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31" w:type="dxa"/>
          <w:trHeight w:val="450" w:hRule="atLeast"/>
        </w:trPr>
        <w:tc>
          <w:tcPr>
            <w:tcW w:w="1942"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p>
        </w:tc>
        <w:tc>
          <w:tcPr>
            <w:tcW w:w="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时效指标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截止</w:t>
            </w:r>
            <w:r>
              <w:rPr>
                <w:rFonts w:hint="eastAsia" w:ascii="宋体" w:hAnsi="宋体" w:cs="宋体"/>
                <w:i w:val="0"/>
                <w:iCs w:val="0"/>
                <w:color w:val="000000"/>
                <w:sz w:val="20"/>
                <w:szCs w:val="20"/>
                <w:u w:val="none"/>
                <w:lang w:val="en-US" w:eastAsia="zh-CN"/>
              </w:rPr>
              <w:t>2025年底，投资完成比例</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80%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=80%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31" w:type="dxa"/>
          <w:trHeight w:val="450" w:hRule="atLeast"/>
        </w:trPr>
        <w:tc>
          <w:tcPr>
            <w:tcW w:w="1942" w:type="dxa"/>
            <w:gridSpan w:val="2"/>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p>
        </w:tc>
        <w:tc>
          <w:tcPr>
            <w:tcW w:w="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时效指标</w:t>
            </w:r>
          </w:p>
        </w:tc>
        <w:tc>
          <w:tcPr>
            <w:tcW w:w="9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截止</w:t>
            </w:r>
            <w:r>
              <w:rPr>
                <w:rFonts w:hint="eastAsia" w:ascii="宋体" w:hAnsi="宋体" w:cs="宋体"/>
                <w:i w:val="0"/>
                <w:iCs w:val="0"/>
                <w:color w:val="000000"/>
                <w:sz w:val="20"/>
                <w:szCs w:val="20"/>
                <w:u w:val="none"/>
                <w:lang w:val="en-US" w:eastAsia="zh-CN"/>
              </w:rPr>
              <w:t>2025年6月底，投资完成比例</w:t>
            </w:r>
          </w:p>
        </w:tc>
        <w:tc>
          <w:tcPr>
            <w:tcW w:w="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100%</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按照完成比例赋分</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ascii="仿宋_GB2312" w:hAnsi="宋体" w:eastAsia="仿宋_GB2312" w:cs="宋体"/>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jc w:val="both"/>
        <w:textAlignment w:val="auto"/>
        <w:outlineLvl w:val="9"/>
        <w:rPr>
          <w:rFonts w:hint="default" w:ascii="仿宋_GB2312" w:hAnsi="Times New Roman" w:eastAsia="仿宋_GB2312" w:cs="Times New Roman"/>
          <w:sz w:val="32"/>
          <w:szCs w:val="32"/>
          <w:highlight w:val="none"/>
          <w:lang w:val="en-US"/>
        </w:rPr>
      </w:pPr>
      <w:r>
        <w:rPr>
          <w:rFonts w:hint="eastAsia" w:ascii="仿宋_GB2312" w:eastAsia="仿宋_GB2312" w:cs="Times New Roman"/>
          <w:sz w:val="32"/>
          <w:szCs w:val="32"/>
          <w:highlight w:val="none"/>
          <w:lang w:val="en-US" w:eastAsia="zh-CN"/>
        </w:rPr>
        <w:t>无其他要说明的问题。</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bookmarkStart w:id="1" w:name="_GoBack"/>
      <w:bookmarkEnd w:id="1"/>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呼图壁县水利局部门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00172A27"/>
    <w:rsid w:val="00E41A1F"/>
    <w:rsid w:val="017B2F92"/>
    <w:rsid w:val="020E507E"/>
    <w:rsid w:val="02595BF1"/>
    <w:rsid w:val="02732F8E"/>
    <w:rsid w:val="027E6612"/>
    <w:rsid w:val="02CB7F49"/>
    <w:rsid w:val="037800D1"/>
    <w:rsid w:val="0391314D"/>
    <w:rsid w:val="03E2394F"/>
    <w:rsid w:val="03EF42C7"/>
    <w:rsid w:val="04267087"/>
    <w:rsid w:val="04267B2D"/>
    <w:rsid w:val="044C330C"/>
    <w:rsid w:val="05172D33"/>
    <w:rsid w:val="05397FD9"/>
    <w:rsid w:val="057A5F58"/>
    <w:rsid w:val="05BF60C0"/>
    <w:rsid w:val="05CA273A"/>
    <w:rsid w:val="070E6657"/>
    <w:rsid w:val="079009BD"/>
    <w:rsid w:val="080E3E4F"/>
    <w:rsid w:val="08413D62"/>
    <w:rsid w:val="084451C2"/>
    <w:rsid w:val="08450B28"/>
    <w:rsid w:val="08762705"/>
    <w:rsid w:val="088F5575"/>
    <w:rsid w:val="08E81855"/>
    <w:rsid w:val="0907415C"/>
    <w:rsid w:val="09277F98"/>
    <w:rsid w:val="09813B33"/>
    <w:rsid w:val="09937966"/>
    <w:rsid w:val="0A4168EC"/>
    <w:rsid w:val="0AD672A7"/>
    <w:rsid w:val="0B247F12"/>
    <w:rsid w:val="0B7C3034"/>
    <w:rsid w:val="0B841FFD"/>
    <w:rsid w:val="0BD56A2F"/>
    <w:rsid w:val="0C0A3890"/>
    <w:rsid w:val="0CD20198"/>
    <w:rsid w:val="0CEC568C"/>
    <w:rsid w:val="0D6E5FD0"/>
    <w:rsid w:val="0E316BEE"/>
    <w:rsid w:val="0E320E7D"/>
    <w:rsid w:val="0E3E4DCF"/>
    <w:rsid w:val="0E9208E7"/>
    <w:rsid w:val="0EC35F79"/>
    <w:rsid w:val="0FA1275E"/>
    <w:rsid w:val="0FF83676"/>
    <w:rsid w:val="10587512"/>
    <w:rsid w:val="105D0E37"/>
    <w:rsid w:val="10916BDA"/>
    <w:rsid w:val="11036B00"/>
    <w:rsid w:val="11301FEB"/>
    <w:rsid w:val="11A27F96"/>
    <w:rsid w:val="11B6451D"/>
    <w:rsid w:val="11D93FF4"/>
    <w:rsid w:val="11E132E5"/>
    <w:rsid w:val="121E62E8"/>
    <w:rsid w:val="128B489F"/>
    <w:rsid w:val="134C0C32"/>
    <w:rsid w:val="15063063"/>
    <w:rsid w:val="156A1844"/>
    <w:rsid w:val="1697741D"/>
    <w:rsid w:val="176E2418"/>
    <w:rsid w:val="17E95BA4"/>
    <w:rsid w:val="18DB7093"/>
    <w:rsid w:val="19A215AC"/>
    <w:rsid w:val="1A132B78"/>
    <w:rsid w:val="1A772A39"/>
    <w:rsid w:val="1AC437A4"/>
    <w:rsid w:val="1B153D26"/>
    <w:rsid w:val="1BE37282"/>
    <w:rsid w:val="1BE977CC"/>
    <w:rsid w:val="1BEB54C3"/>
    <w:rsid w:val="1C3C6084"/>
    <w:rsid w:val="1C8923CE"/>
    <w:rsid w:val="1C8C02F2"/>
    <w:rsid w:val="1CF33ECD"/>
    <w:rsid w:val="1D3E1AFE"/>
    <w:rsid w:val="1D650743"/>
    <w:rsid w:val="1DAA138B"/>
    <w:rsid w:val="1DCC7152"/>
    <w:rsid w:val="1E6432D4"/>
    <w:rsid w:val="1E89232D"/>
    <w:rsid w:val="1EB61656"/>
    <w:rsid w:val="1F041DA9"/>
    <w:rsid w:val="1F3C1A67"/>
    <w:rsid w:val="1FC65A06"/>
    <w:rsid w:val="1FD6190F"/>
    <w:rsid w:val="201F050B"/>
    <w:rsid w:val="20225D67"/>
    <w:rsid w:val="20407429"/>
    <w:rsid w:val="209A0FB7"/>
    <w:rsid w:val="20CF3CE4"/>
    <w:rsid w:val="20DD55C0"/>
    <w:rsid w:val="215F13A5"/>
    <w:rsid w:val="22922CB8"/>
    <w:rsid w:val="22DB78DD"/>
    <w:rsid w:val="244D65B8"/>
    <w:rsid w:val="2492221D"/>
    <w:rsid w:val="24B42D8E"/>
    <w:rsid w:val="24D942F0"/>
    <w:rsid w:val="250855AF"/>
    <w:rsid w:val="250C4FB9"/>
    <w:rsid w:val="25775C0A"/>
    <w:rsid w:val="258B383C"/>
    <w:rsid w:val="263B7010"/>
    <w:rsid w:val="26B4291F"/>
    <w:rsid w:val="26BD282A"/>
    <w:rsid w:val="26E769FA"/>
    <w:rsid w:val="286D65BC"/>
    <w:rsid w:val="28BE75A3"/>
    <w:rsid w:val="28D9041B"/>
    <w:rsid w:val="293B2E83"/>
    <w:rsid w:val="297C10E4"/>
    <w:rsid w:val="29CF1900"/>
    <w:rsid w:val="2AC858D7"/>
    <w:rsid w:val="2AFC4894"/>
    <w:rsid w:val="2B3A05DE"/>
    <w:rsid w:val="2B6901C6"/>
    <w:rsid w:val="2C3368AA"/>
    <w:rsid w:val="2C9254B0"/>
    <w:rsid w:val="2D11421B"/>
    <w:rsid w:val="2D480265"/>
    <w:rsid w:val="2D977453"/>
    <w:rsid w:val="2E171A78"/>
    <w:rsid w:val="2E177A29"/>
    <w:rsid w:val="2E2943BA"/>
    <w:rsid w:val="2EA643DF"/>
    <w:rsid w:val="2EF22236"/>
    <w:rsid w:val="2F4A2072"/>
    <w:rsid w:val="2F947791"/>
    <w:rsid w:val="2FED29FE"/>
    <w:rsid w:val="300E1D4A"/>
    <w:rsid w:val="30B05F05"/>
    <w:rsid w:val="30C84371"/>
    <w:rsid w:val="30D5179C"/>
    <w:rsid w:val="310F3573"/>
    <w:rsid w:val="31F97D80"/>
    <w:rsid w:val="32470AEB"/>
    <w:rsid w:val="32D560F7"/>
    <w:rsid w:val="3300483C"/>
    <w:rsid w:val="336D27D3"/>
    <w:rsid w:val="33A76F60"/>
    <w:rsid w:val="3405439E"/>
    <w:rsid w:val="341E7629"/>
    <w:rsid w:val="351176B1"/>
    <w:rsid w:val="3519514C"/>
    <w:rsid w:val="35F117C8"/>
    <w:rsid w:val="36DD37CC"/>
    <w:rsid w:val="36EB2711"/>
    <w:rsid w:val="375D6856"/>
    <w:rsid w:val="37C7555A"/>
    <w:rsid w:val="38284F1B"/>
    <w:rsid w:val="387316A1"/>
    <w:rsid w:val="39B0409D"/>
    <w:rsid w:val="3A9B7C26"/>
    <w:rsid w:val="3B345984"/>
    <w:rsid w:val="3BE45FB7"/>
    <w:rsid w:val="3BF21AC7"/>
    <w:rsid w:val="3C013037"/>
    <w:rsid w:val="3C4C7BA3"/>
    <w:rsid w:val="3CF47AC1"/>
    <w:rsid w:val="3FA70E1B"/>
    <w:rsid w:val="3FDF4D23"/>
    <w:rsid w:val="4037780F"/>
    <w:rsid w:val="41083B3B"/>
    <w:rsid w:val="41270465"/>
    <w:rsid w:val="41DB2FFE"/>
    <w:rsid w:val="41F50DD8"/>
    <w:rsid w:val="42703746"/>
    <w:rsid w:val="42F779C3"/>
    <w:rsid w:val="43502DA9"/>
    <w:rsid w:val="43C26223"/>
    <w:rsid w:val="43D8307E"/>
    <w:rsid w:val="44507CD3"/>
    <w:rsid w:val="44AF5181"/>
    <w:rsid w:val="44DC3315"/>
    <w:rsid w:val="455A018C"/>
    <w:rsid w:val="46B02CAB"/>
    <w:rsid w:val="46CE3131"/>
    <w:rsid w:val="46D85D5E"/>
    <w:rsid w:val="486870CB"/>
    <w:rsid w:val="49126E91"/>
    <w:rsid w:val="49303C2F"/>
    <w:rsid w:val="493059DD"/>
    <w:rsid w:val="494F7907"/>
    <w:rsid w:val="4972249A"/>
    <w:rsid w:val="4ADF73DC"/>
    <w:rsid w:val="4B0735C9"/>
    <w:rsid w:val="4B1B26BD"/>
    <w:rsid w:val="4B315A3D"/>
    <w:rsid w:val="4B587466"/>
    <w:rsid w:val="4BE45CB1"/>
    <w:rsid w:val="4C0055E5"/>
    <w:rsid w:val="4C3677AE"/>
    <w:rsid w:val="4C706B3A"/>
    <w:rsid w:val="4D3F6B37"/>
    <w:rsid w:val="4F3B332E"/>
    <w:rsid w:val="4F576D80"/>
    <w:rsid w:val="4F691C49"/>
    <w:rsid w:val="4FCB2904"/>
    <w:rsid w:val="50146059"/>
    <w:rsid w:val="502F7728"/>
    <w:rsid w:val="508E1C44"/>
    <w:rsid w:val="51031C29"/>
    <w:rsid w:val="51C15CED"/>
    <w:rsid w:val="52285DEB"/>
    <w:rsid w:val="5234061B"/>
    <w:rsid w:val="52660640"/>
    <w:rsid w:val="52AD62F0"/>
    <w:rsid w:val="52B71D90"/>
    <w:rsid w:val="5395624B"/>
    <w:rsid w:val="53A94D0A"/>
    <w:rsid w:val="53C413DF"/>
    <w:rsid w:val="54534E56"/>
    <w:rsid w:val="546308FE"/>
    <w:rsid w:val="54696247"/>
    <w:rsid w:val="56336B0D"/>
    <w:rsid w:val="56730257"/>
    <w:rsid w:val="56FE59C9"/>
    <w:rsid w:val="5705494D"/>
    <w:rsid w:val="570D735E"/>
    <w:rsid w:val="571B2674"/>
    <w:rsid w:val="57961DE6"/>
    <w:rsid w:val="581D5CC6"/>
    <w:rsid w:val="5852110B"/>
    <w:rsid w:val="589917F1"/>
    <w:rsid w:val="59B241EC"/>
    <w:rsid w:val="5A5E27F6"/>
    <w:rsid w:val="5A704801"/>
    <w:rsid w:val="5A8C5E4D"/>
    <w:rsid w:val="5AD563E4"/>
    <w:rsid w:val="5AED2A9A"/>
    <w:rsid w:val="5AFF7905"/>
    <w:rsid w:val="5B9A28A3"/>
    <w:rsid w:val="5D755C5D"/>
    <w:rsid w:val="5D9E1657"/>
    <w:rsid w:val="5E225DE5"/>
    <w:rsid w:val="5E257683"/>
    <w:rsid w:val="5E7802BC"/>
    <w:rsid w:val="5EE078B0"/>
    <w:rsid w:val="5F0D5523"/>
    <w:rsid w:val="5F2346ED"/>
    <w:rsid w:val="60123DBB"/>
    <w:rsid w:val="61086613"/>
    <w:rsid w:val="61686204"/>
    <w:rsid w:val="620D0B5A"/>
    <w:rsid w:val="62917095"/>
    <w:rsid w:val="630E06E5"/>
    <w:rsid w:val="63E35FAE"/>
    <w:rsid w:val="6408782B"/>
    <w:rsid w:val="64405216"/>
    <w:rsid w:val="64552F93"/>
    <w:rsid w:val="65322CBF"/>
    <w:rsid w:val="65510D5D"/>
    <w:rsid w:val="65611660"/>
    <w:rsid w:val="65B35574"/>
    <w:rsid w:val="65C658ED"/>
    <w:rsid w:val="65F65A9E"/>
    <w:rsid w:val="66580C43"/>
    <w:rsid w:val="67340937"/>
    <w:rsid w:val="68615BE8"/>
    <w:rsid w:val="68AB09CD"/>
    <w:rsid w:val="68CC52CB"/>
    <w:rsid w:val="68DE4FFE"/>
    <w:rsid w:val="691B0000"/>
    <w:rsid w:val="694B58D7"/>
    <w:rsid w:val="69CE4E15"/>
    <w:rsid w:val="69E40817"/>
    <w:rsid w:val="69F05BDC"/>
    <w:rsid w:val="6A1A18D5"/>
    <w:rsid w:val="6B005ED4"/>
    <w:rsid w:val="6B3E7E06"/>
    <w:rsid w:val="6B7F3246"/>
    <w:rsid w:val="6BF904A6"/>
    <w:rsid w:val="6CA24691"/>
    <w:rsid w:val="6CB5251A"/>
    <w:rsid w:val="6CD429A0"/>
    <w:rsid w:val="6D48513C"/>
    <w:rsid w:val="6D4F2026"/>
    <w:rsid w:val="6EF07839"/>
    <w:rsid w:val="6F617936"/>
    <w:rsid w:val="6F63000B"/>
    <w:rsid w:val="6FCF0C72"/>
    <w:rsid w:val="6FDE7D18"/>
    <w:rsid w:val="6FEC37FA"/>
    <w:rsid w:val="70913631"/>
    <w:rsid w:val="70B035AE"/>
    <w:rsid w:val="71500A63"/>
    <w:rsid w:val="717C1858"/>
    <w:rsid w:val="72A921D9"/>
    <w:rsid w:val="72B56DCF"/>
    <w:rsid w:val="72E964BC"/>
    <w:rsid w:val="735C7C42"/>
    <w:rsid w:val="735F4F8D"/>
    <w:rsid w:val="737E18B7"/>
    <w:rsid w:val="746C1710"/>
    <w:rsid w:val="74D07EF1"/>
    <w:rsid w:val="74EA0887"/>
    <w:rsid w:val="75B570E6"/>
    <w:rsid w:val="75BF3AC1"/>
    <w:rsid w:val="75FD4171"/>
    <w:rsid w:val="7706409E"/>
    <w:rsid w:val="7797777E"/>
    <w:rsid w:val="780A1873"/>
    <w:rsid w:val="781A59DF"/>
    <w:rsid w:val="782548D3"/>
    <w:rsid w:val="787D11B8"/>
    <w:rsid w:val="78A771BA"/>
    <w:rsid w:val="78AC6820"/>
    <w:rsid w:val="78B158B9"/>
    <w:rsid w:val="78C23FF4"/>
    <w:rsid w:val="78DF4BA6"/>
    <w:rsid w:val="792C5912"/>
    <w:rsid w:val="799E73D6"/>
    <w:rsid w:val="7B8657AD"/>
    <w:rsid w:val="7BC23097"/>
    <w:rsid w:val="7C623C46"/>
    <w:rsid w:val="7CBA4FE2"/>
    <w:rsid w:val="7CBC51FE"/>
    <w:rsid w:val="7CD57FDE"/>
    <w:rsid w:val="7D06612B"/>
    <w:rsid w:val="7D670F65"/>
    <w:rsid w:val="7D80447E"/>
    <w:rsid w:val="7D807FDA"/>
    <w:rsid w:val="7DD81BC4"/>
    <w:rsid w:val="7E880152"/>
    <w:rsid w:val="7E8B30DA"/>
    <w:rsid w:val="7E98034C"/>
    <w:rsid w:val="7F2776D3"/>
    <w:rsid w:val="7F8B1935"/>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7"/>
    <w:qFormat/>
    <w:uiPriority w:val="0"/>
    <w:rPr>
      <w:rFonts w:hint="eastAsia" w:ascii="宋体" w:hAnsi="宋体" w:eastAsia="宋体" w:cs="宋体"/>
      <w:color w:val="000000"/>
      <w:sz w:val="24"/>
      <w:szCs w:val="24"/>
      <w:u w:val="none"/>
    </w:rPr>
  </w:style>
  <w:style w:type="character" w:customStyle="1" w:styleId="11">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1586</Words>
  <Characters>1934</Characters>
  <Lines>1</Lines>
  <Paragraphs>1</Paragraphs>
  <ScaleCrop>false</ScaleCrop>
  <LinksUpToDate>false</LinksUpToDate>
  <CharactersWithSpaces>2150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0123</cp:lastModifiedBy>
  <cp:lastPrinted>2025-02-10T08:56:00Z</cp:lastPrinted>
  <dcterms:modified xsi:type="dcterms:W3CDTF">2025-05-30T08:26:37Z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y fmtid="{D5CDD505-2E9C-101B-9397-08002B2CF9AE}" pid="3" name="ICV">
    <vt:lpwstr>0D4DE24AE1AF488EB5CE5F1234482630_13</vt:lpwstr>
  </property>
  <property fmtid="{D5CDD505-2E9C-101B-9397-08002B2CF9AE}" pid="4" name="KSOTemplateDocerSaveRecord">
    <vt:lpwstr>eyJoZGlkIjoiNjVjMDZlYzlmMGJhOTliMzdlMmFmYWRkYzFlZTZkYWYiLCJ1c2VySWQiOiI3MzMyODU0NjQifQ==</vt:lpwstr>
  </property>
</Properties>
</file>