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eastAsia="zh-CN"/>
        </w:rPr>
        <w:t>呼图壁县人工影响天气办公室</w:t>
      </w:r>
      <w:r>
        <w:rPr>
          <w:rFonts w:hint="eastAsia" w:ascii="方正小标宋_GBK" w:hAnsi="宋体" w:eastAsia="方正小标宋_GBK"/>
          <w:color w:val="auto"/>
          <w:kern w:val="0"/>
          <w:sz w:val="44"/>
          <w:szCs w:val="44"/>
          <w:highlight w:val="none"/>
          <w:lang w:val="en-US" w:eastAsia="zh-CN"/>
        </w:rPr>
        <w:t>2025年</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年呼图壁县人工影响天气办公室</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年呼图壁县人工影响天气办公室预算公开表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pStyle w:val="2"/>
        <w:rPr>
          <w:rFonts w:hint="eastAsia" w:ascii="仿宋_GB2312" w:hAnsi="仿宋_GB2312" w:eastAsia="仿宋_GB2312" w:cs="仿宋_GB2312"/>
          <w:b/>
          <w:color w:val="auto"/>
          <w:kern w:val="0"/>
          <w:sz w:val="32"/>
          <w:szCs w:val="32"/>
          <w:highlight w:val="none"/>
        </w:rPr>
      </w:pPr>
    </w:p>
    <w:p>
      <w:pPr>
        <w:pStyle w:val="2"/>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呼图壁县人工影响天气办公室</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呼图壁县人工影响天气办公室隶属于呼图壁县人民政府办公室，属于地方政府机构，办公地点设在气象局，由呼图壁县气象局指导具体业务工作。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呼图壁县人工影响天气办公室主要负责呼图壁县人工影响天气作业计划的制定和实施工作，为呼图壁县建设和呼图壁县居民提供人工影响天气服务。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47.11</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44.72</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44.72</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lang w:eastAsia="zh-CN"/>
              </w:rPr>
            </w:pPr>
            <w:r>
              <w:rPr>
                <w:rFonts w:hint="eastAsia" w:ascii="仿宋_GB2312" w:hAnsi="宋体" w:eastAsia="仿宋_GB2312" w:cs="宋体"/>
                <w:color w:val="auto"/>
                <w:kern w:val="0"/>
                <w:sz w:val="20"/>
                <w:szCs w:val="20"/>
                <w:highlight w:val="none"/>
                <w:shd w:val="clear" w:color="auto" w:fill="auto"/>
              </w:rPr>
              <w:t>2.</w:t>
            </w: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r>
              <w:rPr>
                <w:rFonts w:hint="eastAsia" w:ascii="仿宋_GB2312" w:hAnsi="宋体" w:eastAsia="仿宋_GB2312" w:cs="宋体"/>
                <w:color w:val="auto"/>
                <w:kern w:val="0"/>
                <w:sz w:val="20"/>
                <w:szCs w:val="20"/>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2.31</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2.39</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215 资源勘探</w:t>
            </w:r>
            <w:r>
              <w:rPr>
                <w:rFonts w:hint="eastAsia" w:ascii="仿宋_GB2312" w:hAnsi="宋体" w:eastAsia="仿宋_GB2312" w:cs="宋体"/>
                <w:color w:val="auto"/>
                <w:kern w:val="0"/>
                <w:sz w:val="20"/>
                <w:szCs w:val="20"/>
                <w:highlight w:val="none"/>
                <w:lang w:val="en-US" w:eastAsia="zh-Hans"/>
              </w:rPr>
              <w:t>工业</w:t>
            </w:r>
            <w:r>
              <w:rPr>
                <w:rFonts w:hint="eastAsia" w:ascii="仿宋_GB2312" w:hAnsi="宋体" w:eastAsia="仿宋_GB2312" w:cs="宋体"/>
                <w:color w:val="auto"/>
                <w:kern w:val="0"/>
                <w:sz w:val="20"/>
                <w:szCs w:val="20"/>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2.39</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41.40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2.24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224</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47.11</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47.11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10260" w:type="dxa"/>
        <w:tblInd w:w="-712" w:type="dxa"/>
        <w:tblLayout w:type="fixed"/>
        <w:tblCellMar>
          <w:top w:w="0" w:type="dxa"/>
          <w:left w:w="108" w:type="dxa"/>
          <w:bottom w:w="0" w:type="dxa"/>
          <w:right w:w="108" w:type="dxa"/>
        </w:tblCellMar>
      </w:tblPr>
      <w:tblGrid>
        <w:gridCol w:w="525"/>
        <w:gridCol w:w="450"/>
        <w:gridCol w:w="450"/>
        <w:gridCol w:w="1095"/>
        <w:gridCol w:w="735"/>
        <w:gridCol w:w="750"/>
        <w:gridCol w:w="765"/>
        <w:gridCol w:w="630"/>
        <w:gridCol w:w="345"/>
        <w:gridCol w:w="675"/>
        <w:gridCol w:w="630"/>
        <w:gridCol w:w="705"/>
        <w:gridCol w:w="630"/>
        <w:gridCol w:w="660"/>
        <w:gridCol w:w="510"/>
        <w:gridCol w:w="705"/>
      </w:tblGrid>
      <w:tr>
        <w:tblPrEx>
          <w:tblCellMar>
            <w:top w:w="0" w:type="dxa"/>
            <w:left w:w="108" w:type="dxa"/>
            <w:bottom w:w="0" w:type="dxa"/>
            <w:right w:w="108" w:type="dxa"/>
          </w:tblCellMar>
        </w:tblPrEx>
        <w:trPr>
          <w:trHeight w:val="697" w:hRule="atLeast"/>
        </w:trPr>
        <w:tc>
          <w:tcPr>
            <w:tcW w:w="14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0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2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社会保障和就业支出</w:t>
            </w:r>
          </w:p>
        </w:tc>
        <w:tc>
          <w:tcPr>
            <w:tcW w:w="7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2.31</w:t>
            </w:r>
          </w:p>
        </w:tc>
        <w:tc>
          <w:tcPr>
            <w:tcW w:w="7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0.99</w:t>
            </w: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0.99</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1.98</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66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0.33</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0.33</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1.16</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1.16</w:t>
            </w: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0.82</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0.66</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0.66</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自然资源海洋气象等支出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41.40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41.40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气象事业机构</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20.90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气象服务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住房保障支出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住房改革支出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tabs>
                <w:tab w:val="left" w:pos="207"/>
              </w:tabs>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7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47.11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44.72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44.72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2.39</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93"/>
        <w:gridCol w:w="465"/>
        <w:gridCol w:w="660"/>
        <w:gridCol w:w="2940"/>
        <w:gridCol w:w="1620"/>
        <w:gridCol w:w="1485"/>
        <w:gridCol w:w="1657"/>
      </w:tblGrid>
      <w:tr>
        <w:tblPrEx>
          <w:tblCellMar>
            <w:top w:w="0" w:type="dxa"/>
            <w:left w:w="108" w:type="dxa"/>
            <w:bottom w:w="0" w:type="dxa"/>
            <w:right w:w="108" w:type="dxa"/>
          </w:tblCellMar>
        </w:tblPrEx>
        <w:trPr>
          <w:trHeight w:val="328" w:hRule="atLeast"/>
        </w:trPr>
        <w:tc>
          <w:tcPr>
            <w:tcW w:w="46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6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71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9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9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4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社会保障和就业支出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行政事业单位养老支出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机关事业单位基本养老保险缴费支出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1.98</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1.98</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06</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机关事业单位职业年金缴费支出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卫生健康支出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行政事业单位医疗</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02</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事业单位医疗</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0.82</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0.82</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03</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公务员医疗补助</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99</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其他行政事业单位医疗支出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自然资源海洋气象等支出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41.40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气象事务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41.40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04</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气象事业机构</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09</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气象服务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148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住房保障支出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住房改革支出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01</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住房公积金</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46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294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48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47.11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26.61</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20.50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呼图壁县人工影响天气办公室</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1014"/>
        <w:gridCol w:w="971"/>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7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Hans"/>
              </w:rPr>
              <w:t>一、</w:t>
            </w:r>
            <w:r>
              <w:rPr>
                <w:rFonts w:hint="eastAsia" w:ascii="仿宋_GB2312" w:hAnsi="宋体" w:eastAsia="仿宋_GB2312" w:cs="宋体"/>
                <w:color w:val="auto"/>
                <w:kern w:val="0"/>
                <w:sz w:val="20"/>
                <w:szCs w:val="20"/>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44.72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00" w:firstLineChars="100"/>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44.72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r>
              <w:rPr>
                <w:rFonts w:hint="default" w:ascii="仿宋_GB2312" w:hAnsi="宋体" w:eastAsia="仿宋_GB2312" w:cs="宋体"/>
                <w:color w:val="auto"/>
                <w:kern w:val="0"/>
                <w:sz w:val="20"/>
                <w:szCs w:val="20"/>
                <w:highlight w:val="none"/>
              </w:rPr>
              <w:t xml:space="preserve">  </w:t>
            </w:r>
            <w:r>
              <w:rPr>
                <w:rFonts w:hint="eastAsia" w:ascii="仿宋_GB2312" w:hAnsi="宋体" w:eastAsia="仿宋_GB2312" w:cs="宋体"/>
                <w:color w:val="auto"/>
                <w:kern w:val="0"/>
                <w:sz w:val="20"/>
                <w:szCs w:val="20"/>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r>
              <w:rPr>
                <w:rFonts w:hint="default" w:ascii="仿宋_GB2312" w:hAnsi="宋体" w:eastAsia="仿宋_GB2312" w:cs="宋体"/>
                <w:color w:val="auto"/>
                <w:kern w:val="0"/>
                <w:sz w:val="20"/>
                <w:szCs w:val="20"/>
                <w:highlight w:val="none"/>
              </w:rPr>
              <w:t xml:space="preserve">  </w:t>
            </w:r>
            <w:r>
              <w:rPr>
                <w:rFonts w:hint="eastAsia" w:ascii="仿宋_GB2312" w:hAnsi="宋体" w:eastAsia="仿宋_GB2312" w:cs="宋体"/>
                <w:color w:val="auto"/>
                <w:kern w:val="0"/>
                <w:sz w:val="20"/>
                <w:szCs w:val="20"/>
                <w:highlight w:val="none"/>
              </w:rPr>
              <w:t>国有资本经营预算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1.32</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1.32</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210</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1.00</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1.00</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211 节能环保支出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212 城乡社区支出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213 农林水支出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214 交通运输支出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215 资源勘探</w:t>
            </w:r>
            <w:r>
              <w:rPr>
                <w:rFonts w:hint="eastAsia" w:ascii="仿宋_GB2312" w:hAnsi="宋体" w:eastAsia="仿宋_GB2312" w:cs="宋体"/>
                <w:b w:val="0"/>
                <w:bCs w:val="0"/>
                <w:color w:val="auto"/>
                <w:kern w:val="0"/>
                <w:sz w:val="20"/>
                <w:szCs w:val="20"/>
                <w:highlight w:val="none"/>
                <w:lang w:val="en-US" w:eastAsia="zh-Hans"/>
              </w:rPr>
              <w:t>工业</w:t>
            </w:r>
            <w:r>
              <w:rPr>
                <w:rFonts w:hint="eastAsia" w:ascii="仿宋_GB2312" w:hAnsi="宋体" w:eastAsia="仿宋_GB2312" w:cs="宋体"/>
                <w:b w:val="0"/>
                <w:bCs w:val="0"/>
                <w:color w:val="auto"/>
                <w:kern w:val="0"/>
                <w:sz w:val="20"/>
                <w:szCs w:val="20"/>
                <w:highlight w:val="none"/>
              </w:rPr>
              <w:t>信息等支出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217 金融支出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41.29</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41.29</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1.12</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1.12</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224</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230</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44.72</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44.72</w:t>
            </w:r>
            <w:r>
              <w:rPr>
                <w:rFonts w:hint="eastAsia" w:ascii="仿宋_GB2312" w:hAnsi="仿宋_GB2312" w:eastAsia="仿宋_GB2312" w:cs="仿宋_GB2312"/>
                <w:b/>
                <w:bCs/>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44.72</w:t>
            </w:r>
          </w:p>
        </w:tc>
        <w:tc>
          <w:tcPr>
            <w:tcW w:w="2105" w:type="dxa"/>
            <w:gridSpan w:val="2"/>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67"/>
        <w:gridCol w:w="510"/>
        <w:gridCol w:w="525"/>
        <w:gridCol w:w="2385"/>
        <w:gridCol w:w="1684"/>
        <w:gridCol w:w="216"/>
        <w:gridCol w:w="1626"/>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0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8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val="0"/>
                <w:bCs/>
                <w:color w:val="auto"/>
                <w:kern w:val="0"/>
                <w:sz w:val="20"/>
                <w:szCs w:val="20"/>
                <w:highlight w:val="none"/>
                <w:lang w:val="en-US" w:eastAsia="zh-CN"/>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社会保障和就业支出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行政事业单位养老支出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机关事业单位基本养老保险缴费支出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卫生健康支出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行政事业单位医疗</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事业单位医疗</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0.66</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公务员医疗补助</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0.33</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0.33</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99</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其他行政事业单位医疗支出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0.01</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自然资源海洋气象等支出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41.29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气象事务</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41.29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04</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气象事业机构</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09</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气象服务</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住房保障支出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住房改革支出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01</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住房公积金</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u w:val="none"/>
                <w:lang w:val="en-US" w:eastAsia="zh-CN" w:bidi="ar"/>
              </w:rPr>
              <w:t>44.72</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u w:val="none"/>
                <w:lang w:val="en-US" w:eastAsia="zh-CN" w:bidi="ar"/>
              </w:rPr>
              <w:t>24.22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u w:val="none"/>
                <w:lang w:val="en-US" w:eastAsia="zh-CN" w:bidi="ar"/>
              </w:rPr>
              <w:t>20.50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12.84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12.84</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2.80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2.80</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1.19</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3.02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3.02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08</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1.32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10</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0.66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0.66</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12</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0.08</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13</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11.39</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04</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手续费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0.03</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16</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培训费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0.04</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26</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劳务费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11.16</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28</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0.16</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b/>
                <w:bCs/>
                <w:color w:val="auto"/>
                <w:kern w:val="0"/>
                <w:sz w:val="20"/>
                <w:szCs w:val="20"/>
                <w:highlight w:val="none"/>
                <w:lang w:val="en-US"/>
              </w:rPr>
            </w:pPr>
            <w:r>
              <w:rPr>
                <w:rFonts w:hint="eastAsia" w:ascii="仿宋_GB2312" w:hAnsi="仿宋_GB2312" w:eastAsia="仿宋_GB2312" w:cs="仿宋_GB2312"/>
                <w:b/>
                <w:bCs/>
                <w:i w:val="0"/>
                <w:color w:val="auto"/>
                <w:kern w:val="0"/>
                <w:sz w:val="20"/>
                <w:szCs w:val="20"/>
                <w:u w:val="none"/>
                <w:lang w:val="en-US" w:eastAsia="zh-CN" w:bidi="ar"/>
              </w:rPr>
              <w:t>24.22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12.84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11.39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0208" w:type="dxa"/>
        <w:tblInd w:w="-735" w:type="dxa"/>
        <w:tblLayout w:type="fixed"/>
        <w:tblCellMar>
          <w:top w:w="0" w:type="dxa"/>
          <w:left w:w="108" w:type="dxa"/>
          <w:bottom w:w="0" w:type="dxa"/>
          <w:right w:w="108" w:type="dxa"/>
        </w:tblCellMar>
      </w:tblPr>
      <w:tblGrid>
        <w:gridCol w:w="8"/>
        <w:gridCol w:w="615"/>
        <w:gridCol w:w="465"/>
        <w:gridCol w:w="465"/>
        <w:gridCol w:w="1215"/>
        <w:gridCol w:w="1575"/>
        <w:gridCol w:w="840"/>
        <w:gridCol w:w="345"/>
        <w:gridCol w:w="780"/>
        <w:gridCol w:w="360"/>
        <w:gridCol w:w="312"/>
        <w:gridCol w:w="379"/>
        <w:gridCol w:w="359"/>
        <w:gridCol w:w="405"/>
        <w:gridCol w:w="555"/>
        <w:gridCol w:w="465"/>
        <w:gridCol w:w="690"/>
        <w:gridCol w:w="375"/>
      </w:tblGrid>
      <w:tr>
        <w:tblPrEx>
          <w:tblCellMar>
            <w:top w:w="0" w:type="dxa"/>
            <w:left w:w="108" w:type="dxa"/>
            <w:bottom w:w="0" w:type="dxa"/>
            <w:right w:w="108" w:type="dxa"/>
          </w:tblCellMar>
        </w:tblPrEx>
        <w:trPr>
          <w:gridBefore w:val="1"/>
          <w:wBefore w:w="8" w:type="dxa"/>
          <w:trHeight w:val="375" w:hRule="atLeast"/>
        </w:trPr>
        <w:tc>
          <w:tcPr>
            <w:tcW w:w="1020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8" w:type="dxa"/>
          <w:trHeight w:val="405" w:hRule="atLeast"/>
        </w:trPr>
        <w:tc>
          <w:tcPr>
            <w:tcW w:w="7351" w:type="dxa"/>
            <w:gridSpan w:val="11"/>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p>
        </w:tc>
        <w:tc>
          <w:tcPr>
            <w:tcW w:w="284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53"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7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3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6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2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21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lang w:eastAsia="zh-Hans"/>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自然资源海洋气象等支出</w:t>
            </w:r>
          </w:p>
        </w:tc>
        <w:tc>
          <w:tcPr>
            <w:tcW w:w="157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气象事务</w:t>
            </w:r>
          </w:p>
        </w:tc>
        <w:tc>
          <w:tcPr>
            <w:tcW w:w="157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09</w:t>
            </w: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气象服务</w:t>
            </w:r>
          </w:p>
        </w:tc>
        <w:tc>
          <w:tcPr>
            <w:tcW w:w="157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人工影响天气火箭弹及相关作业费用（非定额）</w:t>
            </w: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40" w:type="dxa"/>
            <w:noWrap w:val="0"/>
            <w:vAlign w:val="center"/>
          </w:tcPr>
          <w:p>
            <w:pPr>
              <w:widowControl/>
              <w:spacing w:line="240" w:lineRule="auto"/>
              <w:jc w:val="both"/>
              <w:outlineLvl w:val="1"/>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20.50</w:t>
            </w:r>
          </w:p>
        </w:tc>
        <w:tc>
          <w:tcPr>
            <w:tcW w:w="345" w:type="dxa"/>
            <w:noWrap w:val="0"/>
            <w:vAlign w:val="center"/>
          </w:tcPr>
          <w:p>
            <w:pPr>
              <w:widowControl/>
              <w:spacing w:line="240" w:lineRule="auto"/>
              <w:jc w:val="both"/>
              <w:outlineLvl w:val="1"/>
              <w:rPr>
                <w:rFonts w:hint="eastAsia" w:ascii="仿宋_GB2312" w:hAnsi="仿宋_GB2312" w:eastAsia="仿宋_GB2312" w:cs="仿宋_GB2312"/>
                <w:b/>
                <w:bCs/>
                <w:color w:val="auto"/>
                <w:kern w:val="0"/>
                <w:sz w:val="20"/>
                <w:szCs w:val="20"/>
                <w:highlight w:val="none"/>
              </w:rPr>
            </w:pPr>
          </w:p>
        </w:tc>
        <w:tc>
          <w:tcPr>
            <w:tcW w:w="780" w:type="dxa"/>
            <w:noWrap w:val="0"/>
            <w:vAlign w:val="center"/>
          </w:tcPr>
          <w:p>
            <w:pPr>
              <w:widowControl/>
              <w:spacing w:line="240" w:lineRule="auto"/>
              <w:jc w:val="both"/>
              <w:outlineLvl w:val="1"/>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“三公”经费预算拨款安排的支出，</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“三公”经费支出情况表为空表。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备注：呼图壁县人工影响天气办公室2025年无上年结转结余预算的支出，结转结余预算支出情况表为空表。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呼图壁县人工影响天气办公室202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支出预算包括：社会保障和就业支出、卫生健康支出、自然资源海洋气象等支出、住房保障支出等。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一般公共预算44.72万元，占</w:t>
      </w:r>
      <w:r>
        <w:rPr>
          <w:rFonts w:hint="eastAsia" w:ascii="仿宋_GB2312" w:hAnsi="宋体" w:eastAsia="仿宋_GB2312" w:cs="宋体"/>
          <w:color w:val="auto"/>
          <w:kern w:val="0"/>
          <w:sz w:val="32"/>
          <w:szCs w:val="32"/>
          <w:highlight w:val="none"/>
          <w:lang w:val="en-US" w:eastAsia="zh-CN"/>
        </w:rPr>
        <w:t>94.93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21.06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89.01%，主要原因是本年度新增人工影响天气火箭弹及相关作业费用（非定额）项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社保基数调整。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26.61</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56.48</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0.62</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lang w:eastAsia="zh-CN"/>
        </w:rPr>
        <w:t>主要原因是社保基数调整。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43.52</w:t>
      </w:r>
      <w:r>
        <w:rPr>
          <w:rFonts w:hint="eastAsia" w:ascii="仿宋_GB2312" w:hAnsi="宋体" w:eastAsia="仿宋_GB2312" w:cs="宋体"/>
          <w:color w:val="auto"/>
          <w:kern w:val="0"/>
          <w:sz w:val="32"/>
          <w:szCs w:val="32"/>
          <w:highlight w:val="none"/>
          <w:lang w:eastAsia="zh-CN"/>
        </w:rPr>
        <w:t>%，比上</w:t>
      </w:r>
      <w:r>
        <w:rPr>
          <w:rFonts w:hint="eastAsia" w:ascii="仿宋_GB2312" w:hAnsi="宋体" w:eastAsia="仿宋_GB2312" w:cs="宋体"/>
          <w:color w:val="auto"/>
          <w:kern w:val="0"/>
          <w:sz w:val="32"/>
          <w:szCs w:val="32"/>
          <w:highlight w:val="none"/>
        </w:rPr>
        <w:t>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44.72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44.72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1.32</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在编人员社保</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在编人员医保</w:t>
      </w:r>
      <w:r>
        <w:rPr>
          <w:rFonts w:hint="eastAsia" w:ascii="仿宋_GB2312" w:hAnsi="宋体" w:eastAsia="仿宋_GB2312" w:cs="宋体"/>
          <w:color w:val="auto"/>
          <w:kern w:val="0"/>
          <w:sz w:val="32"/>
          <w:szCs w:val="32"/>
          <w:highlight w:val="none"/>
        </w:rPr>
        <w:t>。自然资源海洋气象等支出</w:t>
      </w:r>
      <w:r>
        <w:rPr>
          <w:rFonts w:hint="eastAsia" w:ascii="仿宋_GB2312" w:hAnsi="宋体" w:eastAsia="仿宋_GB2312" w:cs="宋体"/>
          <w:color w:val="auto"/>
          <w:kern w:val="0"/>
          <w:sz w:val="32"/>
          <w:szCs w:val="32"/>
          <w:highlight w:val="none"/>
          <w:lang w:val="en-US" w:eastAsia="zh-CN"/>
        </w:rPr>
        <w:t>41.29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在编人员基本工资、公用经费和</w:t>
      </w:r>
      <w:r>
        <w:rPr>
          <w:rFonts w:hint="eastAsia" w:ascii="仿宋_GB2312" w:hAnsi="宋体" w:eastAsia="仿宋_GB2312" w:cs="宋体"/>
          <w:color w:val="auto"/>
          <w:kern w:val="0"/>
          <w:sz w:val="32"/>
          <w:szCs w:val="32"/>
          <w:highlight w:val="none"/>
          <w:lang w:val="en-US" w:eastAsia="zh-CN"/>
        </w:rPr>
        <w:t>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。住房保障支出1.1</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44.72</w:t>
      </w:r>
      <w:r>
        <w:rPr>
          <w:rFonts w:hint="eastAsia" w:ascii="仿宋_GB2312" w:hAnsi="仿宋_GB2312" w:eastAsia="仿宋_GB2312" w:cs="仿宋_GB2312"/>
          <w:color w:val="auto"/>
          <w:kern w:val="0"/>
          <w:sz w:val="32"/>
          <w:szCs w:val="32"/>
          <w:highlight w:val="none"/>
        </w:rPr>
        <w:t>万元，其中：</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24.22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社保基数调整</w:t>
      </w:r>
      <w:r>
        <w:rPr>
          <w:rFonts w:hint="eastAsia" w:ascii="仿宋_GB2312" w:hAnsi="宋体" w:eastAsia="仿宋_GB2312" w:cs="宋体"/>
          <w:color w:val="auto"/>
          <w:kern w:val="0"/>
          <w:sz w:val="32"/>
          <w:szCs w:val="32"/>
          <w:highlight w:val="none"/>
          <w:lang w:val="en-US" w:eastAsia="zh-CN"/>
        </w:rPr>
        <w:t>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45.84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1.社会保障和就业（类）1.3</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2.95</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2.卫生健康（</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2.24</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3.自然资源海洋气象等</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41.29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92.33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4.住房保障</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1.12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2.50</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1.32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2.卫生健康支出（类）行政事业单位医疗（款）事业单位医疗（项）: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0.66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.卫生健康支出（类）行政事业单位医疗（款）公务员医疗补助（项）: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0.33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0.15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83.33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医保基数调整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预算数为0.01万元，比上年预算增加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本部门只有一个在编人员，2024年和2025年大病医疗金额未发生变化</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.自然资源海洋气象等支出（类）气象事务（款）气象事业机构（项）: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20.79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0.37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编外人员医保社保基数调整</w:t>
      </w:r>
      <w:r>
        <w:rPr>
          <w:rFonts w:hint="eastAsia" w:ascii="仿宋_GB2312" w:hAnsi="仿宋_GB2312" w:eastAsia="仿宋_GB2312" w:cs="仿宋_GB2312"/>
          <w:color w:val="auto"/>
          <w:kern w:val="0"/>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6.自然资源海洋气象等支出（类）气象事务（款）气象服务（项）:2025年预算数为20.50万元，比上年预算增加20.5万元，增长100%，主要原因是：本年度新增人工影响天气火箭弹及相关作业费用（非定额）项目。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.住房保障支出（类）住房改革支出（款）住房公积金（项）: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9.09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24.22</w:t>
      </w:r>
      <w:r>
        <w:rPr>
          <w:rFonts w:hint="eastAsia" w:ascii="仿宋_GB2312" w:hAnsi="宋体" w:eastAsia="仿宋_GB2312" w:cs="宋体"/>
          <w:color w:val="auto"/>
          <w:spacing w:val="-6"/>
          <w:kern w:val="0"/>
          <w:sz w:val="32"/>
          <w:szCs w:val="32"/>
          <w:highlight w:val="none"/>
        </w:rPr>
        <w:t>万元，其中：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12.83</w:t>
      </w:r>
      <w:r>
        <w:rPr>
          <w:rFonts w:hint="eastAsia" w:ascii="仿宋_GB2312" w:hAnsi="宋体" w:eastAsia="仿宋_GB2312" w:cs="宋体"/>
          <w:color w:val="auto"/>
          <w:kern w:val="0"/>
          <w:sz w:val="32"/>
          <w:szCs w:val="32"/>
          <w:highlight w:val="none"/>
        </w:rPr>
        <w:t>万元</w:t>
      </w:r>
      <w:bookmarkStart w:id="1" w:name="_GoBack"/>
      <w:bookmarkEnd w:id="1"/>
      <w:r>
        <w:rPr>
          <w:rFonts w:hint="eastAsia" w:ascii="仿宋_GB2312" w:hAnsi="宋体" w:eastAsia="仿宋_GB2312" w:cs="宋体"/>
          <w:color w:val="auto"/>
          <w:kern w:val="0"/>
          <w:sz w:val="32"/>
          <w:szCs w:val="32"/>
          <w:highlight w:val="none"/>
        </w:rPr>
        <w:t>，主要包括：基本工资、津贴补贴、奖金、绩效工资、机关事业单位基本养老保险缴费、职工基本医疗保险缴费、公务员医疗补助缴费、其他社会保障缴费、住房公积金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11.39</w:t>
      </w:r>
      <w:r>
        <w:rPr>
          <w:rFonts w:hint="eastAsia" w:ascii="仿宋_GB2312" w:hAnsi="宋体" w:eastAsia="仿宋_GB2312" w:cs="宋体"/>
          <w:color w:val="auto"/>
          <w:kern w:val="0"/>
          <w:sz w:val="32"/>
          <w:szCs w:val="32"/>
          <w:highlight w:val="none"/>
        </w:rPr>
        <w:t>万元，主要包括：手续费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培训费、劳务费、工会经费</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人工影响天气火箭弹及相关作业费用（非定额）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新政办发〔2021〕5号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《关于印发推进新疆人工影响天气工作高质量发展实施方案的通知》、国办发〔2020〕47号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《国务院办公厅关于推进人工影响天气工作高质量发展的意见》</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w:t>
      </w: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呼图壁县人工影响天气办公室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专用材料费</w:t>
      </w:r>
      <w:r>
        <w:rPr>
          <w:rFonts w:hint="eastAsia" w:ascii="仿宋_GB2312" w:hAnsi="黑体" w:eastAsia="仿宋_GB2312"/>
          <w:color w:val="auto"/>
          <w:sz w:val="32"/>
          <w:szCs w:val="32"/>
          <w:highlight w:val="none"/>
          <w:lang w:val="en-US" w:eastAsia="zh-CN"/>
        </w:rPr>
        <w:t>19.80万元、委托业务费0.30万元、培训费0.40万元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主要原因是因公出国（境）费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主要原因是公务用车购置费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主要原因是公务用车运行费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主要原因是公务接待费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仿宋_GB2312" w:eastAsia="仿宋_GB2312" w:cs="仿宋_GB2312"/>
          <w:color w:val="auto"/>
          <w:kern w:val="0"/>
          <w:sz w:val="32"/>
          <w:szCs w:val="32"/>
          <w:highlight w:val="none"/>
          <w:lang w:val="en-US" w:eastAsia="zh-CN"/>
        </w:rPr>
        <w:t>11.39</w:t>
      </w:r>
      <w:r>
        <w:rPr>
          <w:rFonts w:hint="eastAsia" w:ascii="仿宋_GB2312" w:hAnsi="仿宋_GB2312" w:eastAsia="仿宋_GB2312" w:cs="仿宋_GB2312"/>
          <w:color w:val="auto"/>
          <w:kern w:val="0"/>
          <w:sz w:val="32"/>
          <w:szCs w:val="32"/>
          <w:highlight w:val="none"/>
          <w:lang w:eastAsia="zh-CN"/>
        </w:rPr>
        <w:t>万元，比上年预算增加</w:t>
      </w:r>
      <w:r>
        <w:rPr>
          <w:rFonts w:hint="eastAsia" w:ascii="仿宋_GB2312" w:hAnsi="仿宋_GB2312" w:eastAsia="仿宋_GB2312" w:cs="仿宋_GB2312"/>
          <w:color w:val="auto"/>
          <w:kern w:val="0"/>
          <w:sz w:val="32"/>
          <w:szCs w:val="32"/>
          <w:highlight w:val="none"/>
          <w:lang w:val="en-US" w:eastAsia="zh-CN"/>
        </w:rPr>
        <w:t>11.04</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3154.29</w:t>
      </w:r>
      <w:r>
        <w:rPr>
          <w:rFonts w:hint="eastAsia" w:ascii="仿宋_GB2312" w:hAnsi="仿宋_GB2312" w:eastAsia="仿宋_GB2312" w:cs="仿宋_GB2312"/>
          <w:color w:val="auto"/>
          <w:kern w:val="0"/>
          <w:sz w:val="32"/>
          <w:szCs w:val="32"/>
          <w:highlight w:val="none"/>
          <w:lang w:eastAsia="zh-CN"/>
        </w:rPr>
        <w:t>%。主要原因是将编外人员经费由其他工资福利支出调整为劳务费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呼图壁县人工影响天气办公室面向中小企业预留政府采购项目预算金额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lang w:eastAsia="zh-CN"/>
        </w:rPr>
        <w:t>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整体预算绩效目标1个，涉及预算金额47.11万元；当年预算安排项目共1个，其中: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涉及预算金额20.50万元；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488"/>
        <w:gridCol w:w="14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9340" w:type="dxa"/>
            <w:gridSpan w:val="6"/>
            <w:tcBorders>
              <w:top w:val="nil"/>
              <w:left w:val="nil"/>
              <w:bottom w:val="nil"/>
              <w:right w:val="nil"/>
            </w:tcBorders>
            <w:noWrap w:val="0"/>
            <w:vAlign w:val="center"/>
          </w:tcPr>
          <w:p>
            <w:pPr>
              <w:pStyle w:val="2"/>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李念铎</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13179941750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把防灾减灾放在工作首位，通过拟定2025年人工影响天气工作思路，抓住一切有利天气，组织实施人工增雨抗旱作业，增加工程蓄水，使我县旱情可以得到最大限度地缓解，并降低森林火险等级，为我县农牧业生产提供人工影响天气服务。开展员工的技能培训，增强单位员工作业能力，保证人工增水任务的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人工影响天气作业合格率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&gt;=80%</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人工影响天气作业次数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&gt;=2次</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人工影响天气技能培训人次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&gt;=2人</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人工增水及时率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&gt;=90%</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20</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237" w:tblpY="3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78"/>
        <w:gridCol w:w="840"/>
        <w:gridCol w:w="99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人工影响天气火箭弹及相关作业费用（非定额）</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20.5万元用于完成2025年人工增雨火箭弹的购买和运输，补充火箭弹库存，完成人员的培训工作。通过项目的实施，增加了旱季的降水，减少越冬作物的损失。促进我县人工增水作业能力和保障农业生产的发展，助力冬小麦顺利越冬。完善了我县防灾减灾综合防御能力的能力和生态保护机制，改善了旱情，增加了水土活力，降低了森林火险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人工影响天气作业次数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购买弹药消耗量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&gt;=60枚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=60枚</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作业装备维护次数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=5次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单次作业平均增加积雪厚度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&gt;=5厘米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=5厘米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7</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作业人员培训覆盖率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作业信息上报及时率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人工增雨火箭弹采购标准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&lt;=1980元/枚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=1980元/枚</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有效缓解夏季干旱和增加冬季降雪量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有效缓解</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有效缓解</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满意度指标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群众满意度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&gt;=95%</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满意度赋分</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面向中小企业预留政府采购项目预算金额、小微企业预留政府采购项目预算金额</w:t>
      </w:r>
      <w:r>
        <w:rPr>
          <w:rFonts w:hint="eastAsia" w:ascii="仿宋_GB2312" w:hAnsi="仿宋_GB2312" w:eastAsia="仿宋_GB2312" w:cs="仿宋_GB2312"/>
          <w:color w:val="auto"/>
          <w:kern w:val="0"/>
          <w:sz w:val="32"/>
          <w:szCs w:val="32"/>
          <w:highlight w:val="none"/>
          <w:lang w:val="en-US" w:eastAsia="zh-CN"/>
        </w:rPr>
        <w:t>为0万元，主要原因是本年度无政府采购金额。</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呼图壁县人工影响天气办公室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A1A3DB"/>
    <w:multiLevelType w:val="singleLevel"/>
    <w:tmpl w:val="CFA1A3DB"/>
    <w:lvl w:ilvl="0" w:tentative="0">
      <w:start w:val="5"/>
      <w:numFmt w:val="chineseCounting"/>
      <w:suff w:val="nothing"/>
      <w:lvlText w:val="（%1）"/>
      <w:lvlJc w:val="left"/>
      <w:rPr>
        <w:rFonts w:hint="eastAsia"/>
      </w:rPr>
    </w:lvl>
  </w:abstractNum>
  <w:abstractNum w:abstractNumId="1">
    <w:nsid w:val="44029B34"/>
    <w:multiLevelType w:val="singleLevel"/>
    <w:tmpl w:val="44029B34"/>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323BAA"/>
    <w:rsid w:val="02732F8E"/>
    <w:rsid w:val="02A547B0"/>
    <w:rsid w:val="02CB7F49"/>
    <w:rsid w:val="037800D1"/>
    <w:rsid w:val="04267087"/>
    <w:rsid w:val="04267B2D"/>
    <w:rsid w:val="044C330C"/>
    <w:rsid w:val="048D33F9"/>
    <w:rsid w:val="05397FD9"/>
    <w:rsid w:val="057A5F58"/>
    <w:rsid w:val="05CA273A"/>
    <w:rsid w:val="070E6657"/>
    <w:rsid w:val="080E3E4F"/>
    <w:rsid w:val="084451C2"/>
    <w:rsid w:val="08450B28"/>
    <w:rsid w:val="08762705"/>
    <w:rsid w:val="08830D45"/>
    <w:rsid w:val="088F5575"/>
    <w:rsid w:val="08E81855"/>
    <w:rsid w:val="0A4168EC"/>
    <w:rsid w:val="0AD672A7"/>
    <w:rsid w:val="0B247F12"/>
    <w:rsid w:val="0B7C3034"/>
    <w:rsid w:val="0B841FFD"/>
    <w:rsid w:val="0BD56A2F"/>
    <w:rsid w:val="0C0A3890"/>
    <w:rsid w:val="0CC82626"/>
    <w:rsid w:val="0CD20198"/>
    <w:rsid w:val="0CEC568C"/>
    <w:rsid w:val="0D6E5FD0"/>
    <w:rsid w:val="0E320E7D"/>
    <w:rsid w:val="0E9208E7"/>
    <w:rsid w:val="0FD71269"/>
    <w:rsid w:val="0FDA3F2D"/>
    <w:rsid w:val="10587512"/>
    <w:rsid w:val="105D0E37"/>
    <w:rsid w:val="10916BDA"/>
    <w:rsid w:val="11036B00"/>
    <w:rsid w:val="11301FEB"/>
    <w:rsid w:val="11B6451D"/>
    <w:rsid w:val="121E62E8"/>
    <w:rsid w:val="1697741D"/>
    <w:rsid w:val="177665FA"/>
    <w:rsid w:val="19A215AC"/>
    <w:rsid w:val="1A132B78"/>
    <w:rsid w:val="1AC437A4"/>
    <w:rsid w:val="1B153D26"/>
    <w:rsid w:val="1BEB54C3"/>
    <w:rsid w:val="1C3C6084"/>
    <w:rsid w:val="1C8C02F2"/>
    <w:rsid w:val="1D3E1AFE"/>
    <w:rsid w:val="1E011704"/>
    <w:rsid w:val="1E6432D4"/>
    <w:rsid w:val="1E89232D"/>
    <w:rsid w:val="1EB55B06"/>
    <w:rsid w:val="1EB61656"/>
    <w:rsid w:val="20407429"/>
    <w:rsid w:val="20CF3CE4"/>
    <w:rsid w:val="20DD55C0"/>
    <w:rsid w:val="22922CB8"/>
    <w:rsid w:val="22DB78DD"/>
    <w:rsid w:val="232542EF"/>
    <w:rsid w:val="244D65B8"/>
    <w:rsid w:val="2492221D"/>
    <w:rsid w:val="24B42D8E"/>
    <w:rsid w:val="250855AF"/>
    <w:rsid w:val="258B383C"/>
    <w:rsid w:val="263B7010"/>
    <w:rsid w:val="26B4291F"/>
    <w:rsid w:val="26BD282A"/>
    <w:rsid w:val="26E769FA"/>
    <w:rsid w:val="2781228F"/>
    <w:rsid w:val="281C777E"/>
    <w:rsid w:val="286D65BC"/>
    <w:rsid w:val="28D9041B"/>
    <w:rsid w:val="293B2E83"/>
    <w:rsid w:val="2AFC4894"/>
    <w:rsid w:val="2B3A05DE"/>
    <w:rsid w:val="2B452C72"/>
    <w:rsid w:val="2B6901C6"/>
    <w:rsid w:val="2C396135"/>
    <w:rsid w:val="2D480265"/>
    <w:rsid w:val="2D977453"/>
    <w:rsid w:val="2E2943BA"/>
    <w:rsid w:val="2EAE0CD0"/>
    <w:rsid w:val="2EC97183"/>
    <w:rsid w:val="2EF22236"/>
    <w:rsid w:val="2F242CC8"/>
    <w:rsid w:val="2FED29FE"/>
    <w:rsid w:val="300E1D4A"/>
    <w:rsid w:val="30B05F05"/>
    <w:rsid w:val="310F3573"/>
    <w:rsid w:val="32D560F7"/>
    <w:rsid w:val="33A76F60"/>
    <w:rsid w:val="341E7629"/>
    <w:rsid w:val="35F117C8"/>
    <w:rsid w:val="369D2051"/>
    <w:rsid w:val="37C01999"/>
    <w:rsid w:val="37F50983"/>
    <w:rsid w:val="38284F1B"/>
    <w:rsid w:val="387A5EEE"/>
    <w:rsid w:val="39B0409D"/>
    <w:rsid w:val="3A9611AB"/>
    <w:rsid w:val="3A9740AB"/>
    <w:rsid w:val="3BE45FB7"/>
    <w:rsid w:val="3BF21AC7"/>
    <w:rsid w:val="3C013037"/>
    <w:rsid w:val="3CE67E01"/>
    <w:rsid w:val="3F3570C3"/>
    <w:rsid w:val="3FDF4D23"/>
    <w:rsid w:val="41083B3B"/>
    <w:rsid w:val="41270465"/>
    <w:rsid w:val="41DB2FFE"/>
    <w:rsid w:val="42BD0D86"/>
    <w:rsid w:val="42F779C3"/>
    <w:rsid w:val="4311394F"/>
    <w:rsid w:val="43502DA9"/>
    <w:rsid w:val="43C26223"/>
    <w:rsid w:val="43D8307E"/>
    <w:rsid w:val="44507CD3"/>
    <w:rsid w:val="44AF5181"/>
    <w:rsid w:val="455A018C"/>
    <w:rsid w:val="45B5383C"/>
    <w:rsid w:val="465A52A5"/>
    <w:rsid w:val="46B02CAB"/>
    <w:rsid w:val="46CE3131"/>
    <w:rsid w:val="47461F7B"/>
    <w:rsid w:val="481F6B78"/>
    <w:rsid w:val="48DC0A69"/>
    <w:rsid w:val="493059DD"/>
    <w:rsid w:val="494F7907"/>
    <w:rsid w:val="4ADF73DC"/>
    <w:rsid w:val="4B1B26BD"/>
    <w:rsid w:val="4B315A3D"/>
    <w:rsid w:val="4C0055E5"/>
    <w:rsid w:val="4C3677AE"/>
    <w:rsid w:val="4C706B3A"/>
    <w:rsid w:val="4EB41DFF"/>
    <w:rsid w:val="4EF65FBA"/>
    <w:rsid w:val="4F3B332E"/>
    <w:rsid w:val="4FBA1399"/>
    <w:rsid w:val="51C15CED"/>
    <w:rsid w:val="51DA09C9"/>
    <w:rsid w:val="52285DEB"/>
    <w:rsid w:val="52AD62F0"/>
    <w:rsid w:val="534D13A9"/>
    <w:rsid w:val="53A94D0A"/>
    <w:rsid w:val="546308FE"/>
    <w:rsid w:val="56FE59C9"/>
    <w:rsid w:val="570D735E"/>
    <w:rsid w:val="571B2674"/>
    <w:rsid w:val="589917F1"/>
    <w:rsid w:val="59B241EC"/>
    <w:rsid w:val="5A20105F"/>
    <w:rsid w:val="5A5E27F6"/>
    <w:rsid w:val="5A704801"/>
    <w:rsid w:val="5A8C5E4D"/>
    <w:rsid w:val="5AED2A9A"/>
    <w:rsid w:val="5BB93C0A"/>
    <w:rsid w:val="5D9E1657"/>
    <w:rsid w:val="5E225DE5"/>
    <w:rsid w:val="5E257683"/>
    <w:rsid w:val="5E7802BC"/>
    <w:rsid w:val="5EE078B0"/>
    <w:rsid w:val="5F0D5523"/>
    <w:rsid w:val="5F2346ED"/>
    <w:rsid w:val="61086613"/>
    <w:rsid w:val="61686204"/>
    <w:rsid w:val="62917095"/>
    <w:rsid w:val="62972262"/>
    <w:rsid w:val="630E06E5"/>
    <w:rsid w:val="6408782B"/>
    <w:rsid w:val="65322CBF"/>
    <w:rsid w:val="65996EA3"/>
    <w:rsid w:val="65B35574"/>
    <w:rsid w:val="65C658ED"/>
    <w:rsid w:val="66E93CBA"/>
    <w:rsid w:val="675D114C"/>
    <w:rsid w:val="68CC52CB"/>
    <w:rsid w:val="68DE4FFE"/>
    <w:rsid w:val="691B0000"/>
    <w:rsid w:val="694B58D7"/>
    <w:rsid w:val="69CE4E15"/>
    <w:rsid w:val="6B3E7E06"/>
    <w:rsid w:val="6B7F3246"/>
    <w:rsid w:val="6BF904A6"/>
    <w:rsid w:val="6CB5251A"/>
    <w:rsid w:val="6CD429A0"/>
    <w:rsid w:val="6DB44E77"/>
    <w:rsid w:val="6EF07839"/>
    <w:rsid w:val="6F63000B"/>
    <w:rsid w:val="6FCF0C72"/>
    <w:rsid w:val="71500A63"/>
    <w:rsid w:val="717C1858"/>
    <w:rsid w:val="72B56DCF"/>
    <w:rsid w:val="72E964BC"/>
    <w:rsid w:val="735C7C42"/>
    <w:rsid w:val="746D1B69"/>
    <w:rsid w:val="74D07EF1"/>
    <w:rsid w:val="75B570E6"/>
    <w:rsid w:val="75BF3AC1"/>
    <w:rsid w:val="75E31C2E"/>
    <w:rsid w:val="7706409E"/>
    <w:rsid w:val="7797777E"/>
    <w:rsid w:val="780A1873"/>
    <w:rsid w:val="787D11B8"/>
    <w:rsid w:val="78A771BA"/>
    <w:rsid w:val="78AC6820"/>
    <w:rsid w:val="792C5912"/>
    <w:rsid w:val="79CB6702"/>
    <w:rsid w:val="7CBA4FE2"/>
    <w:rsid w:val="7D06612B"/>
    <w:rsid w:val="7E880152"/>
    <w:rsid w:val="7E8B30DA"/>
    <w:rsid w:val="7EE94F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2029</Words>
  <Characters>2552</Characters>
  <Lines>0</Lines>
  <Paragraphs>0</Paragraphs>
  <TotalTime>1</TotalTime>
  <ScaleCrop>false</ScaleCrop>
  <LinksUpToDate>false</LinksUpToDate>
  <CharactersWithSpaces>2813</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2025-02-11T08:16:00Z</cp:lastPrinted>
  <dcterms:modified xsi:type="dcterms:W3CDTF">2025-06-01T04:27:49Z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6CA0FF2B32BB4F0683288E4840055C97_13</vt:lpwstr>
  </property>
  <property fmtid="{D5CDD505-2E9C-101B-9397-08002B2CF9AE}" pid="4" name="KSOTemplateDocerSaveRecord">
    <vt:lpwstr>eyJoZGlkIjoiN2EyMTIxNTJlMjY2NjM5NjdjYmYwZjVhYjA4ZGEwODEiLCJ1c2VySWQiOiI0MjYzNjAxNTMifQ==</vt:lpwstr>
  </property>
</Properties>
</file>