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center"/>
        <w:outlineLvl w:val="1"/>
        <w:rPr>
          <w:rFonts w:hint="eastAsia"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呼图壁县呼图壁镇人民政府</w:t>
      </w:r>
    </w:p>
    <w:p>
      <w:pPr>
        <w:widowControl/>
        <w:spacing w:line="440" w:lineRule="exact"/>
        <w:jc w:val="center"/>
        <w:outlineLvl w:val="1"/>
        <w:rPr>
          <w:rFonts w:hint="eastAsia" w:ascii="黑体" w:hAnsi="黑体" w:eastAsia="黑体"/>
          <w:color w:val="auto"/>
          <w:kern w:val="0"/>
          <w:sz w:val="36"/>
          <w:szCs w:val="32"/>
          <w:highlight w:val="none"/>
        </w:rPr>
      </w:pPr>
      <w:r>
        <w:rPr>
          <w:rFonts w:hint="eastAsia" w:ascii="方正小标宋_GBK" w:hAnsi="宋体" w:eastAsia="方正小标宋_GBK"/>
          <w:kern w:val="0"/>
          <w:sz w:val="44"/>
          <w:szCs w:val="44"/>
          <w:highlight w:val="none"/>
        </w:rPr>
        <w:t>202</w:t>
      </w:r>
      <w:r>
        <w:rPr>
          <w:rFonts w:hint="eastAsia" w:ascii="方正小标宋_GBK" w:hAnsi="宋体" w:eastAsia="方正小标宋_GBK"/>
          <w:kern w:val="0"/>
          <w:sz w:val="44"/>
          <w:szCs w:val="44"/>
          <w:highlight w:val="none"/>
          <w:lang w:val="en-US" w:eastAsia="zh-CN"/>
        </w:rPr>
        <w:t>5</w:t>
      </w:r>
      <w:r>
        <w:rPr>
          <w:rFonts w:hint="eastAsia" w:ascii="方正小标宋_GBK" w:hAnsi="宋体" w:eastAsia="方正小标宋_GBK"/>
          <w:kern w:val="0"/>
          <w:sz w:val="44"/>
          <w:szCs w:val="44"/>
          <w:highlight w:val="none"/>
        </w:rPr>
        <w:t>年</w:t>
      </w:r>
      <w:r>
        <w:rPr>
          <w:rFonts w:hint="eastAsia" w:ascii="方正小标宋_GBK" w:hAnsi="宋体" w:eastAsia="方正小标宋_GBK"/>
          <w:kern w:val="0"/>
          <w:sz w:val="44"/>
          <w:szCs w:val="44"/>
          <w:highlight w:val="none"/>
          <w:lang w:eastAsia="zh-CN"/>
        </w:rPr>
        <w:t>部门</w:t>
      </w:r>
      <w:r>
        <w:rPr>
          <w:rFonts w:hint="eastAsia" w:ascii="方正小标宋_GBK" w:hAnsi="宋体" w:eastAsia="方正小标宋_GBK"/>
          <w:kern w:val="0"/>
          <w:sz w:val="44"/>
          <w:szCs w:val="44"/>
          <w:highlight w:val="none"/>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宋体" w:eastAsia="仿宋_GB2312"/>
          <w:b/>
          <w:kern w:val="0"/>
          <w:sz w:val="32"/>
          <w:szCs w:val="32"/>
          <w:highlight w:val="none"/>
        </w:rPr>
        <w:t>呼图壁县</w:t>
      </w:r>
      <w:r>
        <w:rPr>
          <w:rFonts w:hint="eastAsia" w:ascii="仿宋_GB2312" w:hAnsi="仿宋_GB2312" w:eastAsia="仿宋_GB2312" w:cs="仿宋_GB2312"/>
          <w:b/>
          <w:sz w:val="32"/>
          <w:szCs w:val="32"/>
          <w:highlight w:val="none"/>
        </w:rPr>
        <w:t>呼图壁镇人民政府</w:t>
      </w:r>
      <w:r>
        <w:rPr>
          <w:rFonts w:hint="eastAsia" w:ascii="仿宋_GB2312" w:hAnsi="仿宋_GB2312" w:eastAsia="仿宋_GB2312" w:cs="仿宋_GB2312"/>
          <w:b/>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年呼图壁县呼图壁镇人民政府部门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 w:hAnsi="仿宋" w:eastAsia="仿宋" w:cs="仿宋_GB2312"/>
          <w:sz w:val="32"/>
          <w:szCs w:val="32"/>
          <w:highlight w:val="none"/>
        </w:rPr>
        <w:t>呼图壁县呼图壁镇人民政府是</w:t>
      </w:r>
      <w:r>
        <w:rPr>
          <w:rFonts w:hint="eastAsia" w:ascii="仿宋" w:hAnsi="仿宋" w:eastAsia="仿宋" w:cs="仿宋_GB2312"/>
          <w:kern w:val="1"/>
          <w:sz w:val="32"/>
          <w:szCs w:val="32"/>
          <w:highlight w:val="none"/>
        </w:rPr>
        <w:t>执行本级人民代表大会的决意和上级国家行政机关的决定和命令，发布决定和命令。执行本行政区域内的经济和社会发展计划，预算，管理本级行政区域内的经济，教育，科学，文化，卫生，体育事业和财政，民政，公安，司法行政，计划生育等行政工作。办理上级人民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FF0000"/>
          <w:kern w:val="0"/>
          <w:sz w:val="32"/>
          <w:szCs w:val="32"/>
          <w:highlight w:val="none"/>
        </w:rPr>
      </w:pPr>
      <w:r>
        <w:rPr>
          <w:rFonts w:hint="eastAsia" w:ascii="仿宋_GB2312" w:hAnsi="黑体" w:eastAsia="仿宋_GB2312" w:cs="宋体"/>
          <w:bCs/>
          <w:color w:val="auto"/>
          <w:kern w:val="0"/>
          <w:sz w:val="32"/>
          <w:szCs w:val="32"/>
          <w:highlight w:val="none"/>
        </w:rPr>
        <w:t>呼图壁县呼图壁镇人民政府无下属预算单位，下设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社会事务服务中心（退役军人服务站）、党群服务中心、综治和网格化中心、经济发展中心</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呼图壁县呼图壁镇人民政府</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113</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125</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96</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pStyle w:val="5"/>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：呼图壁县呼图壁镇人民政府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6830.15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6069.76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4189.62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4185.72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3.90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40.53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174.89</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40.53</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216.79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2600.00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2600.00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8.20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8.20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7.16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329.39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1.04</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41.57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6838.36</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6838.36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：呼图壁县呼图壁镇人民政府         单位：万元</w:t>
      </w:r>
    </w:p>
    <w:tbl>
      <w:tblPr>
        <w:tblStyle w:val="7"/>
        <w:tblW w:w="9860" w:type="dxa"/>
        <w:tblInd w:w="-650" w:type="dxa"/>
        <w:tblLayout w:type="fixed"/>
        <w:tblCellMar>
          <w:top w:w="0" w:type="dxa"/>
          <w:left w:w="108" w:type="dxa"/>
          <w:bottom w:w="0" w:type="dxa"/>
          <w:right w:w="108" w:type="dxa"/>
        </w:tblCellMar>
      </w:tblPr>
      <w:tblGrid>
        <w:gridCol w:w="519"/>
        <w:gridCol w:w="462"/>
        <w:gridCol w:w="473"/>
        <w:gridCol w:w="850"/>
        <w:gridCol w:w="810"/>
        <w:gridCol w:w="1063"/>
        <w:gridCol w:w="934"/>
        <w:gridCol w:w="508"/>
        <w:gridCol w:w="404"/>
        <w:gridCol w:w="392"/>
        <w:gridCol w:w="635"/>
        <w:gridCol w:w="704"/>
        <w:gridCol w:w="580"/>
        <w:gridCol w:w="600"/>
        <w:gridCol w:w="608"/>
        <w:gridCol w:w="318"/>
      </w:tblGrid>
      <w:tr>
        <w:tblPrEx>
          <w:tblCellMar>
            <w:top w:w="0" w:type="dxa"/>
            <w:left w:w="108" w:type="dxa"/>
            <w:bottom w:w="0" w:type="dxa"/>
            <w:right w:w="108" w:type="dxa"/>
          </w:tblCellMar>
        </w:tblPrEx>
        <w:trPr>
          <w:trHeight w:val="697" w:hRule="atLeast"/>
        </w:trPr>
        <w:tc>
          <w:tcPr>
            <w:tcW w:w="145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4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0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19"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2"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73"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6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0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9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0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1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473"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一般公共服务支出</w:t>
            </w:r>
          </w:p>
        </w:tc>
        <w:tc>
          <w:tcPr>
            <w:tcW w:w="81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6069.76</w:t>
            </w:r>
          </w:p>
        </w:tc>
        <w:tc>
          <w:tcPr>
            <w:tcW w:w="106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3763.65</w:t>
            </w:r>
          </w:p>
        </w:tc>
        <w:tc>
          <w:tcPr>
            <w:tcW w:w="93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3763.65</w:t>
            </w:r>
          </w:p>
        </w:tc>
        <w:tc>
          <w:tcPr>
            <w:tcW w:w="50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2300</w:t>
            </w:r>
          </w:p>
        </w:tc>
        <w:tc>
          <w:tcPr>
            <w:tcW w:w="60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6.11</w:t>
            </w:r>
          </w:p>
        </w:tc>
        <w:tc>
          <w:tcPr>
            <w:tcW w:w="31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人大事务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0.61</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0.61</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其他人大事务支出</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0.61</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0.61</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政府办公厅（室）及相关机构事务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5496.25</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3193.75</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3193.75</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2300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行政运行</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2254.28</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2254.28</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2254.28</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一般行政管理事务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2102.5</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2.5</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事业运行</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1139.47</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839.47</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839.47</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rPr>
              <w:t>300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纪检监察事务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24.9</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24.9</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24.9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其他纪检监察事务支出</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24.9</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24.9</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24.9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组织事务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548</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545</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545</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201</w:t>
            </w: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w:t>
            </w: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其他组织事务支出</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548</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545</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545</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3</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文化旅游体育与传媒支出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4.96</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kern w:val="2"/>
                <w:sz w:val="18"/>
                <w:szCs w:val="18"/>
                <w:highlight w:val="none"/>
                <w:lang w:val="en-US" w:eastAsia="zh-CN" w:bidi="ar-SA"/>
              </w:rPr>
              <w:t>3.9</w:t>
            </w: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1.06</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文化和旅游</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kern w:val="2"/>
                <w:sz w:val="18"/>
                <w:szCs w:val="18"/>
                <w:highlight w:val="none"/>
                <w:lang w:val="en-US" w:eastAsia="zh-CN" w:bidi="ar-SA"/>
              </w:rPr>
              <w:t>3.9</w:t>
            </w: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wordWrap w:val="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其他文化和旅游支出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kern w:val="2"/>
                <w:sz w:val="18"/>
                <w:szCs w:val="18"/>
                <w:highlight w:val="none"/>
                <w:lang w:val="en-US" w:eastAsia="zh-CN" w:bidi="ar-SA"/>
              </w:rPr>
              <w:t>3.9</w:t>
            </w: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426"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207</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其他文化旅游体育与传媒支出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1.06</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1.06</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207</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99</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文化产业发展专项支出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1.06</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1.06</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社会保障和就业支出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174.89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173.89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173.89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s="Times New Roman"/>
                <w:color w:val="auto"/>
                <w:kern w:val="2"/>
                <w:sz w:val="18"/>
                <w:szCs w:val="18"/>
                <w:highlight w:val="none"/>
                <w:lang w:val="en-US" w:eastAsia="zh-CN" w:bidi="ar-SA"/>
              </w:rPr>
              <w:t>1</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行政事业单位养老支出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174.89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173.89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173.89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s="Times New Roman"/>
                <w:color w:val="auto"/>
                <w:kern w:val="2"/>
                <w:sz w:val="18"/>
                <w:szCs w:val="18"/>
                <w:highlight w:val="none"/>
                <w:lang w:val="en-US" w:eastAsia="zh-CN" w:bidi="ar-SA"/>
              </w:rPr>
              <w:t>1</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事业单位离退休</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18.14</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18.14</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18.14</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208</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05</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156.75</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155.75</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155.75</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216.79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117.79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117.79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216.79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117.79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117.79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行政单位医疗</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115.81</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17.81</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17.81</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98</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事业单位医疗</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60.06</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60.06</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60.06</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39.94</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38.94</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38.94</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0.97</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0.97</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0.97</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329.39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129.39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129.39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329.39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129.39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129.39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221</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329.39</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129.39</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129.39</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223</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国有资本经营预算支出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41.57</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40.53</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40.53</w:t>
            </w: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1.04</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223</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解决历史遗留问题及改革成本支出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41.57</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40.53</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40.53</w:t>
            </w: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1.04</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223</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国有企业退休人员社会化管理补助支出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41.57</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40.53</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40.53</w:t>
            </w: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1.04</w:t>
            </w: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灾害防治及应急管理支出</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r>
              <w:rPr>
                <w:rFonts w:hint="eastAsia" w:ascii="仿宋_GB2312" w:eastAsia="仿宋_GB2312"/>
                <w:color w:val="auto"/>
                <w:sz w:val="18"/>
                <w:szCs w:val="18"/>
                <w:highlight w:val="none"/>
              </w:rPr>
              <w:t>1</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224</w:t>
            </w: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消防救援事务</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6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73"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消防应急救援</w:t>
            </w: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rPr>
              <w:t>1</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48"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6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7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8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81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106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93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330" w:hRule="atLeast"/>
        </w:trPr>
        <w:tc>
          <w:tcPr>
            <w:tcW w:w="519"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7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w:t>
            </w:r>
          </w:p>
        </w:tc>
        <w:tc>
          <w:tcPr>
            <w:tcW w:w="8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6838.36</w:t>
            </w:r>
          </w:p>
        </w:tc>
        <w:tc>
          <w:tcPr>
            <w:tcW w:w="106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4230.15</w:t>
            </w:r>
          </w:p>
        </w:tc>
        <w:tc>
          <w:tcPr>
            <w:tcW w:w="93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418</w:t>
            </w:r>
            <w:r>
              <w:rPr>
                <w:rFonts w:hint="eastAsia" w:ascii="仿宋_GB2312" w:eastAsia="仿宋_GB2312"/>
                <w:b/>
                <w:bCs/>
                <w:color w:val="auto"/>
                <w:sz w:val="18"/>
                <w:szCs w:val="18"/>
                <w:highlight w:val="none"/>
                <w:lang w:val="en-US" w:eastAsia="zh-CN"/>
              </w:rPr>
              <w:t>5</w:t>
            </w:r>
            <w:r>
              <w:rPr>
                <w:rFonts w:hint="eastAsia" w:ascii="仿宋_GB2312" w:eastAsia="仿宋_GB2312"/>
                <w:b/>
                <w:bCs/>
                <w:color w:val="auto"/>
                <w:sz w:val="18"/>
                <w:szCs w:val="18"/>
                <w:highlight w:val="none"/>
              </w:rPr>
              <w:t>.</w:t>
            </w:r>
            <w:r>
              <w:rPr>
                <w:rFonts w:hint="eastAsia" w:ascii="仿宋_GB2312" w:eastAsia="仿宋_GB2312"/>
                <w:b/>
                <w:bCs/>
                <w:color w:val="auto"/>
                <w:sz w:val="18"/>
                <w:szCs w:val="18"/>
                <w:highlight w:val="none"/>
                <w:lang w:val="en-US" w:eastAsia="zh-CN"/>
              </w:rPr>
              <w:t>7</w:t>
            </w:r>
            <w:r>
              <w:rPr>
                <w:rFonts w:hint="eastAsia" w:ascii="仿宋_GB2312" w:eastAsia="仿宋_GB2312"/>
                <w:b/>
                <w:bCs/>
                <w:color w:val="auto"/>
                <w:sz w:val="18"/>
                <w:szCs w:val="18"/>
                <w:highlight w:val="none"/>
              </w:rPr>
              <w:t>2</w:t>
            </w:r>
          </w:p>
        </w:tc>
        <w:tc>
          <w:tcPr>
            <w:tcW w:w="50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3.9</w:t>
            </w:r>
          </w:p>
        </w:tc>
        <w:tc>
          <w:tcPr>
            <w:tcW w:w="4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39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6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7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40.53</w:t>
            </w:r>
          </w:p>
        </w:tc>
        <w:tc>
          <w:tcPr>
            <w:tcW w:w="5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2600</w:t>
            </w:r>
          </w:p>
        </w:tc>
        <w:tc>
          <w:tcPr>
            <w:tcW w:w="60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r>
              <w:rPr>
                <w:rFonts w:hint="eastAsia" w:ascii="仿宋_GB2312" w:eastAsia="仿宋_GB2312"/>
                <w:b/>
                <w:bCs/>
                <w:color w:val="auto"/>
                <w:sz w:val="18"/>
                <w:szCs w:val="18"/>
                <w:highlight w:val="none"/>
              </w:rPr>
              <w:t>8.2</w:t>
            </w:r>
          </w:p>
          <w:p/>
        </w:tc>
        <w:tc>
          <w:tcPr>
            <w:tcW w:w="31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呼图壁县呼图壁镇人民政府</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：呼图壁县呼图壁镇人民政府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2549"/>
        <w:gridCol w:w="1824"/>
        <w:gridCol w:w="1825"/>
        <w:gridCol w:w="1872"/>
      </w:tblGrid>
      <w:tr>
        <w:tblPrEx>
          <w:tblCellMar>
            <w:top w:w="0" w:type="dxa"/>
            <w:left w:w="108" w:type="dxa"/>
            <w:bottom w:w="0" w:type="dxa"/>
            <w:right w:w="108" w:type="dxa"/>
          </w:tblCellMar>
        </w:tblPrEx>
        <w:trPr>
          <w:trHeight w:val="328" w:hRule="atLeast"/>
        </w:trPr>
        <w:tc>
          <w:tcPr>
            <w:tcW w:w="389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一般公共服务支出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6069.76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3393.75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2676.01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人大事务</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0.61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0.61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其他人大事务支出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0.61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0.61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政府办公厅（室）及相关机构事务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5496.25</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3393.75</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2102.50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行政运行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2254.28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2254.28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一般行政管理事务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2102.50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2102.50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事业运行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1139.47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1139.47</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纪检监察事务</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24.90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24.90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其他纪检监察事务支出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24.90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24.90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组织事务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548.00　</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548.00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其他组织事务支出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548.00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548.00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文化旅游体育与传媒支出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4.96</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4.96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文化和旅游</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207</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其他文化和旅游支出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207</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其他文化旅游体育与传媒支出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1.06</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207</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文化产业发展专项支出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1.06</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社会保障和就业支出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174.89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174.89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行政事业单位养老支出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174.89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174.89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事业单位离退休</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18.14</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18.14</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156.75</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156.75</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卫生健康支出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216.79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216.79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216.79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216.79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行政单位医疗</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115.81</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115.81</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事业单位医疗</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60.06</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60.06</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公务员医疗补助</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39.94</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39.94</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0.97</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0.97</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329.39</w:t>
            </w: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国有资本经营预算支出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41.57</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41.57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解决历史遗留问题及改革成本支出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41.57</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41.57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国有企业退休人员社会化管理补助支出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41.57</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41.57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灾害防治及应急管理支出</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1.00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消防救援事务　</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1.00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54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消防应急救援</w:t>
            </w:r>
          </w:p>
        </w:tc>
        <w:tc>
          <w:tcPr>
            <w:tcW w:w="182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1.00</w:t>
            </w:r>
          </w:p>
        </w:tc>
        <w:tc>
          <w:tcPr>
            <w:tcW w:w="18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187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rPr>
              <w:t>1.00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4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6838.36</w:t>
            </w:r>
          </w:p>
        </w:tc>
        <w:tc>
          <w:tcPr>
            <w:tcW w:w="18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4114.82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2723.54</w:t>
            </w:r>
          </w:p>
        </w:tc>
      </w:tr>
    </w:tbl>
    <w:p>
      <w:pPr>
        <w:jc w:val="center"/>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：呼图壁县呼图壁镇人民政府</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850"/>
        <w:gridCol w:w="986"/>
        <w:gridCol w:w="2448"/>
        <w:gridCol w:w="986"/>
        <w:gridCol w:w="986"/>
        <w:gridCol w:w="1088"/>
        <w:gridCol w:w="8"/>
        <w:gridCol w:w="1097"/>
      </w:tblGrid>
      <w:tr>
        <w:tblPrEx>
          <w:tblCellMar>
            <w:top w:w="0" w:type="dxa"/>
            <w:left w:w="108" w:type="dxa"/>
            <w:bottom w:w="0" w:type="dxa"/>
            <w:right w:w="108" w:type="dxa"/>
          </w:tblCellMar>
        </w:tblPrEx>
        <w:trPr>
          <w:trHeight w:val="285" w:hRule="atLeast"/>
        </w:trPr>
        <w:tc>
          <w:tcPr>
            <w:tcW w:w="278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66" w:type="dxa"/>
            <w:gridSpan w:val="6"/>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2"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4230.15</w:t>
            </w: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3763.65</w:t>
            </w: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3769.76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4189.62</w:t>
            </w: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1"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40.53</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3.9</w:t>
            </w: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3.9</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173.89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173.89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117.79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117.79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129.39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129.39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40.53</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40.53</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12"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22"/>
                <w:szCs w:val="22"/>
                <w:highlight w:val="none"/>
                <w:lang w:val="en-US" w:eastAsia="zh-CN"/>
              </w:rPr>
              <w:t>4230.15</w:t>
            </w:r>
            <w:r>
              <w:rPr>
                <w:rFonts w:hint="eastAsia" w:ascii="仿宋_GB2312" w:hAnsi="宋体" w:eastAsia="仿宋_GB2312" w:cs="宋体"/>
                <w:b/>
                <w:bCs/>
                <w:color w:val="auto"/>
                <w:kern w:val="0"/>
                <w:sz w:val="20"/>
                <w:szCs w:val="20"/>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4230.15</w:t>
            </w:r>
            <w:r>
              <w:rPr>
                <w:rFonts w:hint="eastAsia" w:ascii="宋体" w:hAnsi="宋体" w:cs="宋体"/>
                <w:color w:val="auto"/>
                <w:kern w:val="0"/>
                <w:sz w:val="22"/>
                <w:szCs w:val="22"/>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4189.62</w:t>
            </w:r>
            <w:r>
              <w:rPr>
                <w:rFonts w:hint="eastAsia" w:ascii="宋体" w:hAnsi="宋体" w:cs="宋体"/>
                <w:color w:val="auto"/>
                <w:kern w:val="0"/>
                <w:sz w:val="22"/>
                <w:szCs w:val="22"/>
                <w:highlight w:val="none"/>
              </w:rPr>
              <w:t>　</w:t>
            </w:r>
          </w:p>
        </w:tc>
        <w:tc>
          <w:tcPr>
            <w:tcW w:w="1108" w:type="dxa"/>
            <w:gridSpan w:val="2"/>
            <w:tcBorders>
              <w:top w:val="single" w:color="auto" w:sz="4" w:space="0"/>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40.53</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9"/>
        <w:gridCol w:w="499"/>
        <w:gridCol w:w="502"/>
        <w:gridCol w:w="2495"/>
        <w:gridCol w:w="656"/>
        <w:gridCol w:w="1019"/>
        <w:gridCol w:w="215"/>
        <w:gridCol w:w="1617"/>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71"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：呼图壁县呼图壁镇人民政府</w:t>
            </w: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一般公共服务支出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lang w:val="en-US" w:eastAsia="zh-CN"/>
              </w:rPr>
            </w:pPr>
            <w:r>
              <w:rPr>
                <w:rFonts w:hint="eastAsia"/>
              </w:rPr>
              <w:t>　</w:t>
            </w:r>
            <w:r>
              <w:rPr>
                <w:rFonts w:hint="eastAsia"/>
                <w:lang w:val="en-US" w:eastAsia="zh-CN"/>
              </w:rPr>
              <w:t>3763.65</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3093.75</w:t>
            </w:r>
          </w:p>
        </w:tc>
        <w:tc>
          <w:tcPr>
            <w:tcW w:w="1692"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669.9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政府办公厅（室）及相关机构事务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3193.75</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3093.75</w:t>
            </w:r>
          </w:p>
        </w:tc>
        <w:tc>
          <w:tcPr>
            <w:tcW w:w="1692"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行政运行</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2254.28</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2254.28</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一般行政管理事务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事业运行</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839.47</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839.47</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纪检监察事务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24.90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24.90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其他纪检监察事务支出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24.90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24.90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组织事务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545</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545</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其他组织事务支出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545</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545</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文化旅游体育与传媒支出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文化和旅游</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其他文化和旅游</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社会保障和就业支出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173.89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173.89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行政事业单位养老支出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173.89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173.89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　事业单位离退休</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18.14</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18.14</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机关事业单位基本养老保险缴费支出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155.75</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155.75</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卫生健康支出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117.79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117.79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117.79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117.79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行政单位医疗</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17.81</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17.81</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60.06</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60.06</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公务员医疗补助</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38.94</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38.94</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其他行政事业单位医疗支出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0.97</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0.97</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住房保障支出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129.39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129.39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住房改革支出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129.39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129.39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住房公积金</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129.39</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129.39</w:t>
            </w: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灾害防治及应急管理支出</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消防救援事务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04</w:t>
            </w:r>
          </w:p>
        </w:tc>
        <w:tc>
          <w:tcPr>
            <w:tcW w:w="24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r>
              <w:rPr>
                <w:rFonts w:hint="eastAsia" w:ascii="仿宋_GB2312" w:hAnsi="宋体" w:eastAsia="仿宋_GB2312" w:cs="宋体"/>
                <w:b/>
                <w:color w:val="auto"/>
                <w:kern w:val="0"/>
                <w:sz w:val="20"/>
                <w:szCs w:val="20"/>
                <w:highlight w:val="none"/>
                <w:lang w:eastAsia="zh-CN"/>
              </w:rPr>
              <w:t>消防应急救援</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83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2"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4189.62</w:t>
            </w:r>
          </w:p>
        </w:tc>
        <w:tc>
          <w:tcPr>
            <w:tcW w:w="1832"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3514.82</w:t>
            </w:r>
          </w:p>
        </w:tc>
        <w:tc>
          <w:tcPr>
            <w:tcW w:w="1692"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674.8</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：呼图壁县呼图壁镇人民政府</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1488.85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1488.85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369.09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369.09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215.45</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215.45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303.29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303.29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190.45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190.45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155.75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155.75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77.88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77.88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38.94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38.94</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8.62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8.62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129.39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129.39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2003.93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2003.93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26.55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26.55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1.40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3.90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取暖费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156.14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156.14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3.00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1747.38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1747.38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委托业务费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4.00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18.85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18.85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8.00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其他交通费用</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12.70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12.70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22.04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22.04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18.14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18.14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1.88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1.88</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2.02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2.02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3514.82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1510.89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2003.93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10"/>
        <w:gridCol w:w="506"/>
        <w:gridCol w:w="512"/>
        <w:gridCol w:w="513"/>
        <w:gridCol w:w="816"/>
        <w:gridCol w:w="1142"/>
        <w:gridCol w:w="716"/>
        <w:gridCol w:w="517"/>
        <w:gridCol w:w="716"/>
        <w:gridCol w:w="573"/>
        <w:gridCol w:w="573"/>
        <w:gridCol w:w="404"/>
        <w:gridCol w:w="214"/>
        <w:gridCol w:w="419"/>
        <w:gridCol w:w="618"/>
        <w:gridCol w:w="420"/>
        <w:gridCol w:w="420"/>
        <w:gridCol w:w="384"/>
        <w:gridCol w:w="67"/>
      </w:tblGrid>
      <w:tr>
        <w:tblPrEx>
          <w:tblCellMar>
            <w:top w:w="0" w:type="dxa"/>
            <w:left w:w="108" w:type="dxa"/>
            <w:bottom w:w="0" w:type="dxa"/>
            <w:right w:w="108" w:type="dxa"/>
          </w:tblCellMar>
        </w:tblPrEx>
        <w:trPr>
          <w:gridBefore w:val="1"/>
          <w:gridAfter w:val="1"/>
          <w:wBefore w:w="10" w:type="dxa"/>
          <w:wAfter w:w="67" w:type="dxa"/>
          <w:trHeight w:val="375" w:hRule="atLeast"/>
        </w:trPr>
        <w:tc>
          <w:tcPr>
            <w:tcW w:w="9463"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20"/>
                <w:szCs w:val="20"/>
                <w:highlight w:val="none"/>
              </w:rPr>
            </w:pPr>
            <w:r>
              <w:rPr>
                <w:rFonts w:hint="eastAsia" w:ascii="仿宋_GB2312" w:hAnsi="宋体" w:eastAsia="仿宋_GB2312"/>
                <w:b/>
                <w:color w:val="auto"/>
                <w:kern w:val="0"/>
                <w:sz w:val="20"/>
                <w:szCs w:val="20"/>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67" w:type="dxa"/>
          <w:trHeight w:val="405" w:hRule="atLeast"/>
        </w:trPr>
        <w:tc>
          <w:tcPr>
            <w:tcW w:w="5438"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编制</w:t>
            </w:r>
            <w:r>
              <w:rPr>
                <w:rFonts w:hint="eastAsia" w:ascii="仿宋_GB2312" w:hAnsi="宋体" w:eastAsia="仿宋_GB2312" w:cs="宋体"/>
                <w:color w:val="auto"/>
                <w:kern w:val="0"/>
                <w:sz w:val="20"/>
                <w:szCs w:val="20"/>
                <w:highlight w:val="none"/>
                <w:lang w:eastAsia="zh-CN"/>
              </w:rPr>
              <w:t>部门</w:t>
            </w:r>
            <w:r>
              <w:rPr>
                <w:rFonts w:hint="eastAsia" w:ascii="仿宋_GB2312" w:hAnsi="宋体" w:eastAsia="仿宋_GB2312" w:cs="宋体"/>
                <w:color w:val="auto"/>
                <w:kern w:val="0"/>
                <w:sz w:val="20"/>
                <w:szCs w:val="20"/>
                <w:highlight w:val="none"/>
              </w:rPr>
              <w:t>：呼图壁县呼图壁镇人民政府</w:t>
            </w:r>
          </w:p>
        </w:tc>
        <w:tc>
          <w:tcPr>
            <w:tcW w:w="155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p>
        </w:tc>
        <w:tc>
          <w:tcPr>
            <w:tcW w:w="2475" w:type="dxa"/>
            <w:gridSpan w:val="6"/>
            <w:tcBorders>
              <w:top w:val="nil"/>
              <w:left w:val="nil"/>
              <w:bottom w:val="nil"/>
              <w:right w:val="nil"/>
            </w:tcBorders>
            <w:noWrap w:val="0"/>
            <w:vAlign w:val="center"/>
          </w:tcPr>
          <w:p>
            <w:pPr>
              <w:widowControl/>
              <w:ind w:firstLine="800" w:firstLineChars="400"/>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4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1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4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1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13"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1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4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201</w:t>
            </w:r>
          </w:p>
        </w:tc>
        <w:tc>
          <w:tcPr>
            <w:tcW w:w="512" w:type="dxa"/>
            <w:noWrap w:val="0"/>
            <w:vAlign w:val="center"/>
          </w:tcPr>
          <w:p>
            <w:pPr>
              <w:widowControl/>
              <w:jc w:val="center"/>
              <w:outlineLvl w:val="1"/>
              <w:rPr>
                <w:rFonts w:hint="eastAsia" w:ascii="仿宋_GB2312" w:hAnsi="宋体" w:eastAsia="仿宋_GB2312"/>
                <w:color w:val="auto"/>
                <w:kern w:val="0"/>
                <w:sz w:val="20"/>
                <w:szCs w:val="20"/>
                <w:highlight w:val="none"/>
                <w:lang w:eastAsia="zh-Hans"/>
              </w:rPr>
            </w:pP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一般公共服务支出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669.9</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669.9</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201</w:t>
            </w:r>
          </w:p>
        </w:tc>
        <w:tc>
          <w:tcPr>
            <w:tcW w:w="512"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03</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政府办公厅（室）及相关机构事务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201</w:t>
            </w:r>
          </w:p>
        </w:tc>
        <w:tc>
          <w:tcPr>
            <w:tcW w:w="51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03</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02</w:t>
            </w: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一般行政管理事务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乡镇基层运转经费（非定额）</w:t>
            </w: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11</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纪检监察事务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24.90</w:t>
            </w:r>
          </w:p>
        </w:tc>
        <w:tc>
          <w:tcPr>
            <w:tcW w:w="517"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p>
        </w:tc>
        <w:tc>
          <w:tcPr>
            <w:tcW w:w="7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24.90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11</w:t>
            </w:r>
          </w:p>
        </w:tc>
        <w:tc>
          <w:tcPr>
            <w:tcW w:w="513"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其他纪检监察事务支出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各乡镇纪委监察办公室工作经费（非定额）</w:t>
            </w: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16.50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16.50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11</w:t>
            </w:r>
          </w:p>
        </w:tc>
        <w:tc>
          <w:tcPr>
            <w:tcW w:w="513"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其他纪检监察事务支出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各乡镇监察信息员工作经费（非定额）</w:t>
            </w: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8.40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8.40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32</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组织事务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545</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545</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32</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组织事务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各乡镇村、社区运转经费-保民生（非定额）</w:t>
            </w: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365</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365</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201</w:t>
            </w:r>
          </w:p>
        </w:tc>
        <w:tc>
          <w:tcPr>
            <w:tcW w:w="512"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32</w:t>
            </w:r>
          </w:p>
        </w:tc>
        <w:tc>
          <w:tcPr>
            <w:tcW w:w="513"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组织事务</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各乡镇村、社区服务群众工作经费（非定额）</w:t>
            </w: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180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180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207</w:t>
            </w:r>
          </w:p>
        </w:tc>
        <w:tc>
          <w:tcPr>
            <w:tcW w:w="51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文化旅游体育与传媒支出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3.9</w:t>
            </w:r>
          </w:p>
        </w:tc>
        <w:tc>
          <w:tcPr>
            <w:tcW w:w="517"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p>
        </w:tc>
        <w:tc>
          <w:tcPr>
            <w:tcW w:w="716"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3.9</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207</w:t>
            </w:r>
          </w:p>
        </w:tc>
        <w:tc>
          <w:tcPr>
            <w:tcW w:w="512"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文化和旅游</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3.9</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3.9</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207</w:t>
            </w:r>
          </w:p>
        </w:tc>
        <w:tc>
          <w:tcPr>
            <w:tcW w:w="512"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01</w:t>
            </w:r>
          </w:p>
        </w:tc>
        <w:tc>
          <w:tcPr>
            <w:tcW w:w="513"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其他文化和旅游支出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提前下达中央2025年公共图书馆、美术馆、文化馆（站）免费开放补助资金</w:t>
            </w: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3.60</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rPr>
              <w:t>3.60</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207</w:t>
            </w:r>
          </w:p>
        </w:tc>
        <w:tc>
          <w:tcPr>
            <w:tcW w:w="51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01</w:t>
            </w: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99</w:t>
            </w: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其他文化和旅游支出</w:t>
            </w: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提前下达自治区2025年公共图书馆、美术馆、文化馆（站）免费开放补助资金</w:t>
            </w: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0.3</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0.3</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224</w:t>
            </w:r>
          </w:p>
        </w:tc>
        <w:tc>
          <w:tcPr>
            <w:tcW w:w="512"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513"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816" w:type="dxa"/>
            <w:noWrap w:val="0"/>
            <w:vAlign w:val="center"/>
          </w:tcPr>
          <w:p>
            <w:pPr>
              <w:widowControl/>
              <w:jc w:val="center"/>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灾害防治及应急管理支出</w:t>
            </w:r>
          </w:p>
        </w:tc>
        <w:tc>
          <w:tcPr>
            <w:tcW w:w="1142"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w:t>
            </w:r>
          </w:p>
        </w:tc>
        <w:tc>
          <w:tcPr>
            <w:tcW w:w="517"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w:t>
            </w: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224</w:t>
            </w:r>
          </w:p>
        </w:tc>
        <w:tc>
          <w:tcPr>
            <w:tcW w:w="512"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02</w:t>
            </w:r>
          </w:p>
        </w:tc>
        <w:tc>
          <w:tcPr>
            <w:tcW w:w="513"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816" w:type="dxa"/>
            <w:noWrap w:val="0"/>
            <w:vAlign w:val="center"/>
          </w:tcPr>
          <w:p>
            <w:pPr>
              <w:widowControl/>
              <w:jc w:val="center"/>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消防救援事务</w:t>
            </w:r>
          </w:p>
        </w:tc>
        <w:tc>
          <w:tcPr>
            <w:tcW w:w="1142"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w:t>
            </w:r>
          </w:p>
        </w:tc>
        <w:tc>
          <w:tcPr>
            <w:tcW w:w="517"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w:t>
            </w: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224</w:t>
            </w:r>
          </w:p>
        </w:tc>
        <w:tc>
          <w:tcPr>
            <w:tcW w:w="512"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02</w:t>
            </w:r>
          </w:p>
        </w:tc>
        <w:tc>
          <w:tcPr>
            <w:tcW w:w="513"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04</w:t>
            </w:r>
          </w:p>
        </w:tc>
        <w:tc>
          <w:tcPr>
            <w:tcW w:w="816" w:type="dxa"/>
            <w:noWrap w:val="0"/>
            <w:vAlign w:val="center"/>
          </w:tcPr>
          <w:p>
            <w:pPr>
              <w:widowControl/>
              <w:jc w:val="center"/>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消防应急救援</w:t>
            </w:r>
          </w:p>
        </w:tc>
        <w:tc>
          <w:tcPr>
            <w:tcW w:w="1142" w:type="dxa"/>
            <w:noWrap w:val="0"/>
            <w:vAlign w:val="center"/>
          </w:tcPr>
          <w:p>
            <w:pPr>
              <w:widowControl/>
              <w:jc w:val="center"/>
              <w:outlineLvl w:val="1"/>
              <w:rPr>
                <w:rFonts w:hint="eastAsia"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乡镇消防力量建设工作经费（非定额）</w:t>
            </w:r>
          </w:p>
        </w:tc>
        <w:tc>
          <w:tcPr>
            <w:tcW w:w="71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w:t>
            </w:r>
          </w:p>
        </w:tc>
        <w:tc>
          <w:tcPr>
            <w:tcW w:w="517"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1</w:t>
            </w: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hint="eastAsia" w:ascii="仿宋_GB2312" w:hAnsi="宋体" w:eastAsia="仿宋_GB2312"/>
                <w:color w:val="auto"/>
                <w:kern w:val="0"/>
                <w:sz w:val="20"/>
                <w:szCs w:val="20"/>
                <w:highlight w:val="none"/>
              </w:rPr>
            </w:pPr>
          </w:p>
        </w:tc>
        <w:tc>
          <w:tcPr>
            <w:tcW w:w="451" w:type="dxa"/>
            <w:gridSpan w:val="2"/>
            <w:noWrap w:val="0"/>
            <w:vAlign w:val="center"/>
          </w:tcPr>
          <w:p>
            <w:pPr>
              <w:widowControl/>
              <w:jc w:val="center"/>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512"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1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1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1142"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1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674.8</w:t>
            </w:r>
          </w:p>
        </w:tc>
        <w:tc>
          <w:tcPr>
            <w:tcW w:w="517" w:type="dxa"/>
            <w:noWrap w:val="0"/>
            <w:vAlign w:val="center"/>
          </w:tcPr>
          <w:p>
            <w:pPr>
              <w:widowControl/>
              <w:jc w:val="center"/>
              <w:outlineLvl w:val="1"/>
              <w:rPr>
                <w:rFonts w:ascii="仿宋_GB2312" w:hAnsi="宋体" w:eastAsia="仿宋_GB2312"/>
                <w:color w:val="auto"/>
                <w:kern w:val="0"/>
                <w:sz w:val="20"/>
                <w:szCs w:val="20"/>
                <w:highlight w:val="none"/>
              </w:rPr>
            </w:pPr>
          </w:p>
        </w:tc>
        <w:tc>
          <w:tcPr>
            <w:tcW w:w="716" w:type="dxa"/>
            <w:noWrap w:val="0"/>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674.8</w:t>
            </w: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73"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9"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tc>
        <w:tc>
          <w:tcPr>
            <w:tcW w:w="420" w:type="dxa"/>
            <w:noWrap w:val="0"/>
            <w:vAlign w:val="center"/>
          </w:tcPr>
          <w:p>
            <w:pPr>
              <w:widowControl/>
              <w:jc w:val="center"/>
              <w:outlineLvl w:val="1"/>
              <w:rPr>
                <w:rFonts w:ascii="仿宋_GB2312" w:hAnsi="宋体" w:eastAsia="仿宋_GB2312"/>
                <w:color w:val="auto"/>
                <w:kern w:val="0"/>
                <w:sz w:val="20"/>
                <w:szCs w:val="20"/>
                <w:highlight w:val="none"/>
              </w:rPr>
            </w:pPr>
          </w:p>
          <w:p/>
        </w:tc>
        <w:tc>
          <w:tcPr>
            <w:tcW w:w="451"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：呼图壁县呼图壁镇人民政府</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4"/>
          <w:szCs w:val="24"/>
          <w:highlight w:val="none"/>
        </w:rPr>
      </w:pPr>
    </w:p>
    <w:p>
      <w:pPr>
        <w:widowControl/>
        <w:spacing w:line="280" w:lineRule="exact"/>
        <w:outlineLvl w:val="1"/>
        <w:rPr>
          <w:rFonts w:hint="eastAsia" w:ascii="仿宋_GB2312" w:hAnsi="宋体" w:eastAsia="仿宋_GB2312"/>
          <w:b/>
          <w:color w:val="auto"/>
          <w:kern w:val="0"/>
          <w:sz w:val="24"/>
          <w:szCs w:val="24"/>
          <w:highlight w:val="none"/>
          <w:lang w:val="en-US" w:eastAsia="zh-CN"/>
        </w:rPr>
      </w:pPr>
      <w:r>
        <w:rPr>
          <w:rFonts w:hint="eastAsia" w:ascii="仿宋_GB2312" w:hAnsi="宋体" w:eastAsia="仿宋_GB2312"/>
          <w:b/>
          <w:color w:val="auto"/>
          <w:kern w:val="0"/>
          <w:sz w:val="24"/>
          <w:szCs w:val="24"/>
          <w:highlight w:val="none"/>
          <w:lang w:val="en-US" w:eastAsia="zh-CN"/>
        </w:rPr>
        <w:t>备注：本部门2025年无政府性基金预算支出，政府性基金预算支出情况表为空表。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：呼图壁县呼图壁镇人民政府</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700"/>
        <w:gridCol w:w="684"/>
        <w:gridCol w:w="653"/>
        <w:gridCol w:w="2318"/>
        <w:gridCol w:w="1353"/>
        <w:gridCol w:w="1041"/>
        <w:gridCol w:w="1087"/>
        <w:gridCol w:w="1378"/>
      </w:tblGrid>
      <w:tr>
        <w:tblPrEx>
          <w:tblCellMar>
            <w:top w:w="0" w:type="dxa"/>
            <w:left w:w="108" w:type="dxa"/>
            <w:bottom w:w="0" w:type="dxa"/>
            <w:right w:w="108" w:type="dxa"/>
          </w:tblCellMar>
        </w:tblPrEx>
        <w:trPr>
          <w:trHeight w:val="465" w:hRule="atLeast"/>
        </w:trPr>
        <w:tc>
          <w:tcPr>
            <w:tcW w:w="435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85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203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1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28"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7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53"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41"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08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7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223</w:t>
            </w:r>
            <w:r>
              <w:rPr>
                <w:rFonts w:hint="eastAsia" w:ascii="仿宋_GB2312" w:hAnsi="宋体" w:eastAsia="仿宋_GB2312" w:cs="宋体"/>
                <w:b/>
                <w:bCs/>
                <w:color w:val="auto"/>
                <w:kern w:val="0"/>
                <w:sz w:val="21"/>
                <w:szCs w:val="21"/>
                <w:highlight w:val="none"/>
              </w:rPr>
              <w:t>　</w:t>
            </w:r>
          </w:p>
        </w:tc>
        <w:tc>
          <w:tcPr>
            <w:tcW w:w="68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c>
          <w:tcPr>
            <w:tcW w:w="65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c>
          <w:tcPr>
            <w:tcW w:w="231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国有资本经营预算支出</w:t>
            </w:r>
          </w:p>
        </w:tc>
        <w:tc>
          <w:tcPr>
            <w:tcW w:w="1353"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40.53</w:t>
            </w:r>
            <w:r>
              <w:rPr>
                <w:rFonts w:hint="eastAsia" w:ascii="仿宋_GB2312" w:hAnsi="宋体" w:eastAsia="仿宋_GB2312" w:cs="宋体"/>
                <w:b/>
                <w:bCs/>
                <w:color w:val="auto"/>
                <w:kern w:val="0"/>
                <w:sz w:val="20"/>
                <w:szCs w:val="20"/>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40.53</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lang w:val="en-US" w:eastAsia="zh-CN" w:bidi="ar-SA"/>
              </w:rPr>
            </w:pPr>
            <w:r>
              <w:rPr>
                <w:rFonts w:hint="eastAsia" w:ascii="仿宋_GB2312" w:hAnsi="宋体" w:eastAsia="仿宋_GB2312" w:cs="宋体"/>
                <w:b/>
                <w:bCs/>
                <w:color w:val="auto"/>
                <w:kern w:val="0"/>
                <w:sz w:val="21"/>
                <w:szCs w:val="21"/>
                <w:highlight w:val="none"/>
                <w:lang w:val="en-US" w:eastAsia="zh-CN"/>
              </w:rPr>
              <w:t>223</w:t>
            </w:r>
            <w:r>
              <w:rPr>
                <w:rFonts w:hint="eastAsia" w:ascii="仿宋_GB2312" w:hAnsi="宋体" w:eastAsia="仿宋_GB2312" w:cs="宋体"/>
                <w:b/>
                <w:bCs/>
                <w:color w:val="auto"/>
                <w:kern w:val="0"/>
                <w:sz w:val="21"/>
                <w:szCs w:val="21"/>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lang w:val="en-US" w:eastAsia="zh-CN" w:bidi="ar-SA"/>
              </w:rPr>
            </w:pPr>
            <w:r>
              <w:rPr>
                <w:rFonts w:hint="eastAsia" w:ascii="仿宋_GB2312" w:hAnsi="宋体" w:eastAsia="仿宋_GB2312" w:cs="宋体"/>
                <w:b/>
                <w:bCs/>
                <w:color w:val="auto"/>
                <w:kern w:val="0"/>
                <w:sz w:val="21"/>
                <w:szCs w:val="21"/>
                <w:highlight w:val="none"/>
                <w:lang w:val="en-US" w:eastAsia="zh-CN"/>
              </w:rPr>
              <w:t>01</w:t>
            </w:r>
            <w:r>
              <w:rPr>
                <w:rFonts w:hint="eastAsia" w:ascii="仿宋_GB2312" w:hAnsi="宋体" w:eastAsia="仿宋_GB2312" w:cs="宋体"/>
                <w:b/>
                <w:bCs/>
                <w:color w:val="auto"/>
                <w:kern w:val="0"/>
                <w:sz w:val="21"/>
                <w:szCs w:val="21"/>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解决历史遗留问题及改革成本支出</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40.53</w:t>
            </w:r>
            <w:r>
              <w:rPr>
                <w:rFonts w:hint="eastAsia" w:ascii="仿宋_GB2312" w:hAnsi="宋体" w:eastAsia="仿宋_GB2312" w:cs="宋体"/>
                <w:b/>
                <w:bCs/>
                <w:color w:val="auto"/>
                <w:kern w:val="0"/>
                <w:sz w:val="20"/>
                <w:szCs w:val="20"/>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40.53</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223</w:t>
            </w:r>
            <w:r>
              <w:rPr>
                <w:rFonts w:hint="eastAsia" w:ascii="仿宋_GB2312" w:hAnsi="宋体" w:eastAsia="仿宋_GB2312" w:cs="宋体"/>
                <w:b/>
                <w:bCs/>
                <w:color w:val="auto"/>
                <w:kern w:val="0"/>
                <w:sz w:val="21"/>
                <w:szCs w:val="21"/>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01</w:t>
            </w:r>
            <w:r>
              <w:rPr>
                <w:rFonts w:hint="eastAsia" w:ascii="仿宋_GB2312" w:hAnsi="宋体" w:eastAsia="仿宋_GB2312" w:cs="宋体"/>
                <w:b/>
                <w:bCs/>
                <w:color w:val="auto"/>
                <w:kern w:val="0"/>
                <w:sz w:val="21"/>
                <w:szCs w:val="21"/>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05</w:t>
            </w:r>
            <w:r>
              <w:rPr>
                <w:rFonts w:hint="eastAsia" w:ascii="仿宋_GB2312" w:hAnsi="宋体" w:eastAsia="仿宋_GB2312" w:cs="宋体"/>
                <w:b/>
                <w:bCs/>
                <w:color w:val="auto"/>
                <w:kern w:val="0"/>
                <w:sz w:val="21"/>
                <w:szCs w:val="21"/>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国有企业退休人员社会化管理补助支出</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40.53</w:t>
            </w:r>
            <w:r>
              <w:rPr>
                <w:rFonts w:hint="eastAsia" w:ascii="仿宋_GB2312" w:hAnsi="宋体" w:eastAsia="仿宋_GB2312" w:cs="宋体"/>
                <w:b/>
                <w:bCs/>
                <w:color w:val="auto"/>
                <w:kern w:val="0"/>
                <w:sz w:val="20"/>
                <w:szCs w:val="20"/>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bidi="ar-SA"/>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40.53</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70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1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5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40.53</w:t>
            </w:r>
            <w:r>
              <w:rPr>
                <w:rFonts w:hint="eastAsia" w:ascii="仿宋_GB2312" w:hAnsi="宋体" w:eastAsia="仿宋_GB2312" w:cs="宋体"/>
                <w:b/>
                <w:bCs/>
                <w:color w:val="auto"/>
                <w:kern w:val="0"/>
                <w:sz w:val="20"/>
                <w:szCs w:val="20"/>
                <w:highlight w:val="none"/>
              </w:rPr>
              <w:t>　</w:t>
            </w:r>
          </w:p>
        </w:tc>
        <w:tc>
          <w:tcPr>
            <w:tcW w:w="104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　</w:t>
            </w:r>
          </w:p>
        </w:tc>
        <w:tc>
          <w:tcPr>
            <w:tcW w:w="108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7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lang w:val="en-US" w:eastAsia="zh-CN"/>
              </w:rPr>
              <w:t>40.53</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5"/>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：呼图壁县呼图壁镇人民政府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314" w:type="dxa"/>
            <w:noWrap w:val="0"/>
            <w:vAlign w:val="top"/>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：呼图壁县呼图壁镇人民政府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720"/>
        <w:gridCol w:w="795"/>
        <w:gridCol w:w="930"/>
        <w:gridCol w:w="1290"/>
        <w:gridCol w:w="840"/>
        <w:gridCol w:w="585"/>
        <w:gridCol w:w="795"/>
        <w:gridCol w:w="705"/>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2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55"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178"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22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4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58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5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6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4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0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 w:hAnsi="仿宋" w:eastAsia="仿宋" w:cs="仿宋_GB2312"/>
                <w:bCs/>
                <w:color w:val="auto"/>
                <w:kern w:val="0"/>
                <w:sz w:val="22"/>
                <w:szCs w:val="22"/>
                <w:highlight w:val="none"/>
              </w:rPr>
            </w:pPr>
            <w:r>
              <w:rPr>
                <w:rFonts w:hint="eastAsia" w:ascii="仿宋" w:hAnsi="仿宋" w:eastAsia="仿宋" w:cs="仿宋_GB2312"/>
                <w:bCs/>
                <w:color w:val="auto"/>
                <w:kern w:val="0"/>
                <w:sz w:val="22"/>
                <w:szCs w:val="22"/>
                <w:highlight w:val="none"/>
              </w:rPr>
              <w:t>昌州财行【2023】45号 2024年度自治区基层人大补助经费</w:t>
            </w:r>
          </w:p>
        </w:tc>
        <w:tc>
          <w:tcPr>
            <w:tcW w:w="720"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0.61</w:t>
            </w:r>
          </w:p>
        </w:tc>
        <w:tc>
          <w:tcPr>
            <w:tcW w:w="795"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0.61</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0.61</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 w:hAnsi="仿宋" w:eastAsia="仿宋" w:cs="仿宋_GB2312"/>
                <w:bCs/>
                <w:color w:val="auto"/>
                <w:kern w:val="0"/>
                <w:sz w:val="22"/>
                <w:szCs w:val="22"/>
                <w:highlight w:val="none"/>
              </w:rPr>
            </w:pPr>
            <w:r>
              <w:rPr>
                <w:rFonts w:hint="eastAsia" w:ascii="仿宋" w:hAnsi="仿宋" w:eastAsia="仿宋" w:cs="仿宋_GB2312"/>
                <w:bCs/>
                <w:color w:val="auto"/>
                <w:kern w:val="0"/>
                <w:sz w:val="22"/>
                <w:szCs w:val="22"/>
                <w:highlight w:val="none"/>
              </w:rPr>
              <w:t>昌州财教【2024】2号2024年中央支持地方公共文化服务体系建设补助资金</w:t>
            </w:r>
          </w:p>
        </w:tc>
        <w:tc>
          <w:tcPr>
            <w:tcW w:w="72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2</w:t>
            </w:r>
          </w:p>
        </w:tc>
        <w:tc>
          <w:tcPr>
            <w:tcW w:w="795"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2</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2</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_GB2312"/>
                <w:bCs/>
                <w:color w:val="auto"/>
                <w:kern w:val="0"/>
                <w:sz w:val="22"/>
                <w:szCs w:val="22"/>
                <w:highlight w:val="none"/>
              </w:rPr>
            </w:pPr>
            <w:r>
              <w:rPr>
                <w:rFonts w:hint="eastAsia" w:ascii="仿宋" w:hAnsi="仿宋" w:eastAsia="仿宋" w:cs="仿宋_GB2312"/>
                <w:bCs/>
                <w:color w:val="auto"/>
                <w:kern w:val="0"/>
                <w:sz w:val="22"/>
                <w:szCs w:val="22"/>
                <w:highlight w:val="none"/>
              </w:rPr>
              <w:t>2024年无非法集资示范社区[村]建设经费</w:t>
            </w:r>
          </w:p>
        </w:tc>
        <w:tc>
          <w:tcPr>
            <w:tcW w:w="72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0.50</w:t>
            </w:r>
          </w:p>
        </w:tc>
        <w:tc>
          <w:tcPr>
            <w:tcW w:w="795"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0.50</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0.50</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_GB2312"/>
                <w:bCs/>
                <w:color w:val="auto"/>
                <w:kern w:val="0"/>
                <w:sz w:val="22"/>
                <w:szCs w:val="22"/>
                <w:highlight w:val="none"/>
              </w:rPr>
            </w:pPr>
            <w:r>
              <w:rPr>
                <w:rFonts w:hint="eastAsia" w:ascii="仿宋" w:hAnsi="仿宋" w:eastAsia="仿宋" w:cs="仿宋_GB2312"/>
                <w:bCs/>
                <w:color w:val="auto"/>
                <w:kern w:val="0"/>
                <w:sz w:val="22"/>
                <w:szCs w:val="22"/>
                <w:highlight w:val="none"/>
              </w:rPr>
              <w:t>基层组织建设补助经费-2023年度昌吉州“五个好”标准化规范化党支部补助经费</w:t>
            </w:r>
          </w:p>
        </w:tc>
        <w:tc>
          <w:tcPr>
            <w:tcW w:w="72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3</w:t>
            </w:r>
          </w:p>
        </w:tc>
        <w:tc>
          <w:tcPr>
            <w:tcW w:w="795"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3</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3</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_GB2312"/>
                <w:bCs/>
                <w:color w:val="auto"/>
                <w:kern w:val="0"/>
                <w:sz w:val="22"/>
                <w:szCs w:val="22"/>
                <w:highlight w:val="none"/>
              </w:rPr>
            </w:pPr>
            <w:r>
              <w:rPr>
                <w:rFonts w:hint="eastAsia" w:ascii="仿宋" w:hAnsi="仿宋" w:eastAsia="仿宋" w:cs="仿宋_GB2312"/>
                <w:bCs/>
                <w:color w:val="auto"/>
                <w:kern w:val="0"/>
                <w:sz w:val="22"/>
                <w:szCs w:val="22"/>
                <w:highlight w:val="none"/>
              </w:rPr>
              <w:t>2024年中央支持地方公共文化服务体系建设补助资金-群众社火展演、村晚活动经费</w:t>
            </w:r>
          </w:p>
        </w:tc>
        <w:tc>
          <w:tcPr>
            <w:tcW w:w="72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1.06</w:t>
            </w:r>
          </w:p>
        </w:tc>
        <w:tc>
          <w:tcPr>
            <w:tcW w:w="795"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1.06</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1.06</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2"/>
                <w:szCs w:val="22"/>
                <w:highlight w:val="none"/>
              </w:rPr>
              <w:t>国有企业退休人员社会化管理补助支出</w:t>
            </w:r>
          </w:p>
        </w:tc>
        <w:tc>
          <w:tcPr>
            <w:tcW w:w="720" w:type="dxa"/>
            <w:noWrap w:val="0"/>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1.04</w:t>
            </w:r>
          </w:p>
        </w:tc>
        <w:tc>
          <w:tcPr>
            <w:tcW w:w="795"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1.04</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1.04</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65"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总计</w:t>
            </w:r>
          </w:p>
        </w:tc>
        <w:tc>
          <w:tcPr>
            <w:tcW w:w="720" w:type="dxa"/>
            <w:noWrap w:val="0"/>
            <w:vAlign w:val="center"/>
          </w:tcPr>
          <w:p>
            <w:pPr>
              <w:spacing w:line="600" w:lineRule="exact"/>
              <w:jc w:val="center"/>
              <w:rPr>
                <w:rFonts w:hint="eastAsia"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8.2</w:t>
            </w:r>
          </w:p>
        </w:tc>
        <w:tc>
          <w:tcPr>
            <w:tcW w:w="79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8.2</w:t>
            </w:r>
          </w:p>
        </w:tc>
        <w:tc>
          <w:tcPr>
            <w:tcW w:w="9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lang w:val="en-US" w:eastAsia="zh-CN"/>
              </w:rPr>
              <w:t>8.2</w:t>
            </w:r>
          </w:p>
        </w:tc>
        <w:tc>
          <w:tcPr>
            <w:tcW w:w="5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3"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仿宋_GB2312" w:hAnsi="宋体" w:eastAsia="仿宋_GB2312"/>
          <w:b/>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呼图壁县呼图壁镇人民政府202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预算管理。收支总预算6838.36万元。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rPr>
        <w:t>国有资</w:t>
      </w:r>
      <w:r>
        <w:rPr>
          <w:rFonts w:hint="eastAsia" w:ascii="仿宋_GB2312" w:hAnsi="宋体" w:eastAsia="仿宋_GB2312" w:cs="宋体"/>
          <w:kern w:val="0"/>
          <w:sz w:val="32"/>
          <w:szCs w:val="32"/>
          <w:highlight w:val="none"/>
          <w:lang w:eastAsia="zh-CN"/>
        </w:rPr>
        <w:t>本</w:t>
      </w:r>
      <w:r>
        <w:rPr>
          <w:rFonts w:hint="eastAsia" w:ascii="仿宋_GB2312" w:hAnsi="宋体" w:eastAsia="仿宋_GB2312" w:cs="宋体"/>
          <w:kern w:val="0"/>
          <w:sz w:val="32"/>
          <w:szCs w:val="32"/>
          <w:highlight w:val="none"/>
        </w:rPr>
        <w:t>经营预算、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支出预算包括：一般公共服务支出、文化旅游体育与传媒支出、社会保障和就业支出、卫生健康支出、住房保障支出、国有资本经营预算支出、灾害防治及应急管理支出。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呼图壁县呼图壁镇人民政府</w:t>
      </w:r>
      <w:r>
        <w:rPr>
          <w:rFonts w:hint="eastAsia" w:ascii="仿宋_GB2312" w:hAnsi="宋体" w:eastAsia="仿宋_GB2312" w:cs="宋体"/>
          <w:color w:val="auto"/>
          <w:kern w:val="0"/>
          <w:sz w:val="32"/>
          <w:szCs w:val="32"/>
          <w:highlight w:val="none"/>
        </w:rPr>
        <w:t>收入预算6838.36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一般公共预算41</w:t>
      </w:r>
      <w:r>
        <w:rPr>
          <w:rFonts w:hint="eastAsia" w:ascii="仿宋_GB2312" w:hAnsi="宋体" w:eastAsia="仿宋_GB2312" w:cs="宋体"/>
          <w:color w:val="auto"/>
          <w:kern w:val="0"/>
          <w:sz w:val="32"/>
          <w:szCs w:val="32"/>
          <w:highlight w:val="none"/>
          <w:lang w:val="en-US" w:eastAsia="zh-CN"/>
        </w:rPr>
        <w:t>85</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2万元，占</w:t>
      </w:r>
      <w:r>
        <w:rPr>
          <w:rFonts w:hint="eastAsia" w:ascii="仿宋_GB2312" w:hAnsi="宋体" w:eastAsia="仿宋_GB2312" w:cs="宋体"/>
          <w:color w:val="auto"/>
          <w:kern w:val="0"/>
          <w:sz w:val="32"/>
          <w:szCs w:val="32"/>
          <w:highlight w:val="none"/>
          <w:lang w:val="en-US" w:eastAsia="zh-CN"/>
        </w:rPr>
        <w:t>61.21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173.25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3.97%，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2025年我单位编外人员减少导致劳务费预算减少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黑体" w:eastAsia="仿宋_GB2312" w:cs="Times New Roman"/>
          <w:sz w:val="32"/>
          <w:szCs w:val="32"/>
          <w:highlight w:val="none"/>
          <w:lang w:val="en-US" w:eastAsia="zh-CN"/>
        </w:rPr>
        <w:t>本</w:t>
      </w:r>
      <w:r>
        <w:rPr>
          <w:rFonts w:hint="eastAsia" w:ascii="仿宋_GB2312" w:hAnsi="黑体" w:eastAsia="仿宋_GB2312" w:cs="Times New Roman"/>
          <w:sz w:val="32"/>
          <w:szCs w:val="32"/>
          <w:highlight w:val="none"/>
          <w:lang w:eastAsia="zh-CN"/>
        </w:rPr>
        <w:t>年</w:t>
      </w:r>
      <w:r>
        <w:rPr>
          <w:rFonts w:hint="eastAsia" w:ascii="仿宋_GB2312" w:hAnsi="黑体" w:eastAsia="仿宋_GB2312" w:cs="Times New Roman"/>
          <w:sz w:val="32"/>
          <w:szCs w:val="32"/>
          <w:highlight w:val="none"/>
          <w:lang w:val="en-US" w:eastAsia="zh-CN"/>
        </w:rPr>
        <w:t>新增</w:t>
      </w:r>
      <w:r>
        <w:rPr>
          <w:rFonts w:hint="eastAsia" w:ascii="仿宋_GB2312" w:hAnsi="黑体" w:eastAsia="仿宋_GB2312" w:cs="Times New Roman"/>
          <w:sz w:val="32"/>
          <w:szCs w:val="32"/>
          <w:highlight w:val="none"/>
          <w:lang w:eastAsia="zh-CN"/>
        </w:rPr>
        <w:t>公共图书馆美术馆文化馆（站）免费开放补助资金预算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40.53万元，占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rPr>
        <w:t>相比</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下降2.64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sz w:val="32"/>
          <w:szCs w:val="32"/>
          <w:highlight w:val="none"/>
          <w:lang w:val="en-US" w:eastAsia="zh-CN"/>
        </w:rPr>
        <w:t>原因是本年度</w:t>
      </w:r>
      <w:r>
        <w:rPr>
          <w:rFonts w:hint="eastAsia" w:ascii="仿宋_GB2312" w:hAnsi="仿宋_GB2312" w:eastAsia="仿宋_GB2312" w:cs="仿宋_GB2312"/>
          <w:sz w:val="32"/>
          <w:szCs w:val="32"/>
          <w:lang w:val="en-US" w:eastAsia="zh-CN"/>
        </w:rPr>
        <w:t>国企退休人员减少，用于国企退休人员举办各类活动方面的开支减少，上级安排补助减少。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38.02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2025年我单位</w:t>
      </w:r>
      <w:r>
        <w:rPr>
          <w:rFonts w:hint="eastAsia" w:ascii="仿宋_GB2312" w:hAnsi="宋体" w:eastAsia="仿宋_GB2312" w:cs="宋体"/>
          <w:color w:val="auto"/>
          <w:kern w:val="0"/>
          <w:sz w:val="32"/>
          <w:szCs w:val="32"/>
          <w:highlight w:val="none"/>
          <w:lang w:eastAsia="zh-CN"/>
        </w:rPr>
        <w:t>援疆资金数额减少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415.72%，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2025年专项资金支付进度较慢，结转一般公共服务支出6.1万元、国有企业退休人员社会化管理补助支出1.04万元、文化旅游体育与传媒支出1.06万元，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呼图壁县呼图壁镇人民政府2025年支出预算6838.36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4114.82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60.17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1582.15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27.77%，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2025年我单位编外人员人数减少导致劳务费预算较少，社区民兵不纳入财政预算导致基本支出预算减少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2723.54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39.83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1065.51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64.26%，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2025年年初增加乡镇基层运转经费等专项资金，导致项目支出预算增加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4230.15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4189.62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国有资本经营预算拨款40.53万元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一般公共预算支出包括：一般公共服务支出3763.65万元，主要用于</w:t>
      </w:r>
      <w:r>
        <w:rPr>
          <w:rFonts w:hint="eastAsia" w:ascii="仿宋_GB2312" w:hAnsi="宋体" w:eastAsia="仿宋_GB2312" w:cs="宋体"/>
          <w:color w:val="auto"/>
          <w:kern w:val="0"/>
          <w:sz w:val="32"/>
          <w:szCs w:val="32"/>
          <w:highlight w:val="none"/>
          <w:lang w:eastAsia="zh-CN"/>
        </w:rPr>
        <w:t>人员类经费及公用经费方面的开支</w:t>
      </w:r>
      <w:r>
        <w:rPr>
          <w:rFonts w:hint="eastAsia" w:ascii="仿宋_GB2312" w:hAnsi="宋体" w:eastAsia="仿宋_GB2312" w:cs="宋体"/>
          <w:color w:val="auto"/>
          <w:kern w:val="0"/>
          <w:sz w:val="32"/>
          <w:szCs w:val="32"/>
          <w:highlight w:val="none"/>
        </w:rPr>
        <w:t>。文化旅游体育与传媒支出</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乡镇配备文化站方面的支出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社会保障和就业支出173.89万元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人员缴纳养老保险方面的支出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卫生健康支出117.79万元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人员缴纳医疗保险方面的支出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住房保障支出129.39万元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人员住房公积金方面的支出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灾害防治及应急管理支出</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乡镇配备消防设施方面的支出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支出40.53万元，主要用于</w:t>
      </w:r>
      <w:r>
        <w:rPr>
          <w:rFonts w:hint="eastAsia" w:ascii="仿宋_GB2312" w:hAnsi="宋体" w:eastAsia="仿宋_GB2312" w:cs="宋体"/>
          <w:color w:val="auto"/>
          <w:kern w:val="0"/>
          <w:sz w:val="32"/>
          <w:szCs w:val="32"/>
          <w:highlight w:val="none"/>
          <w:lang w:eastAsia="zh-CN"/>
        </w:rPr>
        <w:t>国企退休人员社会化管理方面的支出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呼图壁县呼图壁镇人民政府2025年一般公共预算拨款合计</w:t>
      </w:r>
      <w:r>
        <w:rPr>
          <w:rFonts w:hint="eastAsia" w:ascii="仿宋_GB2312" w:hAnsi="仿宋_GB2312" w:eastAsia="仿宋_GB2312" w:cs="仿宋_GB2312"/>
          <w:color w:val="auto"/>
          <w:kern w:val="0"/>
          <w:sz w:val="32"/>
          <w:szCs w:val="32"/>
          <w:highlight w:val="none"/>
          <w:lang w:val="en-US" w:eastAsia="zh-CN"/>
        </w:rPr>
        <w:t>4189.62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3514.82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232.15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6.60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编外人员数量减少以及</w:t>
      </w:r>
      <w:r>
        <w:rPr>
          <w:rFonts w:hint="eastAsia" w:ascii="仿宋_GB2312" w:hAnsi="宋体" w:eastAsia="仿宋_GB2312" w:cs="宋体"/>
          <w:color w:val="auto"/>
          <w:kern w:val="0"/>
          <w:sz w:val="32"/>
          <w:szCs w:val="32"/>
          <w:highlight w:val="none"/>
          <w:lang w:val="en-US" w:eastAsia="zh-CN"/>
        </w:rPr>
        <w:t>2025年不再聘用</w:t>
      </w:r>
      <w:r>
        <w:rPr>
          <w:rFonts w:hint="eastAsia" w:ascii="仿宋_GB2312" w:hAnsi="宋体" w:eastAsia="仿宋_GB2312" w:cs="宋体"/>
          <w:color w:val="auto"/>
          <w:kern w:val="0"/>
          <w:sz w:val="32"/>
          <w:szCs w:val="32"/>
          <w:highlight w:val="none"/>
          <w:lang w:eastAsia="zh-CN"/>
        </w:rPr>
        <w:t>社区民兵导致</w:t>
      </w:r>
      <w:r>
        <w:rPr>
          <w:rFonts w:hint="eastAsia" w:ascii="仿宋_GB2312" w:hAnsi="宋体" w:eastAsia="仿宋_GB2312" w:cs="宋体"/>
          <w:color w:val="auto"/>
          <w:kern w:val="0"/>
          <w:sz w:val="32"/>
          <w:szCs w:val="32"/>
          <w:highlight w:val="none"/>
          <w:lang w:val="en-US" w:eastAsia="zh-CN"/>
        </w:rPr>
        <w:t>2025年基本支出预算减少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674.8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58.9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9.56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2025年新增乡镇基层运转经费纳入年初预算导致</w:t>
      </w: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eastAsia="zh-CN"/>
        </w:rPr>
        <w:t>预算较去年增加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1.一般公共服务支出</w:t>
      </w:r>
      <w:r>
        <w:rPr>
          <w:rFonts w:hint="eastAsia" w:ascii="仿宋_GB2312" w:hAnsi="仿宋_GB2312" w:eastAsia="仿宋_GB2312" w:cs="仿宋_GB2312"/>
          <w:color w:val="auto"/>
          <w:sz w:val="32"/>
          <w:szCs w:val="32"/>
          <w:highlight w:val="none"/>
          <w:lang w:val="en-US" w:eastAsia="zh-CN"/>
        </w:rPr>
        <w:t>3763.65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89.83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2.文化旅游体育与传媒支出</w:t>
      </w:r>
      <w:r>
        <w:rPr>
          <w:rFonts w:hint="eastAsia" w:ascii="仿宋_GB2312" w:hAnsi="仿宋_GB2312" w:eastAsia="仿宋_GB2312" w:cs="仿宋_GB2312"/>
          <w:color w:val="auto"/>
          <w:kern w:val="0"/>
          <w:sz w:val="32"/>
          <w:szCs w:val="32"/>
          <w:highlight w:val="none"/>
          <w:lang w:val="en-US" w:eastAsia="zh-CN"/>
        </w:rPr>
        <w:t>3.9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0.10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3.社会保障和就业支出173.89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4.15</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4.卫生健康支出117.79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2.81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5.住房保障支出129.39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3.09</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6.灾害防治及应急管理支出1</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）行政运行（</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2254.28</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861.07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下降27.64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val="en-US" w:eastAsia="zh-CN"/>
        </w:rPr>
        <w:t>年编外人员人数减少，导致公用经费劳务费减少。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）一般行政管理事务（</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val="en-US" w:eastAsia="zh-CN"/>
        </w:rPr>
        <w:t>年年初新增乡镇基层运转经费纳入财政预算。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）事业运行（</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839.47</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35.86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增长4.46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val="en-US" w:eastAsia="zh-CN"/>
        </w:rPr>
        <w:t>年在编人员工资基数调整导致人员经费预算增长。</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纪检监察事务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）其他纪检监察事务支出（</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24.9</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24.9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2024年此项资金在其他款项列支</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组织事务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）其他组织事务支出（</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545</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545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2024年此项资金在其他款项列支</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.文化旅游体育与传媒支出（</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文化和旅游</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）其他文化和旅游支出（</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3.9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2025年新增此项资金纳入年初预算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7.社会保障和就业支出（类）行政事业单位养老支出（款）事业单位离退休（项）:2025年预算数为18.14万元，比上年预算增加13.96万元，增长333.97%，主要原因是：2025年</w:t>
      </w:r>
      <w:r>
        <w:rPr>
          <w:rFonts w:hint="eastAsia" w:ascii="仿宋_GB2312" w:hAnsi="宋体" w:eastAsia="仿宋_GB2312" w:cs="宋体"/>
          <w:color w:val="auto"/>
          <w:kern w:val="0"/>
          <w:sz w:val="32"/>
          <w:szCs w:val="32"/>
          <w:highlight w:val="none"/>
          <w:lang w:eastAsia="zh-CN"/>
        </w:rPr>
        <w:t>退休人员人数、工资、年终一次性绩效较去年有所增长</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8.社会保障和就业支出（类）行政事业单位养老支出（款）机关事业单位基本养老保险缴费支出（项）:2025年预算数为155.75万元，比上年预算增加4.41万元，增长2.91%，主要原因是：2025年</w:t>
      </w:r>
      <w:r>
        <w:rPr>
          <w:rFonts w:hint="eastAsia" w:ascii="仿宋_GB2312" w:hAnsi="宋体" w:eastAsia="仿宋_GB2312" w:cs="宋体"/>
          <w:color w:val="auto"/>
          <w:kern w:val="0"/>
          <w:sz w:val="32"/>
          <w:szCs w:val="32"/>
          <w:highlight w:val="none"/>
          <w:lang w:eastAsia="zh-CN"/>
        </w:rPr>
        <w:t>社保基数调整导致年初预算增加</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9.卫生健康支出（类）行政事业单位医疗（款）行政单位医疗（项）:2025年预算数为17.81万元，比上年预算减少2.62万元，下降12.82%，主要原因是：2025年</w:t>
      </w:r>
      <w:r>
        <w:rPr>
          <w:rFonts w:hint="eastAsia" w:ascii="仿宋_GB2312" w:hAnsi="宋体" w:eastAsia="仿宋_GB2312" w:cs="宋体"/>
          <w:color w:val="auto"/>
          <w:kern w:val="0"/>
          <w:sz w:val="32"/>
          <w:szCs w:val="32"/>
          <w:highlight w:val="none"/>
          <w:lang w:eastAsia="zh-CN"/>
        </w:rPr>
        <w:t>行政编制人员人数减少导致此项资金年初预算减少</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10.卫生健康支出（类）行政事业单位医疗（款）事业单位医疗（项）:2025年预算数为60.06万元，比上年预算增加4.82万元，增长8.73%，主要原因是：2025年</w:t>
      </w:r>
      <w:r>
        <w:rPr>
          <w:rFonts w:hint="eastAsia" w:ascii="仿宋_GB2312" w:hAnsi="宋体" w:eastAsia="仿宋_GB2312" w:cs="宋体"/>
          <w:color w:val="auto"/>
          <w:kern w:val="0"/>
          <w:sz w:val="32"/>
          <w:szCs w:val="32"/>
          <w:highlight w:val="none"/>
          <w:lang w:eastAsia="zh-CN"/>
        </w:rPr>
        <w:t>事业编制人员人数增加导致此项资金年初预算增加</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11.卫生健康支出（类）行政事业单位医疗（款）公务员医疗补助（项）:2025年预算数为38.94万元，比上年预算增加18.13万元，增长87.12%，主要原因是：2025年</w:t>
      </w:r>
      <w:r>
        <w:rPr>
          <w:rFonts w:hint="eastAsia" w:ascii="仿宋_GB2312" w:hAnsi="宋体" w:eastAsia="仿宋_GB2312" w:cs="宋体"/>
          <w:color w:val="auto"/>
          <w:kern w:val="0"/>
          <w:sz w:val="32"/>
          <w:szCs w:val="32"/>
          <w:highlight w:val="none"/>
          <w:lang w:eastAsia="zh-CN"/>
        </w:rPr>
        <w:t>在编人员数量增加导致此项资金年初预算增加</w:t>
      </w:r>
      <w:r>
        <w:rPr>
          <w:rFonts w:hint="eastAsia" w:ascii="仿宋_GB2312" w:hAnsi="仿宋_GB2312" w:eastAsia="仿宋_GB2312" w:cs="仿宋_GB2312"/>
          <w:color w:val="auto"/>
          <w:kern w:val="0"/>
          <w:sz w:val="32"/>
          <w:szCs w:val="32"/>
          <w:highlight w:val="none"/>
          <w:lang w:val="en-US" w:eastAsia="zh-CN"/>
        </w:rPr>
        <w:t>。</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12.住房保障支出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rPr>
        <w:t>12</w:t>
      </w:r>
      <w:r>
        <w:rPr>
          <w:rFonts w:hint="eastAsia" w:ascii="仿宋_GB2312" w:hAnsi="宋体" w:eastAsia="仿宋_GB2312" w:cs="宋体"/>
          <w:color w:val="auto"/>
          <w:kern w:val="0"/>
          <w:sz w:val="32"/>
          <w:szCs w:val="32"/>
          <w:highlight w:val="none"/>
          <w:lang w:val="en-US" w:eastAsia="zh-CN"/>
        </w:rPr>
        <w:t>9.39</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3.17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增长2.51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2025年公积金基数较上一年度有所上涨。</w:t>
      </w:r>
    </w:p>
    <w:p>
      <w:pPr>
        <w:spacing w:line="560" w:lineRule="exact"/>
        <w:ind w:firstLine="640" w:firstLineChars="200"/>
        <w:rPr>
          <w:rFonts w:hint="eastAsia"/>
        </w:rPr>
      </w:pPr>
      <w:r>
        <w:rPr>
          <w:rFonts w:hint="eastAsia" w:ascii="仿宋_GB2312" w:hAnsi="仿宋_GB2312" w:eastAsia="仿宋_GB2312" w:cs="仿宋_GB2312"/>
          <w:color w:val="auto"/>
          <w:kern w:val="0"/>
          <w:sz w:val="32"/>
          <w:szCs w:val="32"/>
          <w:highlight w:val="none"/>
          <w:lang w:val="en-US" w:eastAsia="zh-CN"/>
        </w:rPr>
        <w:t>13.灾害防治及应急管理支出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消防救援事务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消防应急救援</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2025年新增此项资金纳入年初财政预算。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呼图壁县呼图壁镇人民政府</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3514.82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1510.89</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生活补助、奖励金。</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公用经费2003.93万元，主要包括：办公费、水费、电费、邮电费、取暖费、差旅费、维修（护）费、劳务费、委托业务费、工会经费、公务用车运行维护费、其他交通费用、其他商品和服务支出。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w:t>
      </w:r>
      <w:r>
        <w:rPr>
          <w:rFonts w:hint="eastAsia" w:ascii="仿宋_GB2312" w:hAnsi="黑体" w:eastAsia="仿宋_GB2312" w:cs="Times New Roman"/>
          <w:sz w:val="32"/>
          <w:szCs w:val="32"/>
          <w:highlight w:val="none"/>
        </w:rPr>
        <w:t>称：</w:t>
      </w:r>
      <w:r>
        <w:rPr>
          <w:rFonts w:hint="eastAsia" w:ascii="仿宋_GB2312" w:hAnsi="黑体" w:eastAsia="仿宋_GB2312" w:cs="Times New Roman"/>
          <w:sz w:val="32"/>
          <w:szCs w:val="32"/>
          <w:highlight w:val="none"/>
          <w:lang w:eastAsia="zh-CN"/>
        </w:rPr>
        <w:t>各乡镇村、社区运转经费-保民生（非定额）</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s="Times New Roman"/>
          <w:color w:val="auto"/>
          <w:sz w:val="32"/>
          <w:szCs w:val="32"/>
          <w:highlight w:val="none"/>
        </w:rPr>
        <w:t>设立的政策依据：</w:t>
      </w:r>
      <w:r>
        <w:rPr>
          <w:rFonts w:hint="eastAsia" w:ascii="仿宋_GB2312" w:hAnsi="宋体" w:eastAsia="仿宋_GB2312" w:cs="宋体"/>
          <w:color w:val="auto"/>
          <w:kern w:val="0"/>
          <w:sz w:val="32"/>
          <w:szCs w:val="32"/>
          <w:highlight w:val="none"/>
        </w:rPr>
        <w:t>昌州党办发【2019】41号</w:t>
      </w:r>
      <w:r>
        <w:rPr>
          <w:rFonts w:hint="eastAsia" w:ascii="仿宋_GB2312" w:hAnsi="宋体" w:eastAsia="仿宋_GB2312" w:cs="宋体"/>
          <w:color w:val="auto"/>
          <w:kern w:val="0"/>
          <w:sz w:val="32"/>
          <w:szCs w:val="32"/>
          <w:highlight w:val="none"/>
          <w:lang w:val="en-US" w:eastAsia="zh-CN"/>
        </w:rPr>
        <w:t>-《关于紧紧围绕社会稳定和长治久安总目标加强城市基层党建工作的实施意见》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365</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sz w:val="32"/>
          <w:szCs w:val="32"/>
          <w:highlight w:val="none"/>
          <w:lang w:val="en-US" w:eastAsia="zh-CN"/>
        </w:rPr>
      </w:pPr>
      <w:r>
        <w:rPr>
          <w:rFonts w:hint="eastAsia" w:ascii="仿宋_GB2312" w:hAnsi="黑体" w:eastAsia="仿宋_GB2312" w:cs="Times New Roman"/>
          <w:sz w:val="32"/>
          <w:szCs w:val="32"/>
          <w:highlight w:val="none"/>
        </w:rPr>
        <w:t>资金分配</w:t>
      </w:r>
      <w:r>
        <w:rPr>
          <w:rFonts w:hint="eastAsia" w:ascii="仿宋_GB2312" w:hAnsi="黑体" w:eastAsia="仿宋_GB2312" w:cs="Times New Roman"/>
          <w:color w:val="auto"/>
          <w:sz w:val="32"/>
          <w:szCs w:val="32"/>
          <w:highlight w:val="none"/>
        </w:rPr>
        <w:t>情况</w:t>
      </w:r>
      <w:r>
        <w:rPr>
          <w:rFonts w:hint="eastAsia" w:ascii="仿宋_GB2312" w:hAnsi="黑体" w:eastAsia="仿宋_GB2312" w:cs="Times New Roman"/>
          <w:color w:val="auto"/>
          <w:sz w:val="32"/>
          <w:szCs w:val="32"/>
          <w:highlight w:val="none"/>
          <w:lang w:eastAsia="zh-CN"/>
        </w:rPr>
        <w:t>：</w:t>
      </w:r>
      <w:r>
        <w:rPr>
          <w:rFonts w:hint="eastAsia" w:ascii="仿宋_GB2312" w:hAnsi="黑体" w:eastAsia="仿宋_GB2312" w:cs="Times New Roman"/>
          <w:color w:val="auto"/>
          <w:sz w:val="32"/>
          <w:szCs w:val="32"/>
          <w:highlight w:val="none"/>
          <w:lang w:val="en-US" w:eastAsia="zh-CN"/>
        </w:rPr>
        <w:t>用于18个社区日常办公用品、水电等刚性支出方面的开支165万元、印刷费100万元、</w:t>
      </w:r>
      <w:r>
        <w:rPr>
          <w:rFonts w:hint="eastAsia" w:ascii="仿宋_GB2312" w:hAnsi="宋体" w:eastAsia="仿宋_GB2312" w:cs="宋体"/>
          <w:color w:val="auto"/>
          <w:kern w:val="0"/>
          <w:sz w:val="32"/>
          <w:szCs w:val="32"/>
          <w:highlight w:val="none"/>
          <w:lang w:val="en-US" w:eastAsia="zh-CN" w:bidi="ar"/>
        </w:rPr>
        <w:t>维修（护）费100万元</w:t>
      </w:r>
      <w:r>
        <w:rPr>
          <w:rFonts w:hint="eastAsia" w:ascii="仿宋" w:hAnsi="仿宋" w:eastAsia="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2.</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各乡镇村、社区服务群众工作经费（非定额）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昌州党办发【2019】41号</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180万元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color w:val="auto"/>
          <w:sz w:val="32"/>
          <w:szCs w:val="32"/>
          <w:highlight w:val="none"/>
          <w:lang w:val="en-US" w:eastAsia="zh-CN"/>
        </w:rPr>
        <w:t>用于18个社区服务居民群众，打造居民活动阵地方面的开支80万元、印刷费80万元、</w:t>
      </w:r>
      <w:r>
        <w:rPr>
          <w:rFonts w:hint="eastAsia" w:ascii="仿宋_GB2312" w:hAnsi="宋体" w:eastAsia="仿宋_GB2312" w:cs="宋体"/>
          <w:color w:val="auto"/>
          <w:kern w:val="0"/>
          <w:sz w:val="32"/>
          <w:szCs w:val="32"/>
          <w:highlight w:val="none"/>
          <w:lang w:val="en-US" w:eastAsia="zh-CN" w:bidi="ar"/>
        </w:rPr>
        <w:t>其他交通费20万元</w:t>
      </w:r>
      <w:r>
        <w:rPr>
          <w:rFonts w:hint="eastAsia" w:ascii="仿宋" w:hAnsi="仿宋" w:eastAsia="仿宋"/>
          <w:color w:val="auto"/>
          <w:sz w:val="32"/>
          <w:szCs w:val="32"/>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3.</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乡镇基层运转经费（非定额）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color w:val="FF0000"/>
          <w:kern w:val="0"/>
          <w:sz w:val="32"/>
          <w:szCs w:val="32"/>
          <w:highlight w:val="none"/>
        </w:rPr>
      </w:pPr>
      <w:r>
        <w:rPr>
          <w:rFonts w:hint="eastAsia" w:ascii="仿宋_GB2312" w:hAnsi="黑体" w:eastAsia="仿宋_GB2312" w:cs="Times New Roman"/>
          <w:sz w:val="32"/>
          <w:szCs w:val="32"/>
          <w:highlight w:val="none"/>
        </w:rPr>
        <w:t>设立的政策依据：根据《关于紧紧围绕社会稳定和长治久安总目标加强城市基层党建工作的实施意见》（昌州党办发【2019】41号）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color w:val="auto"/>
          <w:sz w:val="32"/>
          <w:szCs w:val="32"/>
          <w:highlight w:val="none"/>
          <w:lang w:val="en-US" w:eastAsia="zh-CN"/>
        </w:rPr>
        <w:t>主要用于化解历史遗留问题等方面的开支80万元、办公设备购置20万元</w:t>
      </w:r>
      <w:r>
        <w:rPr>
          <w:rFonts w:hint="eastAsia" w:ascii="仿宋" w:hAnsi="仿宋" w:eastAsia="仿宋"/>
          <w:color w:val="auto"/>
          <w:sz w:val="32"/>
          <w:szCs w:val="32"/>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val="en-US" w:eastAsia="zh-CN"/>
        </w:rPr>
        <w:t>4.</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各乡镇监察信息员工作经费（非定额）</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0"/>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新纪办发（2018）67号</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《关于县（市、区）监察委员会向乡镇（街道）派出监察办公室的通知》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8.4</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spacing w:val="-6"/>
          <w:kern w:val="0"/>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sz w:val="32"/>
          <w:szCs w:val="32"/>
          <w:highlight w:val="none"/>
          <w:lang w:val="en-US" w:eastAsia="zh-CN"/>
        </w:rPr>
        <w:t>8.4</w:t>
      </w:r>
      <w:r>
        <w:rPr>
          <w:rFonts w:hint="eastAsia" w:ascii="仿宋_GB2312" w:hAnsi="宋体" w:eastAsia="仿宋_GB2312" w:cs="宋体"/>
          <w:spacing w:val="-6"/>
          <w:kern w:val="0"/>
          <w:sz w:val="32"/>
          <w:szCs w:val="32"/>
          <w:highlight w:val="none"/>
        </w:rPr>
        <w:t>万元</w:t>
      </w:r>
      <w:r>
        <w:rPr>
          <w:rFonts w:hint="eastAsia" w:ascii="仿宋_GB2312" w:hAnsi="宋体" w:eastAsia="仿宋_GB2312" w:cs="宋体"/>
          <w:spacing w:val="-6"/>
          <w:kern w:val="0"/>
          <w:sz w:val="32"/>
          <w:szCs w:val="32"/>
          <w:highlight w:val="none"/>
          <w:lang w:val="en-US" w:eastAsia="zh-CN"/>
        </w:rPr>
        <w:t>全部</w:t>
      </w:r>
      <w:r>
        <w:rPr>
          <w:rFonts w:hint="eastAsia" w:ascii="仿宋_GB2312" w:hAnsi="宋体" w:eastAsia="仿宋_GB2312" w:cs="宋体"/>
          <w:spacing w:val="-6"/>
          <w:kern w:val="0"/>
          <w:sz w:val="32"/>
          <w:szCs w:val="32"/>
          <w:highlight w:val="none"/>
          <w:lang w:eastAsia="zh-CN"/>
        </w:rPr>
        <w:t>用于</w:t>
      </w:r>
      <w:r>
        <w:rPr>
          <w:rFonts w:hint="eastAsia" w:ascii="仿宋_GB2312" w:hAnsi="黑体" w:eastAsia="仿宋_GB2312" w:cs="Times New Roman"/>
          <w:sz w:val="32"/>
          <w:szCs w:val="32"/>
          <w:highlight w:val="none"/>
          <w:lang w:val="en-US" w:eastAsia="zh-CN"/>
        </w:rPr>
        <w:t>监察信息员开展工作购买办公用品等方面的开支。</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FF0000"/>
          <w:sz w:val="32"/>
          <w:szCs w:val="32"/>
          <w:highlight w:val="none"/>
        </w:rPr>
      </w:pP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各乡镇纪委监察办公室工作经费（非定额）</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宋体" w:eastAsia="仿宋_GB2312" w:cs="宋体"/>
          <w:kern w:val="0"/>
          <w:sz w:val="32"/>
          <w:szCs w:val="32"/>
          <w:highlight w:val="none"/>
        </w:rPr>
      </w:pPr>
      <w:r>
        <w:rPr>
          <w:rFonts w:hint="eastAsia" w:ascii="仿宋_GB2312" w:hAnsi="黑体" w:eastAsia="仿宋_GB2312" w:cs="Times New Roman"/>
          <w:sz w:val="32"/>
          <w:szCs w:val="32"/>
          <w:highlight w:val="none"/>
        </w:rPr>
        <w:t>设立的政策依据：</w:t>
      </w:r>
      <w:r>
        <w:rPr>
          <w:rFonts w:hint="eastAsia" w:ascii="仿宋_GB2312" w:hAnsi="宋体" w:eastAsia="仿宋_GB2312" w:cs="宋体"/>
          <w:kern w:val="0"/>
          <w:sz w:val="32"/>
          <w:szCs w:val="32"/>
          <w:highlight w:val="none"/>
        </w:rPr>
        <w:t>新纪办发（2018）67号</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《关于县（市、区）监察委员会向乡镇（街道）派出监察办公室的通知》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16</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_GB2312" w:hAnsi="宋体" w:eastAsia="仿宋_GB2312" w:cs="宋体"/>
          <w:spacing w:val="-6"/>
          <w:kern w:val="0"/>
          <w:sz w:val="32"/>
          <w:szCs w:val="32"/>
          <w:highlight w:val="none"/>
          <w:lang w:eastAsia="zh-CN"/>
        </w:rPr>
        <w:t>用于</w:t>
      </w:r>
      <w:r>
        <w:rPr>
          <w:rFonts w:hint="eastAsia" w:ascii="仿宋_GB2312" w:hAnsi="黑体" w:eastAsia="仿宋_GB2312" w:cs="Times New Roman"/>
          <w:sz w:val="32"/>
          <w:szCs w:val="32"/>
          <w:highlight w:val="none"/>
          <w:lang w:val="en-US" w:eastAsia="zh-CN"/>
        </w:rPr>
        <w:t>纪委监察办公室</w:t>
      </w:r>
      <w:r>
        <w:rPr>
          <w:rFonts w:hint="eastAsia" w:ascii="仿宋_GB2312" w:hAnsi="宋体" w:eastAsia="仿宋_GB2312" w:cs="宋体"/>
          <w:spacing w:val="-6"/>
          <w:kern w:val="0"/>
          <w:sz w:val="32"/>
          <w:szCs w:val="32"/>
          <w:highlight w:val="none"/>
          <w:lang w:eastAsia="zh-CN"/>
        </w:rPr>
        <w:t>购买办公用品</w:t>
      </w:r>
      <w:r>
        <w:rPr>
          <w:rFonts w:hint="eastAsia" w:ascii="仿宋_GB2312" w:hAnsi="宋体" w:eastAsia="仿宋_GB2312" w:cs="宋体"/>
          <w:spacing w:val="-6"/>
          <w:kern w:val="0"/>
          <w:sz w:val="32"/>
          <w:szCs w:val="32"/>
          <w:highlight w:val="none"/>
          <w:lang w:val="en-US" w:eastAsia="zh-CN"/>
        </w:rPr>
        <w:t>费用12.5万元</w:t>
      </w:r>
      <w:r>
        <w:rPr>
          <w:rFonts w:hint="eastAsia" w:ascii="仿宋_GB2312" w:hAnsi="宋体" w:eastAsia="仿宋_GB2312" w:cs="宋体"/>
          <w:spacing w:val="-6"/>
          <w:kern w:val="0"/>
          <w:sz w:val="32"/>
          <w:szCs w:val="32"/>
          <w:highlight w:val="none"/>
          <w:lang w:eastAsia="zh-CN"/>
        </w:rPr>
        <w:t>、其他交通费</w:t>
      </w:r>
      <w:r>
        <w:rPr>
          <w:rFonts w:hint="eastAsia" w:ascii="仿宋_GB2312" w:hAnsi="宋体" w:eastAsia="仿宋_GB2312" w:cs="宋体"/>
          <w:spacing w:val="-6"/>
          <w:kern w:val="0"/>
          <w:sz w:val="32"/>
          <w:szCs w:val="32"/>
          <w:highlight w:val="none"/>
          <w:lang w:val="en-US" w:eastAsia="zh-CN"/>
        </w:rPr>
        <w:t>3.5</w:t>
      </w:r>
      <w:r>
        <w:rPr>
          <w:rFonts w:hint="eastAsia" w:ascii="仿宋_GB2312" w:hAnsi="宋体" w:eastAsia="仿宋_GB2312" w:cs="宋体"/>
          <w:spacing w:val="-6"/>
          <w:kern w:val="0"/>
          <w:sz w:val="32"/>
          <w:szCs w:val="32"/>
          <w:highlight w:val="none"/>
        </w:rPr>
        <w:t>万元</w:t>
      </w:r>
      <w:r>
        <w:rPr>
          <w:rFonts w:hint="eastAsia" w:ascii="仿宋_GB2312" w:hAnsi="宋体" w:eastAsia="仿宋_GB2312" w:cs="宋体"/>
          <w:spacing w:val="-6"/>
          <w:kern w:val="0"/>
          <w:sz w:val="32"/>
          <w:szCs w:val="32"/>
          <w:highlight w:val="none"/>
          <w:lang w:eastAsia="zh-CN"/>
        </w:rPr>
        <w:t>。</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6.</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提前下达中央2025年公共图书馆、美术馆、文化馆（站）免费开放补助资金</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设立的政策依据：昌州财教【2024】71号</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cs="Times New Roman"/>
          <w:sz w:val="32"/>
          <w:szCs w:val="32"/>
          <w:highlight w:val="none"/>
          <w:lang w:eastAsia="zh-CN"/>
        </w:rPr>
        <w:t>《关于提前下达中央2025年公共图书馆美术馆文化馆（站）免费开放补助资金预算的通知》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3.6</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olor w:val="FF0000"/>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sz w:val="32"/>
          <w:szCs w:val="32"/>
          <w:highlight w:val="none"/>
          <w:lang w:val="en-US" w:eastAsia="zh-CN"/>
        </w:rPr>
        <w:t>用于购置图书1.6万元、制作广告宣传标语2万元。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仿宋" w:hAnsi="仿宋" w:eastAsia="仿宋_GB2312"/>
          <w:color w:val="auto"/>
          <w:sz w:val="32"/>
          <w:szCs w:val="32"/>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7.</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提前下达自治区2025年公共图书馆、美术馆、文化馆（站）免费开放补助资金</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eastAsia="zh-CN"/>
        </w:rPr>
      </w:pPr>
      <w:r>
        <w:rPr>
          <w:rFonts w:hint="eastAsia" w:ascii="仿宋_GB2312" w:hAnsi="黑体" w:eastAsia="仿宋_GB2312" w:cs="Times New Roman"/>
          <w:sz w:val="32"/>
          <w:szCs w:val="32"/>
          <w:highlight w:val="none"/>
        </w:rPr>
        <w:t>设立的政策依据：昌州财教【2024】83号</w:t>
      </w:r>
      <w:r>
        <w:rPr>
          <w:rFonts w:hint="eastAsia" w:ascii="仿宋_GB2312" w:hAnsi="黑体" w:eastAsia="仿宋_GB2312" w:cs="Times New Roman"/>
          <w:sz w:val="32"/>
          <w:szCs w:val="32"/>
          <w:highlight w:val="none"/>
          <w:lang w:val="en-US" w:eastAsia="zh-CN"/>
        </w:rPr>
        <w:t>-</w:t>
      </w:r>
      <w:r>
        <w:rPr>
          <w:rFonts w:hint="eastAsia" w:ascii="仿宋_GB2312" w:hAnsi="黑体" w:eastAsia="仿宋_GB2312" w:cs="Times New Roman"/>
          <w:sz w:val="32"/>
          <w:szCs w:val="32"/>
          <w:highlight w:val="none"/>
          <w:lang w:eastAsia="zh-CN"/>
        </w:rPr>
        <w:t>《关于提前下达2025年自治区公共图书馆 美术馆 文化馆（站）免费开放补助资金的通知》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0.3</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olor w:val="FF0000"/>
          <w:sz w:val="32"/>
          <w:szCs w:val="32"/>
          <w:highlight w:val="none"/>
          <w:lang w:eastAsia="zh-CN"/>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sz w:val="32"/>
          <w:szCs w:val="32"/>
          <w:highlight w:val="none"/>
          <w:lang w:val="en-US" w:eastAsia="zh-CN"/>
        </w:rPr>
        <w:t>0.3万元全部用于制作广告宣传标语。</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lang w:val="en-US" w:eastAsia="zh-CN"/>
        </w:rPr>
        <w:t>8.</w:t>
      </w:r>
      <w:r>
        <w:rPr>
          <w:rFonts w:hint="eastAsia" w:ascii="仿宋_GB2312" w:hAnsi="黑体" w:eastAsia="仿宋_GB2312" w:cs="Times New Roman"/>
          <w:sz w:val="32"/>
          <w:szCs w:val="32"/>
          <w:highlight w:val="none"/>
        </w:rPr>
        <w:t>项目名称：</w:t>
      </w:r>
      <w:r>
        <w:rPr>
          <w:rFonts w:hint="eastAsia" w:ascii="仿宋_GB2312" w:hAnsi="黑体" w:eastAsia="仿宋_GB2312" w:cs="Times New Roman"/>
          <w:sz w:val="32"/>
          <w:szCs w:val="32"/>
          <w:highlight w:val="none"/>
          <w:lang w:val="en-US" w:eastAsia="zh-CN"/>
        </w:rPr>
        <w:t>乡镇消防力量建设工作经费（非定额）</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设立的政策依据：关于印发《呼图壁县乡镇消防力量建设工作实施方案》的通知（呼县政办【2023】56号）文件</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预算安排规模：</w:t>
      </w:r>
      <w:r>
        <w:rPr>
          <w:rFonts w:hint="eastAsia" w:ascii="仿宋_GB2312" w:hAnsi="黑体" w:eastAsia="仿宋_GB2312" w:cs="Times New Roman"/>
          <w:sz w:val="32"/>
          <w:szCs w:val="32"/>
          <w:highlight w:val="none"/>
          <w:lang w:val="en-US" w:eastAsia="zh-CN"/>
        </w:rPr>
        <w:t>1</w:t>
      </w:r>
      <w:r>
        <w:rPr>
          <w:rFonts w:hint="eastAsia" w:ascii="仿宋_GB2312" w:hAnsi="宋体" w:eastAsia="仿宋_GB2312" w:cs="宋体"/>
          <w:spacing w:val="-6"/>
          <w:kern w:val="0"/>
          <w:sz w:val="32"/>
          <w:szCs w:val="32"/>
          <w:highlight w:val="none"/>
        </w:rPr>
        <w:t>万元</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_GB2312" w:hAnsi="黑体" w:eastAsia="仿宋_GB2312" w:cs="Times New Roman"/>
          <w:sz w:val="32"/>
          <w:szCs w:val="32"/>
          <w:highlight w:val="none"/>
        </w:rPr>
      </w:pPr>
      <w:r>
        <w:rPr>
          <w:rFonts w:hint="eastAsia" w:ascii="仿宋_GB2312" w:hAnsi="黑体" w:eastAsia="仿宋_GB2312" w:cs="Times New Roman"/>
          <w:sz w:val="32"/>
          <w:szCs w:val="32"/>
          <w:highlight w:val="none"/>
        </w:rPr>
        <w:t>项目承担单位：呼图壁县呼图壁镇人民政府</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_GB2312"/>
          <w:color w:val="FF0000"/>
          <w:sz w:val="32"/>
          <w:szCs w:val="32"/>
          <w:highlight w:val="none"/>
          <w:lang w:val="en-US" w:eastAsia="zh-CN"/>
        </w:rPr>
      </w:pPr>
      <w:r>
        <w:rPr>
          <w:rFonts w:hint="eastAsia" w:ascii="仿宋_GB2312" w:hAnsi="黑体" w:eastAsia="仿宋_GB2312" w:cs="Times New Roman"/>
          <w:sz w:val="32"/>
          <w:szCs w:val="32"/>
          <w:highlight w:val="none"/>
        </w:rPr>
        <w:t>资金分配情况：</w:t>
      </w:r>
      <w:r>
        <w:rPr>
          <w:rFonts w:hint="eastAsia" w:ascii="仿宋_GB2312" w:hAnsi="黑体" w:eastAsia="仿宋_GB2312" w:cs="Times New Roman"/>
          <w:sz w:val="32"/>
          <w:szCs w:val="32"/>
          <w:highlight w:val="none"/>
          <w:lang w:val="en-US" w:eastAsia="zh-CN"/>
        </w:rPr>
        <w:t>1</w:t>
      </w:r>
      <w:r>
        <w:rPr>
          <w:rFonts w:hint="eastAsia" w:ascii="仿宋_GB2312" w:hAnsi="宋体" w:eastAsia="仿宋_GB2312" w:cs="宋体"/>
          <w:spacing w:val="-6"/>
          <w:kern w:val="0"/>
          <w:sz w:val="32"/>
          <w:szCs w:val="32"/>
          <w:highlight w:val="none"/>
        </w:rPr>
        <w:t>万元</w:t>
      </w:r>
      <w:r>
        <w:rPr>
          <w:rFonts w:hint="eastAsia" w:ascii="仿宋_GB2312" w:hAnsi="宋体" w:eastAsia="仿宋_GB2312" w:cs="宋体"/>
          <w:spacing w:val="-6"/>
          <w:kern w:val="0"/>
          <w:sz w:val="32"/>
          <w:szCs w:val="32"/>
          <w:highlight w:val="none"/>
          <w:lang w:val="en-US" w:eastAsia="zh-CN"/>
        </w:rPr>
        <w:t>全部用于</w:t>
      </w:r>
      <w:r>
        <w:rPr>
          <w:rFonts w:hint="eastAsia" w:ascii="仿宋_GB2312" w:hAnsi="黑体" w:eastAsia="仿宋_GB2312" w:cs="Times New Roman"/>
          <w:sz w:val="32"/>
          <w:szCs w:val="32"/>
          <w:highlight w:val="none"/>
        </w:rPr>
        <w:t>乡镇消防力量建设</w:t>
      </w:r>
      <w:r>
        <w:rPr>
          <w:rFonts w:hint="eastAsia" w:ascii="仿宋_GB2312" w:hAnsi="黑体" w:eastAsia="仿宋_GB2312" w:cs="Times New Roman"/>
          <w:sz w:val="32"/>
          <w:szCs w:val="32"/>
          <w:highlight w:val="none"/>
          <w:lang w:val="en-US" w:eastAsia="zh-CN"/>
        </w:rPr>
        <w:t>经费</w:t>
      </w:r>
    </w:p>
    <w:p>
      <w:pPr>
        <w:pStyle w:val="5"/>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hint="eastAsia" w:ascii="仿宋_GB2312" w:hAnsi="黑体" w:eastAsia="仿宋_GB2312" w:cs="Times New Roman"/>
          <w:sz w:val="32"/>
          <w:szCs w:val="32"/>
          <w:highlight w:val="none"/>
        </w:rPr>
        <w:t>资金执行时间：</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年国有资本经营预算支出</w:t>
      </w:r>
      <w:r>
        <w:rPr>
          <w:rFonts w:hint="eastAsia" w:ascii="仿宋_GB2312" w:hAnsi="仿宋_GB2312" w:eastAsia="仿宋_GB2312" w:cs="仿宋_GB2312"/>
          <w:color w:val="auto"/>
          <w:kern w:val="0"/>
          <w:sz w:val="32"/>
          <w:szCs w:val="32"/>
          <w:highlight w:val="none"/>
          <w:lang w:val="en-US" w:eastAsia="zh-CN"/>
        </w:rPr>
        <w:t>40.53</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2.64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财政安排国有企业退休人员社会化补助资金减少</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Hans"/>
        </w:rPr>
        <w:t>国有资本经营预算支出</w:t>
      </w:r>
      <w:r>
        <w:rPr>
          <w:rFonts w:hint="eastAsia" w:ascii="仿宋_GB2312" w:hAnsi="仿宋_GB2312" w:eastAsia="仿宋_GB2312" w:cs="仿宋_GB2312"/>
          <w:color w:val="auto"/>
          <w:sz w:val="32"/>
          <w:szCs w:val="32"/>
          <w:highlight w:val="none"/>
        </w:rPr>
        <w:t>（类）</w:t>
      </w:r>
      <w:r>
        <w:rPr>
          <w:rFonts w:hint="default" w:ascii="仿宋_GB2312" w:hAnsi="仿宋_GB2312" w:eastAsia="仿宋_GB2312" w:cs="仿宋_GB2312"/>
          <w:color w:val="auto"/>
          <w:sz w:val="32"/>
          <w:szCs w:val="32"/>
          <w:highlight w:val="none"/>
        </w:rPr>
        <w:t>解决历史遗留问题及改革成本支出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Hans"/>
        </w:rPr>
        <w:t>国有企业退休人员社会化管理补助支出</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40.53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下降2.64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sz w:val="32"/>
          <w:szCs w:val="32"/>
          <w:highlight w:val="none"/>
          <w:lang w:val="en-US" w:eastAsia="zh-CN"/>
        </w:rPr>
        <w:t>原因是本年度</w:t>
      </w:r>
      <w:r>
        <w:rPr>
          <w:rFonts w:hint="eastAsia" w:ascii="仿宋_GB2312" w:hAnsi="仿宋_GB2312" w:eastAsia="仿宋_GB2312" w:cs="仿宋_GB2312"/>
          <w:sz w:val="32"/>
          <w:szCs w:val="32"/>
          <w:lang w:val="en-US" w:eastAsia="zh-CN"/>
        </w:rPr>
        <w:t>国企退休人员减少，用于国企退休人员举办各类活动方面的开支减少，上级安排补助减少。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呼图壁县呼图壁镇人民政府2025年财政拨款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33.33%，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主要原因是2024年和2025年均未安排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主要原因是2024年和2025年均安排公务用车购置费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33.33%，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业务量增加</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主要原因是2024年和2025年均未安排公务接待费。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仿宋_GB2312" w:hAnsi="宋体" w:eastAsia="仿宋_GB2312"/>
          <w:b/>
          <w:color w:val="auto"/>
          <w:kern w:val="0"/>
          <w:sz w:val="32"/>
          <w:szCs w:val="32"/>
          <w:highlight w:val="none"/>
          <w:lang w:eastAsia="zh-CN"/>
        </w:rPr>
        <w:t>呼图壁县呼图壁镇人民政府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呼图壁县呼图壁镇人民政府2025年上年结转结余8.2万元，包括：财政拨款8.2万元，非财政拨款0万元，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1.昌州财行【2023】45号2024年度自治区基层人大补助经费0.61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主要用于：人大活动购买办公用品开支。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2.昌州财教【2024】2号2024年中央支持地方公共文化服务体系建设补助资金2万元，主要用于新时代文明实践活动方面开支。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3.2024年无非法集资示范社区[村]建设经费0.5万元，主要用于社区宣传非法集资等活动制作广告宣传册等方面的开支。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4.基层组织建设补助经费-2023年度昌吉州“五个好”标准化规范化党支部补助经费3万元，主要用于社区组织党员开展各类活动方面的开展。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5.2024年中央支持地方公共文化服务体系建设补助资金-群众社火展演、村晚活动经费1.06万元，主要用于举办群众社火展演、村晚活动方面的开展。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_GB2312" w:hAnsi="仿宋_GB2312" w:eastAsia="仿宋_GB2312" w:cs="仿宋_GB2312"/>
          <w:color w:val="auto"/>
          <w:sz w:val="32"/>
          <w:szCs w:val="32"/>
          <w:highlight w:val="none"/>
          <w:lang w:val="en-US" w:eastAsia="zh-CN"/>
        </w:rPr>
        <w:t>6.国有企业退休人员社会化管理补助支出1.04万元，主要用于社区举办各类活动所产生的各类开支。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呼图壁县呼图壁镇人民政府202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2003.93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1742.82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667.47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2025年编外人员工资调整至公用经费类目开支</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采购预算2429.81万元，其中：政府采购货物预算</w:t>
      </w:r>
      <w:r>
        <w:rPr>
          <w:rFonts w:hint="eastAsia" w:ascii="仿宋_GB2312" w:hAnsi="仿宋_GB2312" w:eastAsia="仿宋_GB2312" w:cs="仿宋_GB2312"/>
          <w:color w:val="auto"/>
          <w:kern w:val="0"/>
          <w:sz w:val="32"/>
          <w:szCs w:val="32"/>
          <w:highlight w:val="none"/>
          <w:lang w:val="en-US" w:eastAsia="zh-CN"/>
        </w:rPr>
        <w:t>1068.65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1131.5</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229.66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2429.81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2429.81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36338.17</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11238.59</w:t>
      </w:r>
      <w:r>
        <w:rPr>
          <w:rFonts w:hint="eastAsia" w:ascii="仿宋_GB2312" w:hAnsi="仿宋_GB2312" w:eastAsia="仿宋_GB2312" w:cs="仿宋_GB2312"/>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129.4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779.62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1201.82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呼图壁县呼图壁镇人民政府</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整体预算绩效目标1个，涉及预算金额6838.36万元；当年预算安排项目共11个，其中: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涉及预算金额715.33万元；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2000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eastAsia="zh-CN"/>
              </w:rPr>
              <w:t>呼图壁县呼图壁镇人民政府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孙雅茹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4501361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1.负责人民政府值班工作，及时向县民政府报告重要情况，协助处理各部门和各村反映的重要</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问题，传达和督促落实自治区人民政府的决定。</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2.协助县人民政府组织处理应急事件和重大事故，负责乡镇应急管理日常工作。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3.负责指导、监督乡镇政务公开及政府信息公开工作。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4.根据县人民政府的工作重点，组织专题调查 研究，及时反映情况，提出建议。</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5.负责推进、指导、协调乡镇系统电子 政务工作。</w:t>
            </w:r>
          </w:p>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rPr>
              <w:t>6.承办县人民政府交办的其他事项。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6838.36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项目金额</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color w:val="000000"/>
                <w:sz w:val="18"/>
                <w:szCs w:val="18"/>
                <w:highlight w:val="none"/>
                <w:lang w:eastAsia="zh-CN"/>
              </w:rPr>
              <w:t>≤</w:t>
            </w:r>
            <w:r>
              <w:rPr>
                <w:rFonts w:hint="eastAsia" w:ascii="宋体" w:hAnsi="宋体" w:eastAsia="宋体" w:cs="宋体"/>
                <w:i w:val="0"/>
                <w:iCs w:val="0"/>
                <w:color w:val="000000"/>
                <w:sz w:val="20"/>
                <w:szCs w:val="20"/>
                <w:highlight w:val="none"/>
                <w:u w:val="none"/>
              </w:rPr>
              <w:t>6838.36</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color w:val="000000"/>
                <w:sz w:val="18"/>
                <w:szCs w:val="18"/>
                <w:highlight w:val="none"/>
                <w:lang w:eastAsia="zh-CN"/>
              </w:rPr>
              <w:t>工作资料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开展隐患排查次数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5</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城乡居民医疗保险参保人数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≧23000人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呼图壁镇人民政府202</w:t>
            </w:r>
            <w:r>
              <w:rPr>
                <w:rFonts w:hint="eastAsia" w:ascii="宋体" w:hAnsi="宋体" w:cs="宋体"/>
                <w:i w:val="0"/>
                <w:iCs w:val="0"/>
                <w:color w:val="000000"/>
                <w:sz w:val="18"/>
                <w:szCs w:val="18"/>
                <w:u w:val="none"/>
                <w:lang w:val="en-US" w:eastAsia="zh-CN"/>
              </w:rPr>
              <w:t>5</w:t>
            </w:r>
            <w:r>
              <w:rPr>
                <w:rFonts w:hint="eastAsia" w:ascii="宋体" w:hAnsi="宋体" w:eastAsia="宋体" w:cs="宋体"/>
                <w:i w:val="0"/>
                <w:iCs w:val="0"/>
                <w:color w:val="000000"/>
                <w:sz w:val="18"/>
                <w:szCs w:val="18"/>
                <w:u w:val="none"/>
              </w:rPr>
              <w:t>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改善社区居民生活品质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有效改善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color w:val="000000"/>
                <w:sz w:val="18"/>
                <w:szCs w:val="18"/>
                <w:highlight w:val="none"/>
                <w:lang w:eastAsia="zh-CN"/>
              </w:rPr>
              <w:t>工作资料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kern w:val="0"/>
                <w:sz w:val="18"/>
                <w:szCs w:val="18"/>
                <w:highlight w:val="none"/>
                <w:lang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收益群众满意度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color w:val="000000"/>
                <w:sz w:val="18"/>
                <w:szCs w:val="18"/>
                <w:highlight w:val="none"/>
                <w:lang w:eastAsia="zh-CN"/>
              </w:rPr>
              <w:t>工作资料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bl>
    <w:p>
      <w:pPr>
        <w:widowControl/>
        <w:jc w:val="both"/>
        <w:textAlignment w:val="center"/>
        <w:rPr>
          <w:rFonts w:hint="eastAsia" w:ascii="仿宋_GB2312" w:hAnsi="宋体" w:eastAsia="仿宋_GB2312" w:cs="仿宋_GB2312"/>
          <w:b/>
          <w:color w:val="000000"/>
          <w:kern w:val="0"/>
          <w:sz w:val="32"/>
          <w:szCs w:val="32"/>
          <w:highlight w:val="none"/>
          <w:lang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515"/>
        <w:tblOverlap w:val="never"/>
        <w:tblW w:w="10216" w:type="dxa"/>
        <w:tblInd w:w="0" w:type="dxa"/>
        <w:tblLayout w:type="autofit"/>
        <w:tblCellMar>
          <w:top w:w="0" w:type="dxa"/>
          <w:left w:w="108" w:type="dxa"/>
          <w:bottom w:w="0" w:type="dxa"/>
          <w:right w:w="108" w:type="dxa"/>
        </w:tblCellMar>
      </w:tblPr>
      <w:tblGrid>
        <w:gridCol w:w="842"/>
        <w:gridCol w:w="1714"/>
        <w:gridCol w:w="1162"/>
        <w:gridCol w:w="1280"/>
        <w:gridCol w:w="1315"/>
        <w:gridCol w:w="1180"/>
        <w:gridCol w:w="1035"/>
        <w:gridCol w:w="774"/>
        <w:gridCol w:w="914"/>
      </w:tblGrid>
      <w:tr>
        <w:tblPrEx>
          <w:tblCellMar>
            <w:top w:w="0" w:type="dxa"/>
            <w:left w:w="108" w:type="dxa"/>
            <w:bottom w:w="0" w:type="dxa"/>
            <w:right w:w="108" w:type="dxa"/>
          </w:tblCellMar>
        </w:tblPrEx>
        <w:trPr>
          <w:trHeight w:val="616" w:hRule="atLeast"/>
        </w:trPr>
        <w:tc>
          <w:tcPr>
            <w:tcW w:w="10216"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216"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660"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7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各乡镇村、社区运转经费-保民生（非定额）</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张思凡</w:t>
            </w:r>
          </w:p>
        </w:tc>
      </w:tr>
      <w:tr>
        <w:tblPrEx>
          <w:tblCellMar>
            <w:top w:w="0" w:type="dxa"/>
            <w:left w:w="108" w:type="dxa"/>
            <w:bottom w:w="0" w:type="dxa"/>
            <w:right w:w="108" w:type="dxa"/>
          </w:tblCellMar>
        </w:tblPrEx>
        <w:trPr>
          <w:trHeight w:val="681"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365</w:t>
            </w:r>
          </w:p>
        </w:tc>
        <w:tc>
          <w:tcPr>
            <w:tcW w:w="131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365</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660"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保障18个社区各项工作正常运转；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CellMar>
            <w:top w:w="0" w:type="dxa"/>
            <w:left w:w="108" w:type="dxa"/>
            <w:bottom w:w="0" w:type="dxa"/>
            <w:right w:w="108" w:type="dxa"/>
          </w:tblCellMar>
        </w:tblPrEx>
        <w:trPr>
          <w:trHeight w:val="626"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365万元</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16" w:hRule="atLeast"/>
        </w:trPr>
        <w:tc>
          <w:tcPr>
            <w:tcW w:w="10216"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216"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660"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7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2024年服务群众工作经费【非定额+乡财】</w:t>
            </w:r>
          </w:p>
        </w:tc>
        <w:tc>
          <w:tcPr>
            <w:tcW w:w="221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张思凡</w:t>
            </w:r>
          </w:p>
        </w:tc>
      </w:tr>
      <w:tr>
        <w:tblPrEx>
          <w:tblCellMar>
            <w:top w:w="0" w:type="dxa"/>
            <w:left w:w="108" w:type="dxa"/>
            <w:bottom w:w="0" w:type="dxa"/>
            <w:right w:w="108" w:type="dxa"/>
          </w:tblCellMar>
        </w:tblPrEx>
        <w:trPr>
          <w:trHeight w:val="681"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180</w:t>
            </w:r>
          </w:p>
        </w:tc>
        <w:tc>
          <w:tcPr>
            <w:tcW w:w="131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180</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68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55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660"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1.保障社区各项工作正常运转；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CellMar>
            <w:top w:w="0" w:type="dxa"/>
            <w:left w:w="108" w:type="dxa"/>
            <w:bottom w:w="0" w:type="dxa"/>
            <w:right w:w="108" w:type="dxa"/>
          </w:tblCellMar>
        </w:tblPrEx>
        <w:trPr>
          <w:trHeight w:val="626"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w:t>
            </w:r>
            <w:r>
              <w:rPr>
                <w:rFonts w:hint="eastAsia" w:ascii="宋体" w:hAnsi="宋体" w:cs="宋体"/>
                <w:color w:val="000000"/>
                <w:sz w:val="18"/>
                <w:szCs w:val="18"/>
                <w:highlight w:val="none"/>
                <w:lang w:val="en-US" w:eastAsia="zh-CN"/>
              </w:rPr>
              <w:t>社区</w:t>
            </w:r>
            <w:r>
              <w:rPr>
                <w:rFonts w:hint="eastAsia" w:ascii="宋体" w:hAnsi="宋体" w:cs="宋体"/>
                <w:color w:val="000000"/>
                <w:sz w:val="18"/>
                <w:szCs w:val="18"/>
                <w:highlight w:val="none"/>
                <w:lang w:eastAsia="zh-CN"/>
              </w:rPr>
              <w:t>运转时间</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仿宋_GB2312" w:hAnsi="宋体" w:eastAsia="仿宋_GB2312" w:cs="宋体"/>
                <w:color w:val="000000"/>
                <w:sz w:val="20"/>
                <w:szCs w:val="20"/>
                <w:highlight w:val="none"/>
                <w:lang w:val="en-US" w:eastAsia="zh-CN"/>
              </w:rPr>
              <w:t>180</w:t>
            </w:r>
            <w:r>
              <w:rPr>
                <w:rFonts w:hint="eastAsia" w:ascii="宋体" w:hAnsi="宋体" w:cs="宋体"/>
                <w:color w:val="000000"/>
                <w:sz w:val="18"/>
                <w:szCs w:val="18"/>
                <w:highlight w:val="none"/>
                <w:lang w:val="en-US" w:eastAsia="zh-CN"/>
              </w:rPr>
              <w:t>万元</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42"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4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4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7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31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5"/>
        <w:rPr>
          <w:rFonts w:hint="eastAsia"/>
        </w:rPr>
      </w:pPr>
    </w:p>
    <w:tbl>
      <w:tblPr>
        <w:tblStyle w:val="7"/>
        <w:tblpPr w:leftFromText="180" w:rightFromText="180" w:vertAnchor="text" w:horzAnchor="page" w:tblpX="1103" w:tblpY="1"/>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768"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乡镇基层运转经费（非定额）</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张思凡</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100</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100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保障呼图壁镇各项工作正常运转；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100万元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各乡镇纪委监察办公室工作经费（非定额）</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张淑娟</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16.5</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16.5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w:t>
            </w:r>
            <w:r>
              <w:rPr>
                <w:rFonts w:hint="eastAsia" w:ascii="宋体" w:hAnsi="宋体" w:cs="宋体"/>
                <w:color w:val="000000"/>
                <w:sz w:val="18"/>
                <w:szCs w:val="18"/>
                <w:highlight w:val="none"/>
                <w:lang w:eastAsia="zh-CN"/>
              </w:rPr>
              <w:t>乡镇纪委监察</w:t>
            </w:r>
            <w:r>
              <w:rPr>
                <w:rFonts w:hint="eastAsia" w:ascii="宋体" w:hAnsi="宋体" w:cs="宋体"/>
                <w:color w:val="000000"/>
                <w:sz w:val="18"/>
                <w:szCs w:val="18"/>
                <w:highlight w:val="none"/>
                <w:lang w:val="en-US" w:eastAsia="zh-CN"/>
              </w:rPr>
              <w:t>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16.5万元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w:t>
            </w:r>
            <w:r>
              <w:rPr>
                <w:rFonts w:hint="eastAsia" w:ascii="宋体" w:hAnsi="宋体" w:cs="宋体"/>
                <w:color w:val="000000"/>
                <w:sz w:val="22"/>
                <w:szCs w:val="22"/>
                <w:highlight w:val="none"/>
                <w:lang w:val="en-US" w:eastAsia="zh-CN"/>
              </w:rPr>
              <w:t>25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各乡镇监察信息员工作经费（非定额）</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张淑娟</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eastAsia="宋体" w:cs="宋体"/>
                <w:color w:val="000000"/>
                <w:sz w:val="18"/>
                <w:szCs w:val="18"/>
                <w:highlight w:val="none"/>
                <w:lang w:val="en-US" w:eastAsia="zh-CN"/>
              </w:rPr>
              <w:t>8.4</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eastAsia="宋体" w:cs="宋体"/>
                <w:color w:val="000000"/>
                <w:sz w:val="18"/>
                <w:szCs w:val="18"/>
                <w:highlight w:val="none"/>
                <w:lang w:val="en-US" w:eastAsia="zh-CN"/>
              </w:rPr>
              <w:t>8.4</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保障纪检监察各项工作正常运转；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8.4万元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widowControl/>
        <w:jc w:val="center"/>
        <w:textAlignment w:val="center"/>
        <w:rPr>
          <w:rFonts w:hint="eastAsia" w:ascii="仿宋_GB2312" w:hAnsi="宋体" w:eastAsia="仿宋_GB2312" w:cs="仿宋_GB2312"/>
          <w:b/>
          <w:color w:val="000000"/>
          <w:kern w:val="0"/>
          <w:sz w:val="32"/>
          <w:szCs w:val="32"/>
          <w:highlight w:val="none"/>
          <w:lang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1"/>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乡镇消防力量建设工作经费（非定额）</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张晓燕</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1</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1</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1.保障乡镇消防各项工作正常运转；</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2.提升社区运转能力，为群众提供更好更高质量的公共服务；</w:t>
            </w:r>
          </w:p>
          <w:p>
            <w:pPr>
              <w:numPr>
                <w:ilvl w:val="0"/>
                <w:numId w:val="0"/>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3.提高城镇辖区居民对社区公共服务的满意度。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仿宋_GB2312" w:hAnsi="宋体" w:eastAsia="仿宋_GB2312" w:cs="宋体"/>
                <w:color w:val="000000"/>
                <w:sz w:val="20"/>
                <w:szCs w:val="20"/>
                <w:highlight w:val="none"/>
                <w:lang w:val="en-US" w:eastAsia="zh-CN"/>
              </w:rPr>
              <w:t>1</w:t>
            </w:r>
            <w:r>
              <w:rPr>
                <w:rFonts w:hint="eastAsia" w:ascii="宋体" w:hAnsi="宋体" w:cs="宋体"/>
                <w:color w:val="000000"/>
                <w:sz w:val="18"/>
                <w:szCs w:val="18"/>
                <w:highlight w:val="none"/>
                <w:lang w:val="en-US" w:eastAsia="zh-CN"/>
              </w:rPr>
              <w:t>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w:t>
            </w:r>
            <w:r>
              <w:rPr>
                <w:rFonts w:hint="eastAsia" w:ascii="宋体" w:hAnsi="宋体" w:cs="宋体"/>
                <w:color w:val="000000"/>
                <w:sz w:val="22"/>
                <w:szCs w:val="22"/>
                <w:highlight w:val="none"/>
                <w:lang w:val="en-US" w:eastAsia="zh-CN"/>
              </w:rPr>
              <w:t>25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提前下达中央2025年公共图书馆、美术馆、文化馆（站）免费开放补助资金</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胡依依</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val="en-US" w:eastAsia="zh-CN"/>
              </w:rPr>
              <w:t>3.6</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3.6</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保障文化宣传各项工作正常运转；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3.6万元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pStyle w:val="5"/>
        <w:rPr>
          <w:rFonts w:hint="eastAsi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515"/>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w:t>
            </w:r>
            <w:r>
              <w:rPr>
                <w:rFonts w:hint="eastAsia" w:ascii="宋体" w:hAnsi="宋体" w:cs="宋体"/>
                <w:color w:val="000000"/>
                <w:sz w:val="22"/>
                <w:szCs w:val="22"/>
                <w:highlight w:val="none"/>
                <w:lang w:val="en-US" w:eastAsia="zh-CN"/>
              </w:rPr>
              <w:t>25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提前下达自治区2025年公共图书馆、美术馆、文化馆（站）免费开放补助资金</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val="en-US" w:eastAsia="zh-CN"/>
              </w:rPr>
              <w:t>胡依依</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val="en-US" w:eastAsia="zh-CN"/>
              </w:rPr>
              <w:t>0.3</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val="en-US" w:eastAsia="zh-CN"/>
              </w:rPr>
              <w:t>0.3</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1"/>
              </w:numPr>
              <w:jc w:val="left"/>
              <w:rPr>
                <w:rFonts w:hint="eastAsia"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保障文化宣传各项工作正常运转；</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提升社区运转能力，为群众提供更好更高质量的公共服务；</w:t>
            </w:r>
          </w:p>
          <w:p>
            <w:pPr>
              <w:numPr>
                <w:ilvl w:val="0"/>
                <w:numId w:val="1"/>
              </w:numPr>
              <w:jc w:val="left"/>
              <w:rPr>
                <w:rFonts w:hint="default" w:ascii="宋体" w:hAnsi="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提高城镇辖区居民对社区公共服务的满意度。</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社区个数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18个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保障社区运转时间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0.3万元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3万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7"/>
        <w:tblpPr w:leftFromText="180" w:rightFromText="180" w:vertAnchor="text" w:horzAnchor="page" w:tblpX="1103" w:tblpY="1"/>
        <w:tblOverlap w:val="never"/>
        <w:tblW w:w="10000" w:type="dxa"/>
        <w:tblInd w:w="0" w:type="dxa"/>
        <w:tblLayout w:type="autofit"/>
        <w:tblCellMar>
          <w:top w:w="0" w:type="dxa"/>
          <w:left w:w="108" w:type="dxa"/>
          <w:bottom w:w="0" w:type="dxa"/>
          <w:right w:w="108" w:type="dxa"/>
        </w:tblCellMar>
      </w:tblPr>
      <w:tblGrid>
        <w:gridCol w:w="876"/>
        <w:gridCol w:w="1296"/>
        <w:gridCol w:w="1182"/>
        <w:gridCol w:w="1320"/>
        <w:gridCol w:w="1411"/>
        <w:gridCol w:w="1168"/>
        <w:gridCol w:w="990"/>
        <w:gridCol w:w="772"/>
        <w:gridCol w:w="985"/>
      </w:tblGrid>
      <w:tr>
        <w:tblPrEx>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highlight w:val="none"/>
              </w:rPr>
            </w:pPr>
            <w:bookmarkStart w:id="1" w:name="_GoBack"/>
            <w:bookmarkEnd w:id="1"/>
            <w:r>
              <w:rPr>
                <w:rFonts w:hint="eastAsia" w:ascii="仿宋_GB2312" w:hAnsi="宋体" w:eastAsia="仿宋_GB2312" w:cs="仿宋_GB2312"/>
                <w:b/>
                <w:color w:val="000000"/>
                <w:kern w:val="0"/>
                <w:sz w:val="32"/>
                <w:szCs w:val="32"/>
                <w:highlight w:val="none"/>
                <w:lang w:bidi="ar"/>
              </w:rPr>
              <w:t>项  目  支  出  绩  效  目  标  表</w:t>
            </w:r>
          </w:p>
        </w:tc>
      </w:tr>
      <w:tr>
        <w:tblPrEx>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highlight w:val="none"/>
                <w:lang w:eastAsia="zh-Hans"/>
              </w:rPr>
            </w:pPr>
            <w:r>
              <w:rPr>
                <w:rFonts w:hint="eastAsia" w:ascii="宋体" w:hAnsi="宋体" w:cs="宋体"/>
                <w:color w:val="000000"/>
                <w:sz w:val="22"/>
                <w:szCs w:val="22"/>
                <w:highlight w:val="none"/>
                <w:lang w:eastAsia="zh-Hans"/>
              </w:rPr>
              <w:t>（</w:t>
            </w:r>
            <w:r>
              <w:rPr>
                <w:rFonts w:ascii="宋体" w:hAnsi="宋体" w:cs="宋体"/>
                <w:color w:val="000000"/>
                <w:sz w:val="22"/>
                <w:szCs w:val="22"/>
                <w:highlight w:val="none"/>
                <w:lang w:eastAsia="zh-Hans"/>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lang w:eastAsia="zh-Hans"/>
              </w:rPr>
              <w:t>年）</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eastAsia="zh-CN"/>
              </w:rPr>
            </w:pPr>
            <w:r>
              <w:rPr>
                <w:rFonts w:hint="eastAsia" w:ascii="宋体" w:hAnsi="宋体" w:eastAsia="宋体" w:cs="宋体"/>
                <w:color w:val="000000"/>
                <w:kern w:val="0"/>
                <w:sz w:val="18"/>
                <w:szCs w:val="18"/>
                <w:highlight w:val="none"/>
                <w:lang w:bidi="ar"/>
              </w:rPr>
              <w:t>呼图壁县呼图壁镇人民政府</w:t>
            </w:r>
          </w:p>
        </w:tc>
      </w:tr>
      <w:tr>
        <w:tblPrEx>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eastAsia="zh-CN"/>
              </w:rPr>
              <w:t>202</w:t>
            </w:r>
            <w:r>
              <w:rPr>
                <w:rFonts w:hint="eastAsia" w:ascii="仿宋_GB2312" w:hAnsi="宋体" w:eastAsia="仿宋_GB2312" w:cs="宋体"/>
                <w:color w:val="000000"/>
                <w:sz w:val="20"/>
                <w:szCs w:val="20"/>
                <w:highlight w:val="none"/>
                <w:lang w:val="en-US" w:eastAsia="zh-CN"/>
              </w:rPr>
              <w:t>5</w:t>
            </w:r>
            <w:r>
              <w:rPr>
                <w:rFonts w:hint="eastAsia" w:ascii="仿宋_GB2312" w:hAnsi="宋体" w:eastAsia="仿宋_GB2312" w:cs="宋体"/>
                <w:color w:val="000000"/>
                <w:sz w:val="20"/>
                <w:szCs w:val="20"/>
                <w:highlight w:val="none"/>
                <w:lang w:eastAsia="zh-CN"/>
              </w:rPr>
              <w:t>年国有企业退休人员社会化管理补助资</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柴伟</w:t>
            </w:r>
          </w:p>
        </w:tc>
      </w:tr>
      <w:tr>
        <w:tblPrEx>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年度预算总额：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color w:val="000000"/>
                <w:sz w:val="18"/>
                <w:szCs w:val="18"/>
                <w:highlight w:val="none"/>
                <w:lang w:val="en-US"/>
              </w:rPr>
            </w:pPr>
            <w:r>
              <w:rPr>
                <w:rFonts w:hint="eastAsia" w:ascii="仿宋_GB2312" w:hAnsi="宋体" w:eastAsia="仿宋_GB2312" w:cs="宋体"/>
                <w:color w:val="000000"/>
                <w:sz w:val="20"/>
                <w:szCs w:val="20"/>
                <w:highlight w:val="none"/>
                <w:lang w:val="en-US" w:eastAsia="zh-CN"/>
              </w:rPr>
              <w:t>40.53</w:t>
            </w:r>
          </w:p>
        </w:tc>
        <w:tc>
          <w:tcPr>
            <w:tcW w:w="141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r>
              <w:rPr>
                <w:rFonts w:hint="eastAsia" w:ascii="仿宋_GB2312" w:hAnsi="宋体" w:eastAsia="仿宋_GB2312" w:cs="宋体"/>
                <w:color w:val="000000"/>
                <w:sz w:val="20"/>
                <w:szCs w:val="20"/>
                <w:highlight w:val="none"/>
                <w:lang w:val="en-US" w:eastAsia="zh-CN"/>
              </w:rPr>
              <w:t>40.53</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top"/>
          </w:tcPr>
          <w:p>
            <w:pPr>
              <w:numPr>
                <w:ilvl w:val="0"/>
                <w:numId w:val="0"/>
              </w:numPr>
              <w:ind w:firstLine="360" w:firstLineChars="200"/>
              <w:jc w:val="left"/>
              <w:rPr>
                <w:rFonts w:hint="default" w:ascii="宋体" w:hAnsi="宋体" w:cs="宋体"/>
                <w:color w:val="000000"/>
                <w:sz w:val="18"/>
                <w:szCs w:val="18"/>
                <w:highlight w:val="none"/>
                <w:lang w:val="en-US" w:eastAsia="zh-CN"/>
              </w:rPr>
            </w:pPr>
            <w:r>
              <w:rPr>
                <w:rFonts w:hint="eastAsia" w:ascii="宋体" w:hAnsi="宋体" w:cs="宋体"/>
                <w:sz w:val="18"/>
                <w:szCs w:val="18"/>
                <w:highlight w:val="none"/>
              </w:rPr>
              <w:t>通过本项目，增加</w:t>
            </w:r>
            <w:r>
              <w:rPr>
                <w:rFonts w:hint="eastAsia" w:ascii="仿宋_GB2312" w:hAnsi="宋体" w:eastAsia="仿宋_GB2312" w:cs="宋体"/>
                <w:color w:val="000000"/>
                <w:sz w:val="20"/>
                <w:szCs w:val="20"/>
                <w:highlight w:val="none"/>
                <w:lang w:eastAsia="zh-CN"/>
              </w:rPr>
              <w:t>202</w:t>
            </w:r>
            <w:r>
              <w:rPr>
                <w:rFonts w:hint="eastAsia" w:ascii="仿宋_GB2312" w:hAnsi="宋体" w:eastAsia="仿宋_GB2312" w:cs="宋体"/>
                <w:color w:val="000000"/>
                <w:sz w:val="20"/>
                <w:szCs w:val="20"/>
                <w:highlight w:val="none"/>
                <w:lang w:val="en-US" w:eastAsia="zh-CN"/>
              </w:rPr>
              <w:t>5</w:t>
            </w:r>
            <w:r>
              <w:rPr>
                <w:rFonts w:hint="eastAsia" w:ascii="仿宋_GB2312" w:hAnsi="宋体" w:eastAsia="仿宋_GB2312" w:cs="宋体"/>
                <w:color w:val="000000"/>
                <w:sz w:val="20"/>
                <w:szCs w:val="20"/>
                <w:highlight w:val="none"/>
                <w:lang w:eastAsia="zh-CN"/>
              </w:rPr>
              <w:t>年国有企业退休人员社会化管理</w:t>
            </w:r>
            <w:r>
              <w:rPr>
                <w:rFonts w:hint="eastAsia" w:ascii="仿宋_GB2312" w:hAnsi="宋体" w:eastAsia="仿宋_GB2312" w:cs="宋体"/>
                <w:color w:val="000000"/>
                <w:sz w:val="20"/>
                <w:szCs w:val="20"/>
                <w:highlight w:val="none"/>
                <w:lang w:val="en-US" w:eastAsia="zh-CN"/>
              </w:rPr>
              <w:t>补助资金，</w:t>
            </w:r>
            <w:r>
              <w:rPr>
                <w:rFonts w:hint="eastAsia" w:ascii="宋体" w:hAnsi="宋体" w:cs="宋体"/>
                <w:sz w:val="18"/>
                <w:szCs w:val="18"/>
                <w:highlight w:val="none"/>
              </w:rPr>
              <w:t>满足服务群众的需要，能够正常开展各类文化活动，提高居民群众的需求提高幸福指数。</w:t>
            </w:r>
          </w:p>
        </w:tc>
      </w:tr>
      <w:tr>
        <w:tblPrEx>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项目个数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1个</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项目开展时间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1年</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计划标准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项目金额</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仿宋_GB2312" w:hAnsi="宋体" w:eastAsia="仿宋_GB2312" w:cs="宋体"/>
                <w:color w:val="000000"/>
                <w:sz w:val="20"/>
                <w:szCs w:val="20"/>
                <w:highlight w:val="none"/>
                <w:lang w:val="en-US" w:eastAsia="zh-CN"/>
              </w:rPr>
              <w:t>40.534</w:t>
            </w:r>
            <w:r>
              <w:rPr>
                <w:rFonts w:hint="eastAsia" w:ascii="宋体" w:hAnsi="宋体" w:cs="宋体"/>
                <w:color w:val="000000"/>
                <w:sz w:val="18"/>
                <w:szCs w:val="18"/>
                <w:highlight w:val="none"/>
                <w:lang w:val="en-US" w:eastAsia="zh-CN"/>
              </w:rPr>
              <w:t>万元</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生态成本指标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r>
      <w:tr>
        <w:tblPrEx>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highlight w:val="none"/>
                <w:lang w:bidi="ar"/>
              </w:rPr>
            </w:pPr>
          </w:p>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项目收益人数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color w:val="000000"/>
                <w:sz w:val="18"/>
                <w:szCs w:val="18"/>
                <w:highlight w:val="none"/>
                <w:lang w:val="en-US"/>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1万</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改善社区居民生活品质</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有效改善</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highlight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生态效益指标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保护社区生态环境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有效保护</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r>
              <w:rPr>
                <w:rFonts w:hint="eastAsia" w:ascii="宋体" w:hAnsi="宋体" w:cs="宋体"/>
                <w:color w:val="000000"/>
                <w:sz w:val="18"/>
                <w:szCs w:val="18"/>
                <w:highlight w:val="none"/>
                <w:lang w:eastAsia="zh-CN"/>
              </w:rPr>
              <w:t>其他标准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highlight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按照完成比例赋分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kern w:val="2"/>
                <w:sz w:val="18"/>
                <w:szCs w:val="18"/>
                <w:highlight w:val="none"/>
                <w:lang w:val="en-US" w:eastAsia="zh-CN" w:bidi="ar-SA"/>
              </w:rPr>
            </w:pPr>
            <w:r>
              <w:rPr>
                <w:rFonts w:hint="eastAsia" w:ascii="宋体" w:hAnsi="宋体" w:cs="宋体"/>
                <w:color w:val="000000"/>
                <w:sz w:val="18"/>
                <w:szCs w:val="18"/>
                <w:highlight w:val="none"/>
                <w:lang w:eastAsia="zh-CN"/>
              </w:rPr>
              <w:t>工作资料</w:t>
            </w:r>
          </w:p>
        </w:tc>
      </w:tr>
      <w:tr>
        <w:tblPrEx>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收益群众满意度</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eastAsia="zh-CN"/>
              </w:rPr>
              <w:t>≥</w:t>
            </w:r>
            <w:r>
              <w:rPr>
                <w:rFonts w:hint="eastAsia" w:ascii="宋体" w:hAnsi="宋体" w:cs="宋体"/>
                <w:color w:val="000000"/>
                <w:sz w:val="18"/>
                <w:szCs w:val="18"/>
                <w:highlight w:val="none"/>
                <w:lang w:val="en-US" w:eastAsia="zh-CN"/>
              </w:rPr>
              <w:t>90%</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历史标准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满意度赋分</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highlight w:val="none"/>
                <w:lang w:eastAsia="zh-CN"/>
              </w:rPr>
            </w:pPr>
            <w:r>
              <w:rPr>
                <w:rFonts w:hint="eastAsia" w:ascii="宋体" w:hAnsi="宋体" w:cs="宋体"/>
                <w:color w:val="000000"/>
                <w:sz w:val="18"/>
                <w:szCs w:val="18"/>
                <w:highlight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本部门涉及非财政拨款项目</w:t>
      </w:r>
      <w:r>
        <w:rPr>
          <w:rFonts w:hint="eastAsia" w:ascii="仿宋" w:hAnsi="微软雅黑" w:eastAsia="仿宋" w:cs="Times New Roman"/>
          <w:sz w:val="28"/>
          <w:szCs w:val="28"/>
          <w:lang w:val="en-US" w:eastAsia="zh-CN"/>
        </w:rPr>
        <w:t>2</w:t>
      </w:r>
      <w:r>
        <w:rPr>
          <w:rFonts w:hint="eastAsia" w:ascii="仿宋" w:hAnsi="微软雅黑" w:eastAsia="仿宋" w:cs="Times New Roman"/>
          <w:sz w:val="28"/>
          <w:szCs w:val="28"/>
        </w:rPr>
        <w:t>个，涉及预算资金</w:t>
      </w:r>
      <w:r>
        <w:rPr>
          <w:rFonts w:hint="eastAsia" w:ascii="仿宋" w:hAnsi="微软雅黑" w:eastAsia="仿宋" w:cs="Times New Roman"/>
          <w:sz w:val="28"/>
          <w:szCs w:val="28"/>
          <w:lang w:val="en-US" w:eastAsia="zh-CN"/>
        </w:rPr>
        <w:t>2000</w:t>
      </w:r>
      <w:r>
        <w:rPr>
          <w:rFonts w:hint="eastAsia" w:ascii="仿宋" w:hAnsi="微软雅黑" w:eastAsia="仿宋" w:cs="Times New Roman"/>
          <w:sz w:val="28"/>
          <w:szCs w:val="28"/>
        </w:rPr>
        <w:t>万元，</w:t>
      </w:r>
      <w:r>
        <w:rPr>
          <w:rFonts w:hint="eastAsia" w:ascii="仿宋" w:hAnsi="仿宋" w:eastAsia="仿宋" w:cs="仿宋"/>
          <w:sz w:val="28"/>
          <w:szCs w:val="28"/>
          <w:lang w:eastAsia="zh-CN"/>
        </w:rPr>
        <w:t>主要原因是用于弥补日常公用经费，</w:t>
      </w:r>
      <w:r>
        <w:rPr>
          <w:rFonts w:hint="eastAsia" w:ascii="仿宋" w:hAnsi="微软雅黑" w:eastAsia="仿宋" w:cs="Times New Roman"/>
          <w:sz w:val="28"/>
          <w:szCs w:val="28"/>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4798" w:leftChars="304" w:hanging="4160" w:hangingChars="1300"/>
        <w:jc w:val="both"/>
        <w:textAlignment w:val="auto"/>
        <w:outlineLvl w:val="9"/>
        <w:rPr>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呼图壁县呼图壁镇人民政府</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27FDEF"/>
    <w:multiLevelType w:val="singleLevel"/>
    <w:tmpl w:val="2527FDE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203FD1"/>
    <w:rsid w:val="00D73F12"/>
    <w:rsid w:val="00E41A1F"/>
    <w:rsid w:val="017B2F92"/>
    <w:rsid w:val="020066E0"/>
    <w:rsid w:val="020E507E"/>
    <w:rsid w:val="021D0BDF"/>
    <w:rsid w:val="02270354"/>
    <w:rsid w:val="02732F8E"/>
    <w:rsid w:val="02CB7F49"/>
    <w:rsid w:val="02D15C6F"/>
    <w:rsid w:val="02F16A2E"/>
    <w:rsid w:val="03355C1D"/>
    <w:rsid w:val="037800D1"/>
    <w:rsid w:val="04267087"/>
    <w:rsid w:val="04267B2D"/>
    <w:rsid w:val="044C330C"/>
    <w:rsid w:val="0511682F"/>
    <w:rsid w:val="05397FD9"/>
    <w:rsid w:val="053A3164"/>
    <w:rsid w:val="057A5F58"/>
    <w:rsid w:val="05CA273A"/>
    <w:rsid w:val="06843F59"/>
    <w:rsid w:val="068D5698"/>
    <w:rsid w:val="06D03B4B"/>
    <w:rsid w:val="06F531DE"/>
    <w:rsid w:val="070E6657"/>
    <w:rsid w:val="080E3E4F"/>
    <w:rsid w:val="083D057F"/>
    <w:rsid w:val="084451C2"/>
    <w:rsid w:val="08450B28"/>
    <w:rsid w:val="08762705"/>
    <w:rsid w:val="088F5575"/>
    <w:rsid w:val="08E81855"/>
    <w:rsid w:val="0A4168EC"/>
    <w:rsid w:val="0A8A537E"/>
    <w:rsid w:val="0AD672A7"/>
    <w:rsid w:val="0B247F12"/>
    <w:rsid w:val="0B324148"/>
    <w:rsid w:val="0B477E5B"/>
    <w:rsid w:val="0B7C3034"/>
    <w:rsid w:val="0B7D33FD"/>
    <w:rsid w:val="0B841FFD"/>
    <w:rsid w:val="0BC55E6C"/>
    <w:rsid w:val="0BD56A2F"/>
    <w:rsid w:val="0BDE7CE7"/>
    <w:rsid w:val="0BE65318"/>
    <w:rsid w:val="0C0A3890"/>
    <w:rsid w:val="0C0F34D6"/>
    <w:rsid w:val="0C4E1FB1"/>
    <w:rsid w:val="0C80339D"/>
    <w:rsid w:val="0CD20198"/>
    <w:rsid w:val="0CEC568C"/>
    <w:rsid w:val="0D41373C"/>
    <w:rsid w:val="0D6E5FD0"/>
    <w:rsid w:val="0DA2526E"/>
    <w:rsid w:val="0E21525D"/>
    <w:rsid w:val="0E320E7D"/>
    <w:rsid w:val="0E7A2E14"/>
    <w:rsid w:val="0E9208E7"/>
    <w:rsid w:val="0FE45B60"/>
    <w:rsid w:val="0FF56664"/>
    <w:rsid w:val="10587512"/>
    <w:rsid w:val="105D0E37"/>
    <w:rsid w:val="105F120E"/>
    <w:rsid w:val="10916BDA"/>
    <w:rsid w:val="1102429F"/>
    <w:rsid w:val="11036B00"/>
    <w:rsid w:val="11301FEB"/>
    <w:rsid w:val="113D1F8E"/>
    <w:rsid w:val="11467256"/>
    <w:rsid w:val="118164E2"/>
    <w:rsid w:val="119D06B8"/>
    <w:rsid w:val="11B6451D"/>
    <w:rsid w:val="11D53670"/>
    <w:rsid w:val="121E62E8"/>
    <w:rsid w:val="12A459EA"/>
    <w:rsid w:val="12BE56CF"/>
    <w:rsid w:val="12CB0B63"/>
    <w:rsid w:val="12EC1BC2"/>
    <w:rsid w:val="13182D28"/>
    <w:rsid w:val="16893D41"/>
    <w:rsid w:val="1697741D"/>
    <w:rsid w:val="186339CC"/>
    <w:rsid w:val="18AB19BB"/>
    <w:rsid w:val="19515F8D"/>
    <w:rsid w:val="19680F0E"/>
    <w:rsid w:val="19A215AC"/>
    <w:rsid w:val="1A0E17E4"/>
    <w:rsid w:val="1A132B78"/>
    <w:rsid w:val="1A1A27C8"/>
    <w:rsid w:val="1A940412"/>
    <w:rsid w:val="1AC437A4"/>
    <w:rsid w:val="1B153D26"/>
    <w:rsid w:val="1B8078AA"/>
    <w:rsid w:val="1BB357EF"/>
    <w:rsid w:val="1BEB54C3"/>
    <w:rsid w:val="1C3C6084"/>
    <w:rsid w:val="1C5926B9"/>
    <w:rsid w:val="1C6E67B6"/>
    <w:rsid w:val="1C8C02F2"/>
    <w:rsid w:val="1D3E1AFE"/>
    <w:rsid w:val="1D8E4577"/>
    <w:rsid w:val="1DD25DD1"/>
    <w:rsid w:val="1E263885"/>
    <w:rsid w:val="1E5F33A8"/>
    <w:rsid w:val="1E6432D4"/>
    <w:rsid w:val="1E785988"/>
    <w:rsid w:val="1E89232D"/>
    <w:rsid w:val="1EB61656"/>
    <w:rsid w:val="1F9503B1"/>
    <w:rsid w:val="1FF93EF0"/>
    <w:rsid w:val="20407429"/>
    <w:rsid w:val="20A231CD"/>
    <w:rsid w:val="20CF3CE4"/>
    <w:rsid w:val="20DD55C0"/>
    <w:rsid w:val="20F515C0"/>
    <w:rsid w:val="2181353B"/>
    <w:rsid w:val="21A36A3C"/>
    <w:rsid w:val="22922CB8"/>
    <w:rsid w:val="22DB78DD"/>
    <w:rsid w:val="240B62F0"/>
    <w:rsid w:val="243D2C42"/>
    <w:rsid w:val="244D65B8"/>
    <w:rsid w:val="2492221D"/>
    <w:rsid w:val="24B42D8E"/>
    <w:rsid w:val="24D368CC"/>
    <w:rsid w:val="250855AF"/>
    <w:rsid w:val="254A2456"/>
    <w:rsid w:val="25755B8D"/>
    <w:rsid w:val="258B383C"/>
    <w:rsid w:val="263B7010"/>
    <w:rsid w:val="26B4291F"/>
    <w:rsid w:val="26BD282A"/>
    <w:rsid w:val="26E769FA"/>
    <w:rsid w:val="27311778"/>
    <w:rsid w:val="27D774E7"/>
    <w:rsid w:val="27D77DEF"/>
    <w:rsid w:val="280A7200"/>
    <w:rsid w:val="285A1DDA"/>
    <w:rsid w:val="286D65BC"/>
    <w:rsid w:val="28D9041B"/>
    <w:rsid w:val="293B2E83"/>
    <w:rsid w:val="2983125D"/>
    <w:rsid w:val="29D3380A"/>
    <w:rsid w:val="2A845563"/>
    <w:rsid w:val="2AFC4894"/>
    <w:rsid w:val="2B3A05DE"/>
    <w:rsid w:val="2B6901C6"/>
    <w:rsid w:val="2C091D17"/>
    <w:rsid w:val="2C3D4920"/>
    <w:rsid w:val="2D480265"/>
    <w:rsid w:val="2D977453"/>
    <w:rsid w:val="2E127D42"/>
    <w:rsid w:val="2E2943BA"/>
    <w:rsid w:val="2E4227EB"/>
    <w:rsid w:val="2E43637E"/>
    <w:rsid w:val="2E714439"/>
    <w:rsid w:val="2E912505"/>
    <w:rsid w:val="2EF22236"/>
    <w:rsid w:val="2F240388"/>
    <w:rsid w:val="2FED29FE"/>
    <w:rsid w:val="300E1D4A"/>
    <w:rsid w:val="302713F5"/>
    <w:rsid w:val="305B5646"/>
    <w:rsid w:val="30B05F05"/>
    <w:rsid w:val="30DC4018"/>
    <w:rsid w:val="310F3573"/>
    <w:rsid w:val="31A27629"/>
    <w:rsid w:val="321A43A0"/>
    <w:rsid w:val="324F33CD"/>
    <w:rsid w:val="32945241"/>
    <w:rsid w:val="32D560F7"/>
    <w:rsid w:val="33082D45"/>
    <w:rsid w:val="33450AA0"/>
    <w:rsid w:val="33A76F60"/>
    <w:rsid w:val="341E7629"/>
    <w:rsid w:val="34AA6A8F"/>
    <w:rsid w:val="34E67A8B"/>
    <w:rsid w:val="35045B46"/>
    <w:rsid w:val="351D5D8B"/>
    <w:rsid w:val="35361CBB"/>
    <w:rsid w:val="35965F0D"/>
    <w:rsid w:val="35F117C8"/>
    <w:rsid w:val="37323D4B"/>
    <w:rsid w:val="3781126C"/>
    <w:rsid w:val="3791557C"/>
    <w:rsid w:val="37C23FFB"/>
    <w:rsid w:val="37E908F4"/>
    <w:rsid w:val="38284F1B"/>
    <w:rsid w:val="382C5C9B"/>
    <w:rsid w:val="3951220A"/>
    <w:rsid w:val="39B0409D"/>
    <w:rsid w:val="39C54A8D"/>
    <w:rsid w:val="3B150522"/>
    <w:rsid w:val="3B737F25"/>
    <w:rsid w:val="3BE260DA"/>
    <w:rsid w:val="3BE45FB7"/>
    <w:rsid w:val="3BF21AC7"/>
    <w:rsid w:val="3C013037"/>
    <w:rsid w:val="3C2F21E3"/>
    <w:rsid w:val="3CBD7654"/>
    <w:rsid w:val="3CD97A53"/>
    <w:rsid w:val="3CE44693"/>
    <w:rsid w:val="3CEB3C84"/>
    <w:rsid w:val="3CED5BD7"/>
    <w:rsid w:val="3CF36C22"/>
    <w:rsid w:val="3DD031E6"/>
    <w:rsid w:val="3DFA5E60"/>
    <w:rsid w:val="3E9B7AF1"/>
    <w:rsid w:val="3EDE4333"/>
    <w:rsid w:val="3F0E1A7A"/>
    <w:rsid w:val="3F58076B"/>
    <w:rsid w:val="3FDF4D23"/>
    <w:rsid w:val="40E20CEC"/>
    <w:rsid w:val="41083B3B"/>
    <w:rsid w:val="411243D4"/>
    <w:rsid w:val="41270465"/>
    <w:rsid w:val="41BE2803"/>
    <w:rsid w:val="41DB2FFE"/>
    <w:rsid w:val="42415A41"/>
    <w:rsid w:val="42AB3DCF"/>
    <w:rsid w:val="42F779C3"/>
    <w:rsid w:val="42F94AC1"/>
    <w:rsid w:val="4309317E"/>
    <w:rsid w:val="430B3379"/>
    <w:rsid w:val="43502DA9"/>
    <w:rsid w:val="43C26223"/>
    <w:rsid w:val="43D33E69"/>
    <w:rsid w:val="43D750FC"/>
    <w:rsid w:val="43D8307E"/>
    <w:rsid w:val="442B2104"/>
    <w:rsid w:val="44507CD3"/>
    <w:rsid w:val="44AF5181"/>
    <w:rsid w:val="455A018C"/>
    <w:rsid w:val="4621662A"/>
    <w:rsid w:val="46B02CAB"/>
    <w:rsid w:val="46CE3131"/>
    <w:rsid w:val="48150D00"/>
    <w:rsid w:val="48B37723"/>
    <w:rsid w:val="493059DD"/>
    <w:rsid w:val="493728E1"/>
    <w:rsid w:val="494F7907"/>
    <w:rsid w:val="4A1E0FC5"/>
    <w:rsid w:val="4ADF73DC"/>
    <w:rsid w:val="4B041050"/>
    <w:rsid w:val="4B1B26BD"/>
    <w:rsid w:val="4B1D3CAA"/>
    <w:rsid w:val="4B315A3D"/>
    <w:rsid w:val="4BF35FF8"/>
    <w:rsid w:val="4C0055E5"/>
    <w:rsid w:val="4C3677AE"/>
    <w:rsid w:val="4C6A6E74"/>
    <w:rsid w:val="4C706B3A"/>
    <w:rsid w:val="4C9A5577"/>
    <w:rsid w:val="4CB1263E"/>
    <w:rsid w:val="4D61630A"/>
    <w:rsid w:val="4E893002"/>
    <w:rsid w:val="4E94705A"/>
    <w:rsid w:val="4F3B332E"/>
    <w:rsid w:val="4F404D16"/>
    <w:rsid w:val="4F5E68E2"/>
    <w:rsid w:val="50353B67"/>
    <w:rsid w:val="513642CD"/>
    <w:rsid w:val="518F5DF7"/>
    <w:rsid w:val="51C045CB"/>
    <w:rsid w:val="51C15CED"/>
    <w:rsid w:val="51D66F93"/>
    <w:rsid w:val="51F36A38"/>
    <w:rsid w:val="522308AF"/>
    <w:rsid w:val="52281D7D"/>
    <w:rsid w:val="52285DEB"/>
    <w:rsid w:val="52875708"/>
    <w:rsid w:val="528817F3"/>
    <w:rsid w:val="52AD62F0"/>
    <w:rsid w:val="5310656E"/>
    <w:rsid w:val="533E78C7"/>
    <w:rsid w:val="53A94D0A"/>
    <w:rsid w:val="54394916"/>
    <w:rsid w:val="546308FE"/>
    <w:rsid w:val="56FE59C9"/>
    <w:rsid w:val="570D735E"/>
    <w:rsid w:val="571B2674"/>
    <w:rsid w:val="5721105B"/>
    <w:rsid w:val="57731F33"/>
    <w:rsid w:val="5840661C"/>
    <w:rsid w:val="589917F1"/>
    <w:rsid w:val="58A03A9A"/>
    <w:rsid w:val="590E2943"/>
    <w:rsid w:val="59A16B73"/>
    <w:rsid w:val="59B241EC"/>
    <w:rsid w:val="59F03F9F"/>
    <w:rsid w:val="5A453DC1"/>
    <w:rsid w:val="5A5E27F6"/>
    <w:rsid w:val="5A704801"/>
    <w:rsid w:val="5A8C5E4D"/>
    <w:rsid w:val="5AC63F72"/>
    <w:rsid w:val="5AED2A9A"/>
    <w:rsid w:val="5B3B6144"/>
    <w:rsid w:val="5BB8538F"/>
    <w:rsid w:val="5C6852E5"/>
    <w:rsid w:val="5CD4437C"/>
    <w:rsid w:val="5CEB7790"/>
    <w:rsid w:val="5D3456FE"/>
    <w:rsid w:val="5D4A7B69"/>
    <w:rsid w:val="5D6704F6"/>
    <w:rsid w:val="5D9E1657"/>
    <w:rsid w:val="5E225DE5"/>
    <w:rsid w:val="5E257683"/>
    <w:rsid w:val="5E26286C"/>
    <w:rsid w:val="5E7802BC"/>
    <w:rsid w:val="5ECD09F8"/>
    <w:rsid w:val="5EE078B0"/>
    <w:rsid w:val="5F0D5523"/>
    <w:rsid w:val="5F2346ED"/>
    <w:rsid w:val="5FB16C4B"/>
    <w:rsid w:val="5FF54D19"/>
    <w:rsid w:val="60D672B7"/>
    <w:rsid w:val="61086613"/>
    <w:rsid w:val="61686204"/>
    <w:rsid w:val="61804FA6"/>
    <w:rsid w:val="61E14999"/>
    <w:rsid w:val="61F93300"/>
    <w:rsid w:val="62917095"/>
    <w:rsid w:val="62B073D8"/>
    <w:rsid w:val="62DF4BE9"/>
    <w:rsid w:val="630E06E5"/>
    <w:rsid w:val="63B87220"/>
    <w:rsid w:val="6408782B"/>
    <w:rsid w:val="648F269C"/>
    <w:rsid w:val="65322CBF"/>
    <w:rsid w:val="6541269C"/>
    <w:rsid w:val="65B35574"/>
    <w:rsid w:val="65C658ED"/>
    <w:rsid w:val="65CC5831"/>
    <w:rsid w:val="65E936CA"/>
    <w:rsid w:val="66503D0D"/>
    <w:rsid w:val="668337C2"/>
    <w:rsid w:val="6696202A"/>
    <w:rsid w:val="67357265"/>
    <w:rsid w:val="678C382A"/>
    <w:rsid w:val="67C111E9"/>
    <w:rsid w:val="68CC52CB"/>
    <w:rsid w:val="68DE4FFE"/>
    <w:rsid w:val="691B0000"/>
    <w:rsid w:val="694B58D7"/>
    <w:rsid w:val="69B42DDF"/>
    <w:rsid w:val="69CE4E15"/>
    <w:rsid w:val="6A752FE0"/>
    <w:rsid w:val="6AD90A9F"/>
    <w:rsid w:val="6B3863FA"/>
    <w:rsid w:val="6B3E7E06"/>
    <w:rsid w:val="6B6317EA"/>
    <w:rsid w:val="6B7F3246"/>
    <w:rsid w:val="6B95739F"/>
    <w:rsid w:val="6BA14068"/>
    <w:rsid w:val="6BD415CB"/>
    <w:rsid w:val="6BF904A6"/>
    <w:rsid w:val="6C0F0D14"/>
    <w:rsid w:val="6C274286"/>
    <w:rsid w:val="6CB5251A"/>
    <w:rsid w:val="6CB80512"/>
    <w:rsid w:val="6CD429A0"/>
    <w:rsid w:val="6D2F7EA9"/>
    <w:rsid w:val="6E064136"/>
    <w:rsid w:val="6EDC467A"/>
    <w:rsid w:val="6EF07839"/>
    <w:rsid w:val="6F63000B"/>
    <w:rsid w:val="6FCF0C72"/>
    <w:rsid w:val="6FE55B9A"/>
    <w:rsid w:val="700329E7"/>
    <w:rsid w:val="70563DA9"/>
    <w:rsid w:val="714E702A"/>
    <w:rsid w:val="71500A63"/>
    <w:rsid w:val="7157709F"/>
    <w:rsid w:val="716B2F94"/>
    <w:rsid w:val="717C1858"/>
    <w:rsid w:val="7239414A"/>
    <w:rsid w:val="72AF7C13"/>
    <w:rsid w:val="72B56DCF"/>
    <w:rsid w:val="72E964BC"/>
    <w:rsid w:val="732712EB"/>
    <w:rsid w:val="735C7C42"/>
    <w:rsid w:val="74466A0E"/>
    <w:rsid w:val="749B0C7A"/>
    <w:rsid w:val="74D07EF1"/>
    <w:rsid w:val="75B570E6"/>
    <w:rsid w:val="75B8184D"/>
    <w:rsid w:val="75BF3AC1"/>
    <w:rsid w:val="7643714B"/>
    <w:rsid w:val="76575B24"/>
    <w:rsid w:val="7706409E"/>
    <w:rsid w:val="7797777E"/>
    <w:rsid w:val="77A458E3"/>
    <w:rsid w:val="780A1873"/>
    <w:rsid w:val="787D0188"/>
    <w:rsid w:val="787D11B8"/>
    <w:rsid w:val="78A771BA"/>
    <w:rsid w:val="78AC6820"/>
    <w:rsid w:val="792C5912"/>
    <w:rsid w:val="79967B7D"/>
    <w:rsid w:val="7A463BEE"/>
    <w:rsid w:val="7A81012D"/>
    <w:rsid w:val="7AD4011E"/>
    <w:rsid w:val="7AE02035"/>
    <w:rsid w:val="7AF3238C"/>
    <w:rsid w:val="7B1C3512"/>
    <w:rsid w:val="7C226416"/>
    <w:rsid w:val="7C4800CF"/>
    <w:rsid w:val="7C9C5668"/>
    <w:rsid w:val="7CBA4FE2"/>
    <w:rsid w:val="7CF76D32"/>
    <w:rsid w:val="7D02219B"/>
    <w:rsid w:val="7D06612B"/>
    <w:rsid w:val="7D624F61"/>
    <w:rsid w:val="7DCD3291"/>
    <w:rsid w:val="7E880152"/>
    <w:rsid w:val="7E8B30DA"/>
    <w:rsid w:val="7F991C0F"/>
    <w:rsid w:val="7FA3516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971</Words>
  <Characters>1028</Characters>
  <Lines>0</Lines>
  <Paragraphs>0</Paragraphs>
  <TotalTime>2</TotalTime>
  <ScaleCrop>false</ScaleCrop>
  <LinksUpToDate>false</LinksUpToDate>
  <CharactersWithSpaces>1074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2025-06-01T05:41:53Z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6644011727644F2FAB9D4496E31F7D75_13</vt:lpwstr>
  </property>
  <property fmtid="{D5CDD505-2E9C-101B-9397-08002B2CF9AE}" pid="4" name="KSOTemplateDocerSaveRecord">
    <vt:lpwstr>eyJoZGlkIjoiN2EyMTIxNTJlMjY2NjM5NjdjYmYwZjVhYjA4ZGEwODEiLCJ1c2VySWQiOiI0MjYzNjAxNTMifQ==</vt:lpwstr>
  </property>
</Properties>
</file>