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Times New Roman"/>
          <w:color w:val="auto"/>
          <w:sz w:val="32"/>
          <w:szCs w:val="32"/>
          <w:highlight w:val="none"/>
          <w:lang w:eastAsia="zh-CN"/>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val="en-US" w:eastAsia="zh-CN"/>
        </w:rPr>
      </w:pPr>
      <w:r>
        <w:rPr>
          <w:rFonts w:hint="eastAsia" w:ascii="方正小标宋_GBK" w:hAnsi="宋体" w:eastAsia="方正小标宋_GBK"/>
          <w:kern w:val="0"/>
          <w:sz w:val="44"/>
          <w:szCs w:val="44"/>
          <w:highlight w:val="none"/>
          <w:lang w:val="en-US" w:eastAsia="zh-CN"/>
        </w:rPr>
        <w:t>呼图壁县乡村振兴综合保障中心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呼图壁县乡村振兴综合保障中心部门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 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 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 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bCs/>
          <w:color w:val="auto"/>
          <w:kern w:val="0"/>
          <w:sz w:val="32"/>
          <w:szCs w:val="32"/>
          <w:highlight w:val="none"/>
          <w:lang w:eastAsia="zh-CN"/>
        </w:rPr>
        <w:t>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rPr>
        <w:t>呼图壁县乡村振兴综合保障中心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贯彻执行国家、区、州、县巩固拓展脱贫攻坚成果同乡村振兴有效衔接的法律法规和方针政策；承担防止返贫动态监测帮扶工作的政策咨询服务；实施巩固拓展脱贫攻坚成果同乡村振兴有效衔接总体规划；承担防止返贫动态监测和帮扶工作，指导乡镇做好年度乡村人口的动态管理；承担巩固拓展脱贫攻坚成果信息数据统计汇总、动态监测、平台数据管理和数据维护工作；收集整理巩固拓展脱贫攻坚成果档案资料，并做好归档管理；开展社会扶贫工作，落实好全县定点扶贫计划，做好定点扶贫、区内协作扶贫等工作。承担区级、州直部门单位定点帮扶、社会帮扶、消费帮扶、区内协作帮扶工作任务;落实全县监测对象小额信贷等相关政策;协调各级领导联系乡村振兴包联工作;配合审计部门开展衔接资金专项审计工作。围绕实施全县乡村振兴战略有关规划、计划，承担全县乡村项目建设的服务保障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参与县级乡村振兴相关规划编制;协调推进农业农村社会事业发展各项工作;协调推动完善农村基础设施建设工作;承担推进农村人居环境整治、农村“厕所革命”工作;承担积分制清单制推广应用、乡村治理试点示范行动等工作;全面推进乡村振兴示范乡镇、示范村创建，推进乡村建设“一乡一村”示范建设。</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黑体" w:eastAsia="仿宋_GB2312" w:cs="宋体"/>
          <w:bCs/>
          <w:kern w:val="0"/>
          <w:sz w:val="32"/>
          <w:szCs w:val="32"/>
          <w:highlight w:val="none"/>
        </w:rPr>
        <w:t>无下属预算单位</w:t>
      </w:r>
      <w:r>
        <w:rPr>
          <w:rFonts w:hint="eastAsia" w:ascii="仿宋_GB2312" w:hAnsi="黑体" w:eastAsia="仿宋_GB2312" w:cs="宋体"/>
          <w:bCs/>
          <w:kern w:val="0"/>
          <w:sz w:val="32"/>
          <w:szCs w:val="32"/>
          <w:highlight w:val="none"/>
          <w:lang w:eastAsia="zh-CN"/>
        </w:rPr>
        <w:t>，下设</w:t>
      </w:r>
      <w:r>
        <w:rPr>
          <w:rFonts w:hint="eastAsia" w:ascii="仿宋_GB2312" w:hAnsi="黑体" w:eastAsia="仿宋_GB2312" w:cs="宋体"/>
          <w:bCs/>
          <w:kern w:val="0"/>
          <w:sz w:val="32"/>
          <w:szCs w:val="32"/>
          <w:highlight w:val="none"/>
          <w:lang w:val="en-US" w:eastAsia="zh-CN"/>
        </w:rPr>
        <w:t>0个处室，分别是</w:t>
      </w:r>
      <w:r>
        <w:rPr>
          <w:rFonts w:hint="eastAsia"/>
          <w:lang w:eastAsia="zh-CN"/>
        </w:rPr>
        <w:t>：</w:t>
      </w:r>
      <w:r>
        <w:rPr>
          <w:rFonts w:hint="eastAsia" w:ascii="仿宋_GB2312" w:hAnsi="黑体" w:eastAsia="仿宋_GB2312" w:cs="宋体"/>
          <w:bCs/>
          <w:kern w:val="0"/>
          <w:sz w:val="32"/>
          <w:szCs w:val="32"/>
          <w:highlight w:val="none"/>
          <w:lang w:val="en-US" w:eastAsia="zh-CN"/>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22</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83" w:type="dxa"/>
        <w:tblInd w:w="93" w:type="dxa"/>
        <w:tblLayout w:type="fixed"/>
        <w:tblCellMar>
          <w:top w:w="0" w:type="dxa"/>
          <w:left w:w="108" w:type="dxa"/>
          <w:bottom w:w="0" w:type="dxa"/>
          <w:right w:w="108" w:type="dxa"/>
        </w:tblCellMar>
      </w:tblPr>
      <w:tblGrid>
        <w:gridCol w:w="3448"/>
        <w:gridCol w:w="1290"/>
        <w:gridCol w:w="2760"/>
        <w:gridCol w:w="1785"/>
      </w:tblGrid>
      <w:tr>
        <w:tblPrEx>
          <w:tblCellMar>
            <w:top w:w="0" w:type="dxa"/>
            <w:left w:w="108" w:type="dxa"/>
            <w:bottom w:w="0" w:type="dxa"/>
            <w:right w:w="108" w:type="dxa"/>
          </w:tblCellMar>
        </w:tblPrEx>
        <w:trPr>
          <w:trHeight w:val="360" w:hRule="atLeast"/>
        </w:trPr>
        <w:tc>
          <w:tcPr>
            <w:tcW w:w="473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w:t>
            </w:r>
          </w:p>
        </w:tc>
        <w:tc>
          <w:tcPr>
            <w:tcW w:w="4545"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color w:val="auto"/>
                <w:kern w:val="0"/>
                <w:sz w:val="18"/>
                <w:szCs w:val="18"/>
                <w:highlight w:val="none"/>
              </w:rPr>
              <w:t>项     目</w:t>
            </w:r>
          </w:p>
        </w:tc>
        <w:tc>
          <w:tcPr>
            <w:tcW w:w="129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c>
          <w:tcPr>
            <w:tcW w:w="27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功能分类</w:t>
            </w:r>
          </w:p>
        </w:tc>
        <w:tc>
          <w:tcPr>
            <w:tcW w:w="178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一、本年收入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201 一般公共服务支出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1、一般公共预算拨款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202 外交支出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其中：一般财力</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203 国防支出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上级一般公共预算安排转移支付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204 公共安全支出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lang w:eastAsia="zh-CN"/>
              </w:rPr>
            </w:pPr>
            <w:r>
              <w:rPr>
                <w:rFonts w:hint="eastAsia" w:ascii="仿宋_GB2312" w:hAnsi="仿宋_GB2312" w:eastAsia="仿宋_GB2312" w:cs="仿宋_GB2312"/>
                <w:b/>
                <w:color w:val="000000"/>
                <w:sz w:val="18"/>
                <w:szCs w:val="18"/>
                <w:highlight w:val="none"/>
              </w:rPr>
              <w:t>2、基金预算拨款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205 教育支出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其中：政府性基金收入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 科学技术支出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上级政府性基金安排转移支付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207 文化旅游体育与传媒支出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4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3、国有资本经营预算拨款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208 社会保障和就业支出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53.48</w:t>
            </w:r>
          </w:p>
        </w:tc>
      </w:tr>
      <w:tr>
        <w:tblPrEx>
          <w:tblCellMar>
            <w:top w:w="0" w:type="dxa"/>
            <w:left w:w="108" w:type="dxa"/>
            <w:bottom w:w="0" w:type="dxa"/>
            <w:right w:w="108" w:type="dxa"/>
          </w:tblCellMar>
        </w:tblPrEx>
        <w:trPr>
          <w:trHeight w:val="31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其中：国有资本经营收入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209 社会保险基金支出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0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上级国有资本经营预算安排转移支付</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210卫生健康支出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28.05</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4.财政专户核拨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211 节能环保支出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5.单位资金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212 城乡社区支出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其中：事业收入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213 农林水支出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266.29</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上级补助收入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214 交通运输支出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附属单位上缴收入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 资源勘探</w:t>
            </w:r>
            <w:r>
              <w:rPr>
                <w:rFonts w:hint="eastAsia" w:ascii="仿宋_GB2312" w:hAnsi="仿宋_GB2312" w:eastAsia="仿宋_GB2312" w:cs="仿宋_GB2312"/>
                <w:color w:val="auto"/>
                <w:kern w:val="0"/>
                <w:sz w:val="18"/>
                <w:szCs w:val="18"/>
                <w:highlight w:val="none"/>
                <w:lang w:val="en-US" w:eastAsia="zh-Hans"/>
              </w:rPr>
              <w:t>工业</w:t>
            </w:r>
            <w:r>
              <w:rPr>
                <w:rFonts w:hint="eastAsia" w:ascii="仿宋_GB2312" w:hAnsi="仿宋_GB2312" w:eastAsia="仿宋_GB2312" w:cs="仿宋_GB2312"/>
                <w:color w:val="auto"/>
                <w:kern w:val="0"/>
                <w:sz w:val="18"/>
                <w:szCs w:val="18"/>
                <w:highlight w:val="none"/>
              </w:rPr>
              <w:t>信息等支出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事业单位经营收入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216 商业服务业等支出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其他收入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217 金融支出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二、上年结转结余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219 援助其他地区支出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1、财政拨款结转</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220 自然资源海洋气象等支出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其中：一般公共预算拨款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221 住房保障支出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50.98</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基金预算拨款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222 粮油物资储备支出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国有资本经营预算拨款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223 国有资本经营预算支出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2、非财政拨款结转结余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224灾害防治及应急管理支出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227 预备费</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229 其他支出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230转移性支出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auto"/>
                <w:kern w:val="0"/>
                <w:sz w:val="18"/>
                <w:szCs w:val="18"/>
                <w:highlight w:val="none"/>
                <w:shd w:val="clear" w:color="auto" w:fill="auto"/>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231 债务还本支出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232 债务付息支出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448" w:type="dxa"/>
            <w:tcBorders>
              <w:top w:val="nil"/>
              <w:left w:val="single" w:color="auto" w:sz="4" w:space="0"/>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  总  计</w:t>
            </w:r>
          </w:p>
        </w:tc>
        <w:tc>
          <w:tcPr>
            <w:tcW w:w="1290"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  总  计</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4" w:type="default"/>
          <w:pgSz w:w="11906" w:h="16838"/>
          <w:pgMar w:top="1440" w:right="1080" w:bottom="1440" w:left="108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呼图壁县乡村振兴综合保障中心</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4738" w:type="dxa"/>
        <w:jc w:val="center"/>
        <w:tblLayout w:type="fixed"/>
        <w:tblCellMar>
          <w:top w:w="0" w:type="dxa"/>
          <w:left w:w="108" w:type="dxa"/>
          <w:bottom w:w="0" w:type="dxa"/>
          <w:right w:w="108" w:type="dxa"/>
        </w:tblCellMar>
      </w:tblPr>
      <w:tblGrid>
        <w:gridCol w:w="484"/>
        <w:gridCol w:w="525"/>
        <w:gridCol w:w="601"/>
        <w:gridCol w:w="2645"/>
        <w:gridCol w:w="831"/>
        <w:gridCol w:w="885"/>
        <w:gridCol w:w="855"/>
        <w:gridCol w:w="874"/>
        <w:gridCol w:w="720"/>
        <w:gridCol w:w="930"/>
        <w:gridCol w:w="825"/>
        <w:gridCol w:w="1185"/>
        <w:gridCol w:w="960"/>
        <w:gridCol w:w="765"/>
        <w:gridCol w:w="568"/>
        <w:gridCol w:w="1085"/>
      </w:tblGrid>
      <w:tr>
        <w:tblPrEx>
          <w:tblCellMar>
            <w:top w:w="0" w:type="dxa"/>
            <w:left w:w="108" w:type="dxa"/>
            <w:bottom w:w="0" w:type="dxa"/>
            <w:right w:w="108" w:type="dxa"/>
          </w:tblCellMar>
        </w:tblPrEx>
        <w:trPr>
          <w:trHeight w:val="454" w:hRule="atLeast"/>
          <w:jc w:val="center"/>
        </w:trPr>
        <w:tc>
          <w:tcPr>
            <w:tcW w:w="161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功能分类科目编码</w:t>
            </w:r>
          </w:p>
        </w:tc>
        <w:tc>
          <w:tcPr>
            <w:tcW w:w="26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功能分类科目名称</w:t>
            </w:r>
          </w:p>
        </w:tc>
        <w:tc>
          <w:tcPr>
            <w:tcW w:w="83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总  计</w:t>
            </w:r>
          </w:p>
        </w:tc>
        <w:tc>
          <w:tcPr>
            <w:tcW w:w="6274"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  政  拨  款  (  补  助  )</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单位资金</w:t>
            </w:r>
          </w:p>
        </w:tc>
        <w:tc>
          <w:tcPr>
            <w:tcW w:w="5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财政拨款结转</w:t>
            </w:r>
          </w:p>
        </w:tc>
        <w:tc>
          <w:tcPr>
            <w:tcW w:w="10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非财政拨款结转结余</w:t>
            </w:r>
          </w:p>
        </w:tc>
      </w:tr>
      <w:tr>
        <w:tblPrEx>
          <w:tblCellMar>
            <w:top w:w="0" w:type="dxa"/>
            <w:left w:w="108" w:type="dxa"/>
            <w:bottom w:w="0" w:type="dxa"/>
            <w:right w:w="108" w:type="dxa"/>
          </w:tblCellMar>
        </w:tblPrEx>
        <w:trPr>
          <w:trHeight w:val="454" w:hRule="atLeast"/>
          <w:jc w:val="center"/>
        </w:trPr>
        <w:tc>
          <w:tcPr>
            <w:tcW w:w="484"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类</w:t>
            </w:r>
          </w:p>
        </w:tc>
        <w:tc>
          <w:tcPr>
            <w:tcW w:w="525"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款</w:t>
            </w:r>
          </w:p>
        </w:tc>
        <w:tc>
          <w:tcPr>
            <w:tcW w:w="601"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项</w:t>
            </w:r>
          </w:p>
        </w:tc>
        <w:tc>
          <w:tcPr>
            <w:tcW w:w="264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31"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一般公共预算</w:t>
            </w:r>
          </w:p>
        </w:tc>
        <w:tc>
          <w:tcPr>
            <w:tcW w:w="874"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上级一般公共预算安排的转移支付</w:t>
            </w: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政府性基金预算</w:t>
            </w:r>
          </w:p>
        </w:tc>
        <w:tc>
          <w:tcPr>
            <w:tcW w:w="93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上级政府性基金安排的转移支付</w:t>
            </w:r>
          </w:p>
        </w:tc>
        <w:tc>
          <w:tcPr>
            <w:tcW w:w="82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国有资本经营预算</w:t>
            </w:r>
          </w:p>
        </w:tc>
        <w:tc>
          <w:tcPr>
            <w:tcW w:w="11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上级国有资本经营预算安排的转移支付</w:t>
            </w:r>
          </w:p>
        </w:tc>
        <w:tc>
          <w:tcPr>
            <w:tcW w:w="960"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76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568"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108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60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社会保障和就业支出</w:t>
            </w:r>
          </w:p>
        </w:tc>
        <w:tc>
          <w:tcPr>
            <w:tcW w:w="831"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 xml:space="preserve">  行政事业单位养老支出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机关事业单位基本养老保险缴费支出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45.48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06</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w:t>
            </w:r>
            <w:r>
              <w:rPr>
                <w:rFonts w:hint="eastAsia" w:ascii="仿宋_GB2312" w:hAnsi="仿宋_GB2312" w:eastAsia="仿宋_GB2312" w:cs="仿宋_GB2312"/>
                <w:color w:val="000000"/>
                <w:sz w:val="15"/>
                <w:szCs w:val="15"/>
                <w:highlight w:val="none"/>
                <w:lang w:val="en-US" w:eastAsia="zh-CN"/>
              </w:rPr>
              <w:t>职业年金</w:t>
            </w:r>
            <w:r>
              <w:rPr>
                <w:rFonts w:hint="eastAsia" w:ascii="仿宋_GB2312" w:hAnsi="仿宋_GB2312" w:eastAsia="仿宋_GB2312" w:cs="仿宋_GB2312"/>
                <w:color w:val="000000"/>
                <w:sz w:val="15"/>
                <w:szCs w:val="15"/>
                <w:highlight w:val="none"/>
              </w:rPr>
              <w:t>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卫生健康支出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行政事业单位医疗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02</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w:t>
            </w:r>
            <w:r>
              <w:rPr>
                <w:rFonts w:hint="eastAsia" w:ascii="仿宋_GB2312" w:hAnsi="仿宋_GB2312" w:eastAsia="仿宋_GB2312" w:cs="仿宋_GB2312"/>
                <w:color w:val="000000"/>
                <w:sz w:val="15"/>
                <w:szCs w:val="15"/>
                <w:highlight w:val="none"/>
              </w:rPr>
              <w:t>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20.24</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03</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公务员医疗补助</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kern w:val="2"/>
                <w:sz w:val="15"/>
                <w:szCs w:val="15"/>
                <w:highlight w:val="none"/>
                <w:lang w:val="en-US" w:eastAsia="zh-CN" w:bidi="ar-SA"/>
              </w:rPr>
              <w:t>99</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其他行政事业单位医疗支出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农林水支出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农业农村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04</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事业运行</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住房保障支出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住房改革支出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01</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住房公积金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5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60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26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合  计　</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398.80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93.00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080" w:right="1440" w:bottom="1080" w:left="144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0528" w:type="dxa"/>
        <w:jc w:val="center"/>
        <w:tblLayout w:type="fixed"/>
        <w:tblCellMar>
          <w:top w:w="0" w:type="dxa"/>
          <w:left w:w="108" w:type="dxa"/>
          <w:bottom w:w="0" w:type="dxa"/>
          <w:right w:w="108" w:type="dxa"/>
        </w:tblCellMar>
      </w:tblPr>
      <w:tblGrid>
        <w:gridCol w:w="615"/>
        <w:gridCol w:w="510"/>
        <w:gridCol w:w="450"/>
        <w:gridCol w:w="3525"/>
        <w:gridCol w:w="1905"/>
        <w:gridCol w:w="1875"/>
        <w:gridCol w:w="1648"/>
      </w:tblGrid>
      <w:tr>
        <w:tblPrEx>
          <w:tblCellMar>
            <w:top w:w="0" w:type="dxa"/>
            <w:left w:w="108" w:type="dxa"/>
            <w:bottom w:w="0" w:type="dxa"/>
            <w:right w:w="108" w:type="dxa"/>
          </w:tblCellMar>
        </w:tblPrEx>
        <w:trPr>
          <w:trHeight w:val="328" w:hRule="atLeast"/>
          <w:jc w:val="center"/>
        </w:trPr>
        <w:tc>
          <w:tcPr>
            <w:tcW w:w="51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8"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jc w:val="center"/>
        </w:trPr>
        <w:tc>
          <w:tcPr>
            <w:tcW w:w="157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4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0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4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06</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w:t>
            </w:r>
            <w:r>
              <w:rPr>
                <w:rFonts w:hint="eastAsia" w:ascii="仿宋_GB2312" w:hAnsi="仿宋_GB2312" w:eastAsia="仿宋_GB2312" w:cs="仿宋_GB2312"/>
                <w:color w:val="000000"/>
                <w:sz w:val="18"/>
                <w:szCs w:val="18"/>
                <w:highlight w:val="none"/>
                <w:lang w:val="en-US" w:eastAsia="zh-CN"/>
              </w:rPr>
              <w:t>职业年金</w:t>
            </w:r>
            <w:r>
              <w:rPr>
                <w:rFonts w:hint="eastAsia" w:ascii="仿宋_GB2312" w:hAnsi="仿宋_GB2312" w:eastAsia="仿宋_GB2312" w:cs="仿宋_GB2312"/>
                <w:color w:val="000000"/>
                <w:sz w:val="18"/>
                <w:szCs w:val="18"/>
                <w:highlight w:val="none"/>
              </w:rPr>
              <w:t>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住房公积金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8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648"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合  计</w:t>
            </w:r>
          </w:p>
        </w:tc>
        <w:tc>
          <w:tcPr>
            <w:tcW w:w="190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87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64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编制部门：</w:t>
      </w:r>
      <w:r>
        <w:rPr>
          <w:rFonts w:hint="eastAsia" w:ascii="仿宋_GB2312" w:hAnsi="宋体" w:eastAsia="仿宋_GB2312"/>
          <w:color w:val="auto"/>
          <w:kern w:val="0"/>
          <w:sz w:val="24"/>
          <w:szCs w:val="24"/>
          <w:highlight w:val="none"/>
        </w:rPr>
        <w:t xml:space="preserve">呼图壁县乡村振兴综合保障中心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jc w:val="center"/>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jc w:val="center"/>
        </w:trPr>
        <w:tc>
          <w:tcPr>
            <w:tcW w:w="284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2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合  计</w:t>
            </w:r>
          </w:p>
        </w:tc>
        <w:tc>
          <w:tcPr>
            <w:tcW w:w="25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Hans"/>
              </w:rPr>
              <w:t>一、</w:t>
            </w:r>
            <w:r>
              <w:rPr>
                <w:rFonts w:hint="eastAsia" w:ascii="仿宋_GB2312" w:hAnsi="仿宋_GB2312" w:eastAsia="仿宋_GB2312" w:cs="仿宋_GB2312"/>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sz w:val="18"/>
                <w:szCs w:val="18"/>
                <w:highlight w:val="none"/>
              </w:rPr>
              <w:t>305.8</w:t>
            </w:r>
            <w:r>
              <w:rPr>
                <w:rFonts w:hint="eastAsia" w:ascii="仿宋_GB2312" w:hAnsi="仿宋_GB2312" w:eastAsia="仿宋_GB2312" w:cs="仿宋_GB2312"/>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收入总计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支出总计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260" w:type="dxa"/>
            <w:gridSpan w:val="2"/>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10056" w:type="dxa"/>
        <w:jc w:val="center"/>
        <w:tblLayout w:type="fixed"/>
        <w:tblCellMar>
          <w:top w:w="0" w:type="dxa"/>
          <w:left w:w="108" w:type="dxa"/>
          <w:bottom w:w="0" w:type="dxa"/>
          <w:right w:w="108" w:type="dxa"/>
        </w:tblCellMar>
      </w:tblPr>
      <w:tblGrid>
        <w:gridCol w:w="604"/>
        <w:gridCol w:w="588"/>
        <w:gridCol w:w="512"/>
        <w:gridCol w:w="3563"/>
        <w:gridCol w:w="1462"/>
        <w:gridCol w:w="188"/>
        <w:gridCol w:w="1587"/>
        <w:gridCol w:w="1552"/>
      </w:tblGrid>
      <w:tr>
        <w:tblPrEx>
          <w:tblCellMar>
            <w:top w:w="0" w:type="dxa"/>
            <w:left w:w="108" w:type="dxa"/>
            <w:bottom w:w="0" w:type="dxa"/>
            <w:right w:w="108" w:type="dxa"/>
          </w:tblCellMar>
        </w:tblPrEx>
        <w:trPr>
          <w:trHeight w:val="450" w:hRule="atLeast"/>
          <w:jc w:val="center"/>
        </w:trPr>
        <w:tc>
          <w:tcPr>
            <w:tcW w:w="10056" w:type="dxa"/>
            <w:gridSpan w:val="8"/>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6729"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3327" w:type="dxa"/>
            <w:gridSpan w:val="3"/>
            <w:tcBorders>
              <w:top w:val="nil"/>
              <w:left w:val="nil"/>
              <w:bottom w:val="nil"/>
              <w:right w:val="nil"/>
            </w:tcBorders>
            <w:vAlign w:val="center"/>
          </w:tcPr>
          <w:p>
            <w:pPr>
              <w:widowControl/>
              <w:jc w:val="righ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526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89"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70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6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52"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88"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12"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6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65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5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75"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01</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住房公积金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jc w:val="center"/>
        <w:tblLayout w:type="fixed"/>
        <w:tblCellMar>
          <w:top w:w="0" w:type="dxa"/>
          <w:left w:w="108" w:type="dxa"/>
          <w:bottom w:w="0" w:type="dxa"/>
          <w:right w:w="108" w:type="dxa"/>
        </w:tblCellMar>
      </w:tblPr>
      <w:tblGrid>
        <w:gridCol w:w="757"/>
        <w:gridCol w:w="577"/>
        <w:gridCol w:w="3259"/>
        <w:gridCol w:w="1587"/>
        <w:gridCol w:w="722"/>
        <w:gridCol w:w="1003"/>
        <w:gridCol w:w="1423"/>
      </w:tblGrid>
      <w:tr>
        <w:tblPrEx>
          <w:tblCellMar>
            <w:top w:w="0" w:type="dxa"/>
            <w:left w:w="108" w:type="dxa"/>
            <w:bottom w:w="0" w:type="dxa"/>
            <w:right w:w="108" w:type="dxa"/>
          </w:tblCellMar>
        </w:tblPrEx>
        <w:trPr>
          <w:trHeight w:val="375" w:hRule="atLeast"/>
          <w:jc w:val="center"/>
        </w:trPr>
        <w:tc>
          <w:tcPr>
            <w:tcW w:w="9328" w:type="dxa"/>
            <w:gridSpan w:val="7"/>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6902"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59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 xml:space="preserve">科  </w:t>
            </w:r>
            <w:r>
              <w:rPr>
                <w:rFonts w:hint="eastAsia" w:ascii="仿宋_GB2312" w:hAnsi="仿宋_GB2312" w:eastAsia="仿宋_GB2312" w:cs="仿宋_GB2312"/>
                <w:b/>
                <w:bCs/>
                <w:color w:val="auto"/>
                <w:kern w:val="0"/>
                <w:sz w:val="24"/>
                <w:szCs w:val="24"/>
                <w:highlight w:val="none"/>
              </w:rPr>
              <w:t>目</w:t>
            </w:r>
          </w:p>
        </w:tc>
        <w:tc>
          <w:tcPr>
            <w:tcW w:w="4735"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经济分类科目编码</w:t>
            </w:r>
          </w:p>
        </w:tc>
        <w:tc>
          <w:tcPr>
            <w:tcW w:w="325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经济分类科目名称</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人员经费</w:t>
            </w:r>
          </w:p>
        </w:tc>
        <w:tc>
          <w:tcPr>
            <w:tcW w:w="142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32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42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工资福利支出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基本工资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津贴补贴</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奖金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绩效工资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机关事业单位基本养老保险缴费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10</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城镇职工基本医疗保险缴费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公务员医疗补助缴费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其他社会保障缴费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住房公积金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商品和服务支出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办公费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印刷费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05</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06</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邮电费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差旅费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公务接待费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工会经费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公务用车运行维护费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99</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其他对个人和家庭的补助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25"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42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305.80</w:t>
            </w:r>
          </w:p>
        </w:tc>
        <w:tc>
          <w:tcPr>
            <w:tcW w:w="1725" w:type="dxa"/>
            <w:gridSpan w:val="2"/>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296.71</w:t>
            </w:r>
          </w:p>
        </w:tc>
        <w:tc>
          <w:tcPr>
            <w:tcW w:w="1423"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9.09</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jc w:val="center"/>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jc w:val="center"/>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jc w:val="center"/>
        </w:trPr>
        <w:tc>
          <w:tcPr>
            <w:tcW w:w="5294" w:type="dxa"/>
            <w:gridSpan w:val="8"/>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ind w:firstLine="281" w:firstLineChars="100"/>
        <w:outlineLvl w:val="1"/>
        <w:rPr>
          <w:rFonts w:hint="eastAsia" w:ascii="仿宋" w:hAnsi="仿宋" w:eastAsia="仿宋" w:cs="仿宋"/>
          <w:i w:val="0"/>
          <w:color w:val="auto"/>
          <w:kern w:val="0"/>
          <w:sz w:val="28"/>
          <w:szCs w:val="28"/>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年没有使用一般公共预算安排项目支出，一般公共预算项目支出情况表为空表。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i w:val="0"/>
          <w:color w:val="auto"/>
          <w:kern w:val="0"/>
          <w:sz w:val="28"/>
          <w:szCs w:val="28"/>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年没有使用政府性基金预算拨款安排的支出，政府性基金预算支出情况表为空表。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仿宋" w:hAnsi="仿宋" w:eastAsia="仿宋" w:cs="仿宋"/>
          <w:b/>
          <w:color w:val="auto"/>
          <w:kern w:val="0"/>
          <w:sz w:val="28"/>
          <w:szCs w:val="28"/>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年没有使用国有资本经营预算拨款安排的支出，国有资本经营预算支出情况表为空表</w:t>
      </w:r>
      <w:r>
        <w:rPr>
          <w:rFonts w:hint="eastAsia" w:ascii="仿宋" w:hAnsi="仿宋" w:eastAsia="仿宋" w:cs="仿宋"/>
          <w:sz w:val="28"/>
          <w:szCs w:val="28"/>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仿宋_GB2312"/>
          <w:b/>
          <w:bCs w:val="0"/>
          <w:color w:val="auto"/>
          <w:kern w:val="0"/>
          <w:sz w:val="32"/>
          <w:szCs w:val="32"/>
          <w:highlight w:val="none"/>
        </w:rPr>
      </w:pPr>
      <w:r>
        <w:rPr>
          <w:rFonts w:hint="eastAsia" w:ascii="仿宋" w:hAnsi="仿宋" w:eastAsia="仿宋" w:cs="仿宋_GB2312"/>
          <w:b/>
          <w:bCs w:val="0"/>
          <w:color w:val="auto"/>
          <w:kern w:val="0"/>
          <w:sz w:val="32"/>
          <w:szCs w:val="32"/>
          <w:highlight w:val="none"/>
        </w:rPr>
        <w:t>上年结转</w:t>
      </w:r>
      <w:r>
        <w:rPr>
          <w:rFonts w:hint="eastAsia" w:ascii="仿宋" w:hAnsi="仿宋" w:eastAsia="仿宋" w:cs="仿宋_GB2312"/>
          <w:b/>
          <w:bCs w:val="0"/>
          <w:color w:val="auto"/>
          <w:kern w:val="0"/>
          <w:sz w:val="32"/>
          <w:szCs w:val="32"/>
          <w:highlight w:val="none"/>
          <w:lang w:val="en-US" w:eastAsia="zh-CN"/>
        </w:rPr>
        <w:t>结余</w:t>
      </w:r>
      <w:r>
        <w:rPr>
          <w:rFonts w:hint="eastAsia" w:ascii="仿宋" w:hAnsi="仿宋" w:eastAsia="仿宋" w:cs="仿宋_GB2312"/>
          <w:b/>
          <w:bCs w:val="0"/>
          <w:color w:val="auto"/>
          <w:kern w:val="0"/>
          <w:sz w:val="32"/>
          <w:szCs w:val="32"/>
          <w:highlight w:val="none"/>
        </w:rPr>
        <w:t>情况明细表</w:t>
      </w:r>
    </w:p>
    <w:p>
      <w:pPr>
        <w:keepNext w:val="0"/>
        <w:keepLines w:val="0"/>
        <w:pageBreakBefore w:val="0"/>
        <w:widowControl/>
        <w:kinsoku/>
        <w:wordWrap/>
        <w:overflowPunct/>
        <w:topLinePunct w:val="0"/>
        <w:autoSpaceDE/>
        <w:autoSpaceDN/>
        <w:bidi w:val="0"/>
        <w:adjustRightInd/>
        <w:snapToGrid/>
        <w:spacing w:before="313" w:beforeLines="100"/>
        <w:jc w:val="center"/>
        <w:textAlignment w:val="auto"/>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pPr w:leftFromText="180" w:rightFromText="180" w:vertAnchor="text" w:horzAnchor="page" w:tblpX="1299" w:tblpY="183"/>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小</w:t>
            </w:r>
            <w:r>
              <w:rPr>
                <w:rFonts w:hint="eastAsia" w:ascii="仿宋_GB2312" w:hAnsi="宋体" w:eastAsia="仿宋_GB2312" w:cs="宋体"/>
                <w:b/>
                <w:bCs/>
                <w:color w:val="auto"/>
                <w:kern w:val="0"/>
                <w:sz w:val="20"/>
                <w:szCs w:val="20"/>
                <w:highlight w:val="none"/>
              </w:rPr>
              <w:t>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
                <w:bCs w:val="0"/>
                <w:color w:val="auto"/>
                <w:kern w:val="0"/>
                <w:sz w:val="28"/>
                <w:szCs w:val="28"/>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0" w:firstLineChars="100"/>
        <w:textAlignment w:val="auto"/>
        <w:outlineLvl w:val="1"/>
        <w:rPr>
          <w:rFonts w:hint="eastAsia" w:ascii="仿宋" w:hAnsi="仿宋" w:eastAsia="仿宋" w:cs="仿宋"/>
          <w:color w:val="auto"/>
          <w:kern w:val="0"/>
          <w:sz w:val="28"/>
          <w:szCs w:val="28"/>
          <w:highlight w:val="none"/>
          <w:lang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 w:hAnsi="仿宋" w:eastAsia="仿宋" w:cs="仿宋"/>
          <w:color w:val="auto"/>
          <w:kern w:val="0"/>
          <w:sz w:val="28"/>
          <w:szCs w:val="28"/>
          <w:highlight w:val="none"/>
          <w:lang w:eastAsia="zh-CN"/>
        </w:rPr>
        <w:t>备注：</w:t>
      </w:r>
      <w:r>
        <w:rPr>
          <w:rFonts w:hint="eastAsia" w:ascii="仿宋" w:hAnsi="仿宋" w:eastAsia="仿宋" w:cs="仿宋"/>
          <w:b/>
          <w:bCs/>
          <w:color w:val="000000"/>
          <w:sz w:val="28"/>
          <w:szCs w:val="28"/>
          <w:lang w:eastAsia="zh-CN"/>
        </w:rPr>
        <w:t>呼图壁县乡村振兴综合保障中心</w:t>
      </w:r>
      <w:r>
        <w:rPr>
          <w:rFonts w:hint="eastAsia" w:ascii="仿宋" w:hAnsi="仿宋" w:eastAsia="仿宋" w:cs="仿宋"/>
          <w:b/>
          <w:bCs/>
          <w:color w:val="000000"/>
          <w:sz w:val="28"/>
          <w:szCs w:val="28"/>
        </w:rPr>
        <w:t xml:space="preserve"> 2025 年没有上年结转结余预算安排的支出，上年结转结余情细表为空表。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一、关于呼图壁县乡村振兴综合保障中心</w:t>
      </w:r>
      <w:r>
        <w:rPr>
          <w:rFonts w:hint="eastAsia" w:ascii="楷体_GB2312" w:hAnsi="楷体_GB2312" w:eastAsia="楷体_GB2312" w:cs="楷体_GB2312"/>
          <w:b/>
          <w:bCs w:val="0"/>
          <w:color w:val="auto"/>
          <w:kern w:val="0"/>
          <w:sz w:val="32"/>
          <w:szCs w:val="32"/>
          <w:highlight w:val="none"/>
          <w:lang w:eastAsia="zh-CN"/>
        </w:rPr>
        <w:t>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呼图壁县乡村振兴综合保障中心收入预算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8.44%，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2025年部门。</w:t>
      </w:r>
      <w:r>
        <w:rPr>
          <w:rFonts w:hint="eastAsia" w:ascii="仿宋_GB2312" w:hAnsi="宋体" w:eastAsia="仿宋_GB2312" w:cs="宋体"/>
          <w:kern w:val="0"/>
          <w:sz w:val="32"/>
          <w:szCs w:val="32"/>
          <w:highlight w:val="none"/>
          <w:lang w:val="en-US" w:eastAsia="zh-CN"/>
        </w:rPr>
        <w:t>加1人，社会保障和就业支出等预算均有所增加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23.32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lang w:val="en-US" w:eastAsia="zh-CN"/>
        </w:rPr>
        <w:t>在职人员趋于稳定，退回工资、社保等预算均有所减少。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2025年部门增加1人，人员工资、社会保障和就业支出、住房公积金等预算均有所增加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占0%，比上年预算增加0万元，增长0%，主要原因是2024和2025年乡村振兴综合保障中心均未安排项目支出。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30.48万元，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缴纳单位基本养老保险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23.05万元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主要用于缴纳医疗、公务员医疗补助等；</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226.79万元，主要用于发放单位人员工资和运行费；</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25.48万元，主要用于缴纳住房公积金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23.80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8.44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增加1人，人员工资、社会保障和就业支出、住房公积金等预算均有所增加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，增长0%，主要原因是</w:t>
      </w:r>
      <w:r>
        <w:rPr>
          <w:rFonts w:hint="eastAsia" w:ascii="仿宋_GB2312" w:hAnsi="宋体" w:eastAsia="仿宋_GB2312" w:cs="宋体"/>
          <w:color w:val="auto"/>
          <w:kern w:val="0"/>
          <w:sz w:val="32"/>
          <w:szCs w:val="32"/>
          <w:highlight w:val="none"/>
          <w:lang w:val="en-US" w:eastAsia="zh-CN"/>
        </w:rPr>
        <w:t>2025年乡村振兴综合保障中心未安排项目支出。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sz w:val="32"/>
          <w:szCs w:val="32"/>
          <w:highlight w:val="none"/>
        </w:rPr>
        <w:t>社会保障和就业支出（类）</w:t>
      </w:r>
      <w:r>
        <w:rPr>
          <w:rFonts w:hint="eastAsia" w:ascii="仿宋_GB2312" w:eastAsia="仿宋_GB2312"/>
          <w:sz w:val="32"/>
          <w:szCs w:val="32"/>
          <w:highlight w:val="none"/>
          <w:lang w:val="en-US" w:eastAsia="zh-CN"/>
        </w:rPr>
        <w:t>30.48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9.97</w:t>
      </w:r>
      <w:r>
        <w:rPr>
          <w:rFonts w:hint="eastAsia" w:ascii="仿宋_GB2312" w:eastAsia="仿宋_GB2312"/>
          <w:sz w:val="32"/>
          <w:szCs w:val="32"/>
          <w:highlight w:val="none"/>
        </w:rPr>
        <w:t>%</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ascii="仿宋_GB2312" w:eastAsia="仿宋_GB2312"/>
          <w:sz w:val="32"/>
          <w:szCs w:val="32"/>
          <w:highlight w:val="none"/>
        </w:rPr>
        <w:t>卫生健康支出（类）</w:t>
      </w:r>
      <w:r>
        <w:rPr>
          <w:rFonts w:hint="eastAsia" w:ascii="仿宋" w:hAnsi="仿宋" w:eastAsia="仿宋" w:cs="仿宋"/>
          <w:b w:val="0"/>
          <w:bCs/>
          <w:color w:val="000000"/>
          <w:kern w:val="0"/>
          <w:sz w:val="32"/>
          <w:szCs w:val="32"/>
          <w:highlight w:val="none"/>
          <w:lang w:val="en-US" w:eastAsia="zh-CN"/>
        </w:rPr>
        <w:t>23.05万元，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7.54</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b w:val="0"/>
          <w:bCs/>
          <w:color w:val="000000"/>
          <w:kern w:val="0"/>
          <w:sz w:val="32"/>
          <w:szCs w:val="32"/>
          <w:highlight w:val="none"/>
          <w:lang w:val="en-US" w:eastAsia="zh-CN"/>
        </w:rPr>
        <w:t>农林水支出（类）226.79万元，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74.16</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 w:hAnsi="仿宋" w:eastAsia="仿宋" w:cs="仿宋"/>
          <w:b w:val="0"/>
          <w:bCs/>
          <w:color w:val="000000"/>
          <w:kern w:val="0"/>
          <w:sz w:val="32"/>
          <w:szCs w:val="32"/>
          <w:highlight w:val="none"/>
          <w:lang w:val="en-US" w:eastAsia="zh-CN"/>
        </w:rPr>
        <w:t>住房保障支出（类）25.48万元，占8.33%。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30.48</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预算增加1.73万元，增长6.02%，主要原因是：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w:t>
      </w:r>
      <w:r>
        <w:rPr>
          <w:rFonts w:hint="eastAsia" w:ascii="仿宋_GB2312" w:hAnsi="宋体" w:eastAsia="仿宋_GB2312" w:cs="宋体"/>
          <w:kern w:val="0"/>
          <w:sz w:val="32"/>
          <w:szCs w:val="32"/>
          <w:highlight w:val="none"/>
        </w:rPr>
        <w:t>机关事业单位基本养老保险缴费</w:t>
      </w:r>
      <w:r>
        <w:rPr>
          <w:rFonts w:hint="eastAsia" w:ascii="仿宋_GB2312" w:hAnsi="宋体" w:eastAsia="仿宋_GB2312" w:cs="宋体"/>
          <w:kern w:val="0"/>
          <w:sz w:val="32"/>
          <w:szCs w:val="32"/>
          <w:highlight w:val="none"/>
          <w:lang w:val="en-US" w:eastAsia="zh-CN"/>
        </w:rPr>
        <w:t>支出预算有所增加。</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宋体" w:eastAsia="仿宋_GB2312" w:cs="宋体"/>
          <w:kern w:val="0"/>
          <w:sz w:val="32"/>
          <w:szCs w:val="32"/>
          <w:highlight w:val="none"/>
          <w:lang w:val="en-US" w:eastAsia="zh-CN"/>
        </w:rPr>
        <w:t>卫生健康支出（类）行政事业单位医疗（款）事业单位医疗（项）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15.24万元，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预算增加0.87万元，增长6.05%，主要原因是：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增加1人，行政单位医疗支出预算有所增加。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卫生健康支出（类）行政事业单位医疗（款）公务员医疗补助（项）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7.62万元，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预算增加3.67万元，增长92.91%，主要原因是：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增加1人，且公务员医疗补助缴费比例增加，支出预算有所增加。</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宋体" w:eastAsia="仿宋_GB2312" w:cs="宋体"/>
          <w:kern w:val="0"/>
          <w:sz w:val="32"/>
          <w:szCs w:val="32"/>
          <w:highlight w:val="none"/>
          <w:lang w:val="en-US" w:eastAsia="zh-CN"/>
        </w:rPr>
        <w:t>卫生健康支出（类）行政事业单位医疗（款）其他行政事业单位医疗支出（项）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0.19万元，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预算增加0.08万元，增长72.73%，主要原因是：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增加1人，且大病医疗缴费比例增加，其他行政事业单位医疗支出预算有所增加。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 w:hAnsi="仿宋" w:eastAsia="仿宋" w:cs="仿宋"/>
          <w:b w:val="0"/>
          <w:bCs/>
          <w:color w:val="000000"/>
          <w:kern w:val="0"/>
          <w:sz w:val="32"/>
          <w:szCs w:val="32"/>
          <w:highlight w:val="none"/>
          <w:lang w:val="en-US" w:eastAsia="zh-CN"/>
        </w:rPr>
        <w:t>农林水支出（类）农业农村（款）事业运行（项）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 w:hAnsi="仿宋" w:eastAsia="仿宋" w:cs="仿宋"/>
          <w:b w:val="0"/>
          <w:bCs/>
          <w:color w:val="000000"/>
          <w:kern w:val="0"/>
          <w:sz w:val="32"/>
          <w:szCs w:val="32"/>
          <w:highlight w:val="none"/>
          <w:lang w:val="en-US" w:eastAsia="zh-CN"/>
        </w:rPr>
        <w:t>226.79万元，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预算增加16.03万元，增长7.61%，主要原因是：</w:t>
      </w:r>
      <w:r>
        <w:rPr>
          <w:rFonts w:hint="eastAsia" w:ascii="仿宋_GB2312" w:hAnsi="仿宋_GB2312" w:eastAsia="仿宋_GB2312" w:cs="仿宋_GB2312"/>
          <w:kern w:val="0"/>
          <w:sz w:val="32"/>
          <w:szCs w:val="32"/>
          <w:highlight w:val="none"/>
          <w:lang w:val="en-US" w:eastAsia="zh-CN"/>
        </w:rPr>
        <w:t>2025年部门</w:t>
      </w:r>
      <w:r>
        <w:rPr>
          <w:rFonts w:hint="eastAsia" w:ascii="仿宋_GB2312" w:hAnsi="宋体" w:eastAsia="仿宋_GB2312" w:cs="宋体"/>
          <w:kern w:val="0"/>
          <w:sz w:val="32"/>
          <w:szCs w:val="32"/>
          <w:highlight w:val="none"/>
          <w:lang w:val="en-US" w:eastAsia="zh-CN"/>
        </w:rPr>
        <w:t>1人，</w:t>
      </w:r>
      <w:r>
        <w:rPr>
          <w:rFonts w:hint="eastAsia" w:ascii="仿宋" w:hAnsi="仿宋" w:eastAsia="仿宋" w:cs="仿宋"/>
          <w:b w:val="0"/>
          <w:bCs/>
          <w:color w:val="000000"/>
          <w:kern w:val="0"/>
          <w:sz w:val="32"/>
          <w:szCs w:val="32"/>
          <w:highlight w:val="none"/>
          <w:lang w:val="en-US" w:eastAsia="zh-CN"/>
        </w:rPr>
        <w:t>事业运行</w:t>
      </w:r>
      <w:r>
        <w:rPr>
          <w:rFonts w:hint="eastAsia" w:ascii="仿宋_GB2312" w:hAnsi="宋体" w:eastAsia="仿宋_GB2312" w:cs="宋体"/>
          <w:kern w:val="0"/>
          <w:sz w:val="32"/>
          <w:szCs w:val="32"/>
          <w:highlight w:val="none"/>
          <w:lang w:val="en-US" w:eastAsia="zh-CN"/>
        </w:rPr>
        <w:t>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宋体" w:eastAsia="仿宋_GB2312" w:cs="宋体"/>
          <w:kern w:val="0"/>
          <w:sz w:val="32"/>
          <w:szCs w:val="32"/>
          <w:highlight w:val="none"/>
          <w:lang w:val="en-US" w:eastAsia="zh-CN"/>
        </w:rPr>
        <w:t>住房保障支出（类）住房改革支出（款）住房公积金（项）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25.48万元，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预算增加1.43万元，增长5.95%，主要原因是：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增加1人，住房公积金支出预算有所增加。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spacing w:val="-6"/>
          <w:kern w:val="0"/>
          <w:sz w:val="32"/>
          <w:szCs w:val="32"/>
          <w:highlight w:val="none"/>
          <w:lang w:eastAsia="zh-CN"/>
        </w:rPr>
        <w:t>2025年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305.80</w:t>
      </w:r>
      <w:r>
        <w:rPr>
          <w:rFonts w:hint="eastAsia" w:ascii="仿宋_GB2312" w:hAnsi="宋体" w:eastAsia="仿宋_GB2312" w:cs="宋体"/>
          <w:color w:val="auto"/>
          <w:spacing w:val="-6"/>
          <w:kern w:val="0"/>
          <w:sz w:val="32"/>
          <w:szCs w:val="32"/>
          <w:highlight w:val="none"/>
        </w:rPr>
        <w:t>万元，其中：</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296.71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万元，主要包括：办公费、印刷费、水费、电费、邮电费、差旅费、公务接待费、工会经费、公务用车运行维护费。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2.20</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kern w:val="0"/>
          <w:sz w:val="32"/>
          <w:szCs w:val="32"/>
          <w:highlight w:val="none"/>
        </w:rPr>
        <w:t>因公出国（境）费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万元，公务</w:t>
      </w:r>
      <w:r>
        <w:rPr>
          <w:rFonts w:hint="eastAsia" w:ascii="仿宋_GB2312" w:hAnsi="宋体" w:eastAsia="仿宋_GB2312" w:cs="宋体"/>
          <w:color w:val="000000"/>
          <w:kern w:val="0"/>
          <w:sz w:val="32"/>
          <w:szCs w:val="32"/>
          <w:highlight w:val="none"/>
        </w:rPr>
        <w:t>用车购置费</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37.50%，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公务用车运行费</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0%，主要原因是我单位公车数量未发生变化，预算费用较2024年无增长；</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2025年预算公务接待费因业务需要增加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2025年部门</w:t>
      </w:r>
      <w:r>
        <w:rPr>
          <w:rFonts w:hint="eastAsia" w:ascii="仿宋_GB2312" w:hAnsi="宋体" w:eastAsia="仿宋_GB2312" w:cs="宋体"/>
          <w:kern w:val="0"/>
          <w:sz w:val="32"/>
          <w:szCs w:val="32"/>
          <w:highlight w:val="none"/>
          <w:lang w:val="en-US" w:eastAsia="zh-CN"/>
        </w:rPr>
        <w:t>增加1人，办公费、工会经费等预算均有所增加。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年，呼图壁县乡村振兴综合保障中心政府采购预算</w:t>
      </w:r>
      <w:r>
        <w:rPr>
          <w:rFonts w:hint="eastAsia" w:ascii="仿宋_GB2312" w:hAnsi="仿宋_GB2312" w:eastAsia="仿宋_GB2312" w:cs="仿宋_GB2312"/>
          <w:color w:val="auto"/>
          <w:kern w:val="0"/>
          <w:sz w:val="32"/>
          <w:szCs w:val="32"/>
          <w:highlight w:val="none"/>
          <w:lang w:val="en-US" w:eastAsia="zh-CN"/>
        </w:rPr>
        <w:t>2.90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1.80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年底，呼图壁县乡村振兴综合保障中心占用使用国有资产总体情况为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3.8858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18.4258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）部门价</w:t>
      </w:r>
      <w:r>
        <w:rPr>
          <w:rFonts w:hint="eastAsia" w:ascii="仿宋_GB2312" w:hAnsi="仿宋_GB2312" w:eastAsia="仿宋_GB2312" w:cs="仿宋_GB2312"/>
          <w:color w:val="auto"/>
          <w:kern w:val="0"/>
          <w:sz w:val="32"/>
          <w:szCs w:val="32"/>
          <w:highlight w:val="none"/>
        </w:rPr>
        <w:t>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整体预算绩效目标1个，涉及金额398.8万元；当年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11"/>
        <w:tblpPr w:leftFromText="180" w:rightFromText="180" w:vertAnchor="text" w:horzAnchor="page" w:tblpX="1129" w:tblpY="-11111"/>
        <w:tblOverlap w:val="never"/>
        <w:tblW w:w="9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930"/>
        <w:gridCol w:w="2430"/>
        <w:gridCol w:w="1320"/>
        <w:gridCol w:w="3344"/>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w:t>
            </w:r>
            <w:r>
              <w:rPr>
                <w:rFonts w:hint="eastAsia" w:ascii="宋体" w:hAnsi="宋体" w:cs="宋体"/>
                <w:i w:val="0"/>
                <w:iCs w:val="0"/>
                <w:color w:val="000000"/>
                <w:sz w:val="24"/>
                <w:szCs w:val="24"/>
                <w:highlight w:val="none"/>
                <w:u w:val="none"/>
                <w:lang w:val="en-US" w:eastAsia="zh-CN"/>
              </w:rPr>
              <w:t>2025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呼图壁县乡村振兴综合保障中心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联系人</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马克巴力·麻木拜克</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联系电话</w:t>
            </w:r>
          </w:p>
        </w:tc>
        <w:tc>
          <w:tcPr>
            <w:tcW w:w="7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16690040022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年度绩效目标</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持续巩固拓展脱贫攻坚成果,全面落实重点人群月风险摸排、农户季风险摸排机制;持续拓展监测渠道,对存在返贫致贫风险的农户做到应纳尽纳;全面推进精准帮扶;落实“雨露计划”补助、小额信贷、“一次性务工交通补助”、“产业到户”政策补助;扎实开展区内协作、定点帮扶。实施乡村建设行动,健全乡村建设推进机制,全覆盖开展农村人居环境整治提升行动,统筹推进农村生活垃圾、生活污水治理和厕所革命工作。扎实有效开展乡村治理,常态化调度各乡镇、村每月积分公示、红黑榜评比、季度兑换相关工作。稳步推进乡村振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830" w:type="dxa"/>
            <w:gridSpan w:val="2"/>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年度预算（万元）</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highlight w:val="none"/>
                <w:lang w:val="en-US" w:eastAsia="zh-CN"/>
              </w:rPr>
            </w:pPr>
            <w:r>
              <w:rPr>
                <w:rFonts w:hint="eastAsia" w:ascii="宋体" w:hAnsi="宋体" w:cs="宋体"/>
                <w:i w:val="0"/>
                <w:iCs w:val="0"/>
                <w:color w:val="000000"/>
                <w:sz w:val="20"/>
                <w:szCs w:val="20"/>
                <w:highlight w:val="none"/>
                <w:u w:val="none"/>
                <w:lang w:val="en-US" w:eastAsia="zh-CN"/>
              </w:rPr>
              <w:t>93.00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398.80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指标设定依据</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履职效能</w:t>
            </w:r>
          </w:p>
        </w:tc>
        <w:tc>
          <w:tcPr>
            <w:tcW w:w="93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监测对象摸排覆盖率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sz w:val="18"/>
                <w:szCs w:val="18"/>
                <w:highlight w:val="none"/>
              </w:rPr>
            </w:pPr>
          </w:p>
        </w:tc>
        <w:tc>
          <w:tcPr>
            <w:tcW w:w="93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惠民政策补助发放普及率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农村生活垃圾治理率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卫生厕所普及率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&gt;=58%</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存在防返贫风险农户纳入监测的比例</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惠民政策宣传及时率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 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w:t>
            </w:r>
          </w:p>
        </w:tc>
      </w:tr>
    </w:tbl>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本部门无其他需说明的事项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呼图壁县乡村振兴综合保障中心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- 2 -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mY2RhZDdmMzNjYWUwMTQyNTk4NTdlZjYyMjVlOTQifQ=="/>
  </w:docVars>
  <w:rsids>
    <w:rsidRoot w:val="10587512"/>
    <w:rsid w:val="004B6E40"/>
    <w:rsid w:val="00C6185E"/>
    <w:rsid w:val="00EE2224"/>
    <w:rsid w:val="01396E1E"/>
    <w:rsid w:val="0191079E"/>
    <w:rsid w:val="01B04C82"/>
    <w:rsid w:val="02511F45"/>
    <w:rsid w:val="0264611C"/>
    <w:rsid w:val="038A7E04"/>
    <w:rsid w:val="039B216F"/>
    <w:rsid w:val="04267B2D"/>
    <w:rsid w:val="05397FD9"/>
    <w:rsid w:val="05557F9E"/>
    <w:rsid w:val="055C054F"/>
    <w:rsid w:val="05B5305B"/>
    <w:rsid w:val="06A2002E"/>
    <w:rsid w:val="06F7130D"/>
    <w:rsid w:val="070E6657"/>
    <w:rsid w:val="07B06394"/>
    <w:rsid w:val="08450B28"/>
    <w:rsid w:val="088C1F29"/>
    <w:rsid w:val="09063A89"/>
    <w:rsid w:val="0AFA13CC"/>
    <w:rsid w:val="0B247F12"/>
    <w:rsid w:val="0BC75EAA"/>
    <w:rsid w:val="0BCB0FBA"/>
    <w:rsid w:val="0D437EC5"/>
    <w:rsid w:val="0D6E5FD0"/>
    <w:rsid w:val="0DE3083D"/>
    <w:rsid w:val="0E9208E7"/>
    <w:rsid w:val="0F5117D6"/>
    <w:rsid w:val="0FA924B8"/>
    <w:rsid w:val="10014FAA"/>
    <w:rsid w:val="10587512"/>
    <w:rsid w:val="10916BDA"/>
    <w:rsid w:val="11535CDA"/>
    <w:rsid w:val="11F969CD"/>
    <w:rsid w:val="12EC4F80"/>
    <w:rsid w:val="131353A4"/>
    <w:rsid w:val="134A4EBA"/>
    <w:rsid w:val="153A0924"/>
    <w:rsid w:val="158100AB"/>
    <w:rsid w:val="161F43DC"/>
    <w:rsid w:val="1697741D"/>
    <w:rsid w:val="170F61FF"/>
    <w:rsid w:val="1732414C"/>
    <w:rsid w:val="185C36C6"/>
    <w:rsid w:val="1A025937"/>
    <w:rsid w:val="1A3F504D"/>
    <w:rsid w:val="1B2E6E70"/>
    <w:rsid w:val="1BEB54C3"/>
    <w:rsid w:val="1C393D1E"/>
    <w:rsid w:val="1C3C6084"/>
    <w:rsid w:val="1CEB6DC6"/>
    <w:rsid w:val="1D3E1AFE"/>
    <w:rsid w:val="1EAC2F42"/>
    <w:rsid w:val="1EB40DE9"/>
    <w:rsid w:val="1EB61656"/>
    <w:rsid w:val="200A3A07"/>
    <w:rsid w:val="20340A84"/>
    <w:rsid w:val="206D5E77"/>
    <w:rsid w:val="20712C87"/>
    <w:rsid w:val="20DD55C0"/>
    <w:rsid w:val="20F038B6"/>
    <w:rsid w:val="22235254"/>
    <w:rsid w:val="22DB78DD"/>
    <w:rsid w:val="2322550C"/>
    <w:rsid w:val="244D65B8"/>
    <w:rsid w:val="2492221D"/>
    <w:rsid w:val="2573204F"/>
    <w:rsid w:val="263564F8"/>
    <w:rsid w:val="26B4291F"/>
    <w:rsid w:val="26E769FA"/>
    <w:rsid w:val="293B2E83"/>
    <w:rsid w:val="2A012DF7"/>
    <w:rsid w:val="2AFC4894"/>
    <w:rsid w:val="2B5C79EE"/>
    <w:rsid w:val="2C2E4F21"/>
    <w:rsid w:val="2CEB526F"/>
    <w:rsid w:val="2D480265"/>
    <w:rsid w:val="2D977453"/>
    <w:rsid w:val="2DA21723"/>
    <w:rsid w:val="2E4119B7"/>
    <w:rsid w:val="2EF22236"/>
    <w:rsid w:val="332B5D17"/>
    <w:rsid w:val="33A464BF"/>
    <w:rsid w:val="34CB78A0"/>
    <w:rsid w:val="34FF56AD"/>
    <w:rsid w:val="35121FA5"/>
    <w:rsid w:val="35741906"/>
    <w:rsid w:val="35BE10C4"/>
    <w:rsid w:val="36062A6B"/>
    <w:rsid w:val="379E59C8"/>
    <w:rsid w:val="37A3702F"/>
    <w:rsid w:val="37CC6816"/>
    <w:rsid w:val="38471BCC"/>
    <w:rsid w:val="389C6DB2"/>
    <w:rsid w:val="38C43424"/>
    <w:rsid w:val="395A7356"/>
    <w:rsid w:val="3C095063"/>
    <w:rsid w:val="3F851F02"/>
    <w:rsid w:val="3F99270D"/>
    <w:rsid w:val="3FDF4D23"/>
    <w:rsid w:val="3FFD2EB8"/>
    <w:rsid w:val="404B79F8"/>
    <w:rsid w:val="41C73BAC"/>
    <w:rsid w:val="42955162"/>
    <w:rsid w:val="43A55671"/>
    <w:rsid w:val="43C26223"/>
    <w:rsid w:val="43D8307E"/>
    <w:rsid w:val="43DF5027"/>
    <w:rsid w:val="45CF69D6"/>
    <w:rsid w:val="46407634"/>
    <w:rsid w:val="46CE3131"/>
    <w:rsid w:val="47F46BC7"/>
    <w:rsid w:val="494F7907"/>
    <w:rsid w:val="49627B61"/>
    <w:rsid w:val="4AB508CE"/>
    <w:rsid w:val="4B6D2F19"/>
    <w:rsid w:val="4C0055E5"/>
    <w:rsid w:val="4C3677AE"/>
    <w:rsid w:val="4C455C43"/>
    <w:rsid w:val="4C5419FC"/>
    <w:rsid w:val="4C706B3A"/>
    <w:rsid w:val="4D1E2254"/>
    <w:rsid w:val="4D8673DA"/>
    <w:rsid w:val="51C15CED"/>
    <w:rsid w:val="52285DEB"/>
    <w:rsid w:val="52AD62F0"/>
    <w:rsid w:val="546308FE"/>
    <w:rsid w:val="55401D6C"/>
    <w:rsid w:val="56890E23"/>
    <w:rsid w:val="56F262B4"/>
    <w:rsid w:val="5C207B33"/>
    <w:rsid w:val="5DBB5A53"/>
    <w:rsid w:val="5DDC52DD"/>
    <w:rsid w:val="5E4F4700"/>
    <w:rsid w:val="5F1871E8"/>
    <w:rsid w:val="5F2346ED"/>
    <w:rsid w:val="60AA769A"/>
    <w:rsid w:val="60F0728F"/>
    <w:rsid w:val="61086613"/>
    <w:rsid w:val="63320B25"/>
    <w:rsid w:val="63AD1FEB"/>
    <w:rsid w:val="6408782B"/>
    <w:rsid w:val="64AA11A7"/>
    <w:rsid w:val="65322CBF"/>
    <w:rsid w:val="68CC52CB"/>
    <w:rsid w:val="68DE4FFE"/>
    <w:rsid w:val="694B58D7"/>
    <w:rsid w:val="69CE4E15"/>
    <w:rsid w:val="6B113469"/>
    <w:rsid w:val="6B7F3246"/>
    <w:rsid w:val="6CD209D6"/>
    <w:rsid w:val="6E7F79BF"/>
    <w:rsid w:val="6EF07839"/>
    <w:rsid w:val="6F63000B"/>
    <w:rsid w:val="6F6974FE"/>
    <w:rsid w:val="6FBC44A0"/>
    <w:rsid w:val="70F829D5"/>
    <w:rsid w:val="71B33BCF"/>
    <w:rsid w:val="72613AC6"/>
    <w:rsid w:val="72B56DCF"/>
    <w:rsid w:val="73CE3D70"/>
    <w:rsid w:val="740D49E9"/>
    <w:rsid w:val="758C6C69"/>
    <w:rsid w:val="75B570E6"/>
    <w:rsid w:val="777A4144"/>
    <w:rsid w:val="77D93560"/>
    <w:rsid w:val="780A1873"/>
    <w:rsid w:val="78411F23"/>
    <w:rsid w:val="787D11B8"/>
    <w:rsid w:val="78F61204"/>
    <w:rsid w:val="78F7348E"/>
    <w:rsid w:val="79187B3A"/>
    <w:rsid w:val="792C5912"/>
    <w:rsid w:val="7A41719B"/>
    <w:rsid w:val="7A601D17"/>
    <w:rsid w:val="7ABE0558"/>
    <w:rsid w:val="7B0242C6"/>
    <w:rsid w:val="7D79528C"/>
    <w:rsid w:val="7E8B30DA"/>
    <w:rsid w:val="7F84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next w:val="4"/>
    <w:qFormat/>
    <w:uiPriority w:val="0"/>
    <w:pPr>
      <w:widowControl/>
      <w:spacing w:before="100" w:beforeAutospacing="1" w:after="100" w:afterAutospacing="1"/>
      <w:jc w:val="left"/>
    </w:pPr>
    <w:rPr>
      <w:rFonts w:ascii="宋体" w:hAnsi="宋体" w:cs="宋体"/>
      <w:kern w:val="0"/>
      <w:sz w:val="24"/>
    </w:rPr>
  </w:style>
  <w:style w:type="paragraph" w:customStyle="1" w:styleId="4">
    <w:name w:val="Quote1"/>
    <w:next w:val="1"/>
    <w:qFormat/>
    <w:uiPriority w:val="0"/>
    <w:pPr>
      <w:wordWrap w:val="0"/>
      <w:spacing w:before="200" w:after="160"/>
      <w:ind w:left="864" w:right="864"/>
      <w:jc w:val="center"/>
    </w:pPr>
    <w:rPr>
      <w:rFonts w:ascii="Times New Roman" w:hAnsi="Times New Roman" w:eastAsia="宋体" w:cs="Times New Roman"/>
      <w:i/>
      <w:sz w:val="21"/>
      <w:szCs w:val="22"/>
      <w:lang w:val="en-US" w:eastAsia="zh-CN" w:bidi="ar-SA"/>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1346</Words>
  <Characters>1407</Characters>
  <Lines>0</Lines>
  <Paragraphs>0</Paragraphs>
  <TotalTime>0</TotalTime>
  <ScaleCrop>false</ScaleCrop>
  <LinksUpToDate>false</LinksUpToDate>
  <CharactersWithSpaces>1462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2024-07-16T09:49:00Z</cp:lastPrinted>
  <dcterms:modified xsi:type="dcterms:W3CDTF">2025-06-01T11:45:19Z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8584B4C813174B918E8BEAA4B2FB09BC_13</vt:lpwstr>
  </property>
  <property fmtid="{D5CDD505-2E9C-101B-9397-08002B2CF9AE}" pid="4" name="KSOTemplateDocerSaveRecord">
    <vt:lpwstr>eyJoZGlkIjoiYjc4NTRiZDIzYTM5ZmIzMzlmY2I2YjdmZTgwMTE5MTAifQ==</vt:lpwstr>
  </property>
</Properties>
</file>