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10"/>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黑体" w:hAnsi="ArialUnicodeMS" w:eastAsia="黑体" w:cs="Times New Roman"/>
          <w:color w:val="000000"/>
          <w:sz w:val="44"/>
          <w:szCs w:val="44"/>
          <w:lang w:val="en-US" w:eastAsia="zh-CN"/>
        </w:rPr>
        <w:t>中共呼图壁县委员会宣传部</w:t>
      </w: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p>
    <w:p>
      <w:pPr>
        <w:widowControl/>
        <w:spacing w:before="100" w:beforeAutospacing="1" w:after="100" w:afterAutospacing="1"/>
        <w:jc w:val="center"/>
        <w:outlineLvl w:val="1"/>
        <w:rPr>
          <w:rFonts w:hint="default" w:ascii="黑体" w:hAnsi="ArialUnicodeMS" w:eastAsia="黑体" w:cs="Times New Roman"/>
          <w:color w:val="000000"/>
          <w:sz w:val="44"/>
          <w:szCs w:val="44"/>
          <w:lang w:val="en-US" w:eastAsia="zh-CN"/>
        </w:rPr>
      </w:pPr>
      <w:r>
        <w:rPr>
          <w:rFonts w:hint="eastAsia" w:ascii="黑体" w:hAnsi="ArialUnicodeMS" w:eastAsia="黑体" w:cs="Times New Roman"/>
          <w:color w:val="000000"/>
          <w:sz w:val="44"/>
          <w:szCs w:val="44"/>
          <w:lang w:val="en-US" w:eastAsia="zh-CN"/>
        </w:rPr>
        <w:t>2025年部门预算公开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jc w:val="center"/>
        <w:rPr>
          <w:rFonts w:hint="eastAsia" w:ascii="黑体" w:hAnsi="Calibri" w:eastAsia="黑体" w:cs="Times New Roman"/>
          <w:color w:val="000000"/>
          <w:sz w:val="36"/>
          <w:szCs w:val="36"/>
        </w:rPr>
      </w:pPr>
      <w:r>
        <w:rPr>
          <w:rFonts w:hint="eastAsia" w:ascii="黑体" w:hAnsi="Calibri" w:eastAsia="黑体" w:cs="Times New Roman"/>
          <w:color w:val="000000"/>
          <w:sz w:val="36"/>
          <w:szCs w:val="36"/>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2025年中共呼图壁县委员会宣传部部门</w:t>
      </w:r>
      <w:r>
        <w:rPr>
          <w:rFonts w:hint="eastAsia" w:ascii="仿宋" w:hAnsi="仿宋" w:eastAsia="仿宋" w:cs="Times New Roman"/>
          <w:b/>
          <w:color w:val="000000"/>
          <w:sz w:val="28"/>
          <w:szCs w:val="28"/>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第二部分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 w:hAnsi="仿宋" w:eastAsia="仿宋" w:cs="Times New Roman"/>
          <w:b/>
          <w:color w:val="000000"/>
          <w:sz w:val="28"/>
          <w:szCs w:val="28"/>
        </w:rPr>
        <w:t xml:space="preserve">第三部分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一、关于</w:t>
      </w:r>
      <w:r>
        <w:rPr>
          <w:rFonts w:hint="eastAsia" w:ascii="仿宋" w:hAnsi="仿宋" w:eastAsia="仿宋" w:cs="Times New Roman"/>
          <w:color w:val="000000"/>
          <w:sz w:val="28"/>
          <w:szCs w:val="28"/>
          <w:lang w:val="en-US" w:eastAsia="zh-CN"/>
        </w:rPr>
        <w:t>中共呼图壁县委员会宣传部2025年</w:t>
      </w:r>
      <w:r>
        <w:rPr>
          <w:rFonts w:hint="eastAsia" w:ascii="仿宋" w:hAnsi="仿宋" w:eastAsia="仿宋" w:cs="Times New Roman"/>
          <w:color w:val="000000"/>
          <w:sz w:val="28"/>
          <w:szCs w:val="28"/>
          <w:lang w:val="en-US" w:eastAsia="zh-Hans"/>
        </w:rPr>
        <w:t>收支预算情况的总体说明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二、关于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年收入预算情况说明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三、关于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年支出预算情况说明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四、关于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五、关于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六、关于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七、关于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八、关于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九、关于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年财政拨款“三公”经费预算情况说明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十一、关于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lang w:val="en-US" w:eastAsia="zh-Hans"/>
        </w:rPr>
        <w:t>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both"/>
        <w:textAlignment w:val="auto"/>
        <w:outlineLvl w:val="9"/>
        <w:rPr>
          <w:rFonts w:hint="eastAsia" w:ascii="仿宋" w:hAnsi="仿宋" w:eastAsia="仿宋" w:cs="Times New Roman"/>
          <w:b/>
          <w:color w:val="000000"/>
          <w:sz w:val="28"/>
          <w:szCs w:val="28"/>
          <w:lang w:val="en-US" w:eastAsia="zh-CN"/>
        </w:rPr>
      </w:pPr>
      <w:r>
        <w:rPr>
          <w:rFonts w:hint="eastAsia" w:ascii="仿宋" w:hAnsi="仿宋" w:eastAsia="仿宋" w:cs="Times New Roman"/>
          <w:b/>
          <w:color w:val="000000"/>
          <w:sz w:val="28"/>
          <w:szCs w:val="28"/>
          <w:lang w:val="en-US" w:eastAsia="zh-CN"/>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2025年中共呼图壁县委员会宣传部部门概况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bCs w:val="0"/>
          <w:kern w:val="2"/>
          <w:sz w:val="28"/>
          <w:szCs w:val="28"/>
          <w:lang w:val="en-US" w:eastAsia="zh-CN"/>
        </w:rPr>
      </w:pPr>
      <w:r>
        <w:rPr>
          <w:rFonts w:hint="eastAsia" w:ascii="仿宋" w:hAnsi="华文楷体" w:eastAsia="仿宋" w:cs="Times New Roman"/>
          <w:b/>
          <w:bCs w:val="0"/>
          <w:kern w:val="2"/>
          <w:sz w:val="28"/>
          <w:szCs w:val="28"/>
          <w:lang w:val="en-US" w:eastAsia="zh-CN"/>
        </w:rPr>
        <w:t>一、主要职能</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负责指导全县理论学习、理论宣传、理论研究工作；负责县哲学家和社会科学联合会办公室的日常工作。负责引导社会舆论，指导、协调新闻单位紧紧围绕党的中心任务和重点工作，组织战役性宣传；对广播电视局等单位的工作实施方针政策的指导和宏观管理；负责全县对外宣传工作的组织、指导、协调；负责指导新闻工作者协会办公室的工作。负责规划、部署全县的思想政治工作任务；负责指导、协调全县各行业思想政治工作研究会工作，负责全县企业职工思想政治工作研究会的日常工作；负责全县民族团结教育工作；配合县委组织部作好党员教育工作；编写党员教育材料；会同有关单位研究和改进群众思想教育工作。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负责从宏观上指导全县精神产品的生产和文化市场的管理以及体育工作的开展，对全县文化、体育、文联工作在政治方向和方针政策方面实范指导。负责提出全县宣传思想文化事业发展的指导方针，指导宣传文化系统制定有关政策、法规，协调宣传文化系统各单位工作；负责宣传思想工作的督查，及时向县委反映重要情况，提出建议；配合组织单位做好宣传文化系统干部的考察工作；负责组织、协调重大节日、纪念日的宣传和庆祝活动；负责组织、协调全县大型文体活动和社会宣传工作。指导县委干部理论教育讲师团的工作，负责县文学艺术联合会的工作。完成县委、县人民政府交办的其它任务。</w:t>
      </w: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bCs w:val="0"/>
          <w:kern w:val="2"/>
          <w:sz w:val="28"/>
          <w:szCs w:val="28"/>
          <w:lang w:val="en-US" w:eastAsia="zh-CN"/>
        </w:rPr>
      </w:pPr>
      <w:r>
        <w:rPr>
          <w:rFonts w:hint="eastAsia" w:ascii="仿宋" w:hAnsi="华文楷体" w:eastAsia="仿宋" w:cs="Times New Roman"/>
          <w:b/>
          <w:bCs w:val="0"/>
          <w:kern w:val="2"/>
          <w:sz w:val="28"/>
          <w:szCs w:val="28"/>
          <w:lang w:val="en-US" w:eastAsia="zh-CN"/>
        </w:rPr>
        <w:t>二、机构设置及人员情况</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从预算单位构成看，中共呼图壁县委员会宣传部的预算包括：中共呼图壁县委员会宣传部本级预算及下属2家预算单位在内的汇总预算。</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中共呼图壁县委员会宣传部本级下设5个科室，分别是：办公室、理论科、新闻科、文明建设科、宣传文化科。</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本单位中，行政单位1家，事业单位2家，纳入中共呼图壁县委员会宣传部2025年度预算编制范围的下属预算单位包括：</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1.中共呼图壁县委员会宣传部本级</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2.呼图壁县宣传工作服务中心</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3.呼图壁县电影放映中心</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中共呼图壁县委员会宣传部编制数26，实有人数45人，其中：在职29人，增加1人；退休16人，增加1人；离休0人，增加0人。</w:t>
      </w:r>
    </w:p>
    <w:p>
      <w:pPr>
        <w:spacing w:line="560" w:lineRule="exact"/>
        <w:ind w:firstLine="1120" w:firstLineChars="400"/>
        <w:rPr>
          <w:rFonts w:hint="eastAsia" w:ascii="仿宋" w:hAnsi="仿宋" w:eastAsia="仿宋" w:cs="Times New Roman"/>
          <w:color w:val="000000"/>
          <w:kern w:val="2"/>
          <w:sz w:val="28"/>
          <w:szCs w:val="28"/>
          <w:lang w:val="en-US" w:eastAsia="zh-CN"/>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第二部分  2025年部门预算公开表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eastAsia="zh-CN"/>
        </w:rPr>
        <w:t>部门</w:t>
      </w:r>
      <w:r>
        <w:rPr>
          <w:rFonts w:hint="eastAsia" w:ascii="仿宋" w:hAnsi="宋体" w:eastAsia="仿宋" w:cs="Times New Roman"/>
          <w:b/>
          <w:color w:val="000000"/>
          <w:sz w:val="28"/>
          <w:szCs w:val="28"/>
        </w:rPr>
        <w:t>收支总体情况表</w:t>
      </w:r>
    </w:p>
    <w:p>
      <w:pPr>
        <w:jc w:val="left"/>
        <w:rPr>
          <w:rFonts w:hint="eastAsia" w:ascii="Calibri" w:hAnsi="Calibri" w:eastAsia="宋体" w:cs="Times New Roman"/>
          <w:color w:val="000000"/>
          <w:sz w:val="18"/>
          <w:szCs w:val="18"/>
        </w:rPr>
      </w:pPr>
    </w:p>
    <w:p>
      <w:pPr>
        <w:jc w:val="left"/>
        <w:rPr>
          <w:rFonts w:ascii="仿宋_GB2312" w:hAnsi="宋体" w:eastAsia="仿宋_GB2312"/>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项     目</w:t>
            </w:r>
          </w:p>
        </w:tc>
        <w:tc>
          <w:tcPr>
            <w:tcW w:w="110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预算数</w:t>
            </w:r>
          </w:p>
        </w:tc>
        <w:tc>
          <w:tcPr>
            <w:tcW w:w="26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功能分类</w:t>
            </w:r>
          </w:p>
        </w:tc>
        <w:tc>
          <w:tcPr>
            <w:tcW w:w="170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一、本年收入</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1278.58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1091.40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1.一般公共预算拨款</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688.58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202 外交支出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其中：一般财力</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683.58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203 国防支出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上级一般公共预算安排转移支付</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宋体" w:hAnsi="宋体" w:eastAsia="宋体" w:cs="Times New Roman"/>
                <w:b/>
                <w:color w:val="000000"/>
                <w:sz w:val="18"/>
                <w:szCs w:val="18"/>
              </w:rPr>
              <w:t>2.</w:t>
            </w:r>
            <w:r>
              <w:rPr>
                <w:rFonts w:hint="eastAsia" w:ascii="宋体" w:hAnsi="宋体" w:eastAsia="宋体" w:cs="Times New Roman"/>
                <w:b/>
                <w:color w:val="000000"/>
                <w:sz w:val="18"/>
                <w:szCs w:val="18"/>
                <w:lang w:val="en-US" w:eastAsia="zh-CN"/>
              </w:rPr>
              <w:t>政府性</w:t>
            </w:r>
            <w:r>
              <w:rPr>
                <w:rFonts w:hint="eastAsia" w:ascii="宋体" w:hAnsi="宋体" w:eastAsia="宋体" w:cs="Times New Roman"/>
                <w:b/>
                <w:color w:val="000000"/>
                <w:sz w:val="18"/>
                <w:szCs w:val="18"/>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205 教育支出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其中：政府性基金收入</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上级政府性基金安排转移支付</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9.74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3.国有资本经营预算拨款</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56.64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其中：国有资本经营收入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535"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210</w:t>
            </w:r>
            <w:r>
              <w:rPr>
                <w:rFonts w:hint="eastAsia" w:ascii="宋体" w:hAnsi="宋体" w:eastAsia="宋体" w:cs="Times New Roman"/>
                <w:color w:val="000000"/>
                <w:sz w:val="18"/>
                <w:szCs w:val="18"/>
                <w:lang w:val="en-US" w:eastAsia="zh-CN"/>
              </w:rPr>
              <w:t xml:space="preserve"> </w:t>
            </w:r>
            <w:r>
              <w:rPr>
                <w:rFonts w:hint="eastAsia" w:ascii="宋体" w:hAnsi="宋体" w:eastAsia="宋体" w:cs="Times New Roman"/>
                <w:color w:val="000000"/>
                <w:sz w:val="18"/>
                <w:szCs w:val="18"/>
              </w:rPr>
              <w:t>卫生健康支出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50.13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4.财政专户核拨</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5.单位资金</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590</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其中：事业收入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上级补助收入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46"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附属单位上缴收入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215 资源勘探</w:t>
            </w:r>
            <w:r>
              <w:rPr>
                <w:rFonts w:hint="eastAsia" w:ascii="宋体" w:hAnsi="宋体" w:eastAsia="宋体" w:cs="Times New Roman"/>
                <w:color w:val="000000"/>
                <w:sz w:val="18"/>
                <w:szCs w:val="18"/>
                <w:lang w:val="en-US" w:eastAsia="zh-Hans"/>
              </w:rPr>
              <w:t>工业</w:t>
            </w:r>
            <w:r>
              <w:rPr>
                <w:rFonts w:hint="eastAsia" w:ascii="宋体" w:hAnsi="宋体" w:eastAsia="宋体" w:cs="Times New Roman"/>
                <w:color w:val="000000"/>
                <w:sz w:val="18"/>
                <w:szCs w:val="18"/>
              </w:rPr>
              <w:t>信息等支出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事业单位经营收入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其他收入</w:t>
            </w:r>
          </w:p>
        </w:tc>
        <w:tc>
          <w:tcPr>
            <w:tcW w:w="1103" w:type="dxa"/>
            <w:tcBorders>
              <w:top w:val="nil"/>
              <w:left w:val="nil"/>
              <w:bottom w:val="single" w:color="auto" w:sz="4" w:space="0"/>
              <w:right w:val="single" w:color="auto" w:sz="4" w:space="0"/>
            </w:tcBorders>
            <w:noWrap w:val="0"/>
            <w:vAlign w:val="top"/>
          </w:tcPr>
          <w:p>
            <w:pPr>
              <w:jc w:val="left"/>
              <w:rPr>
                <w:rFonts w:hint="eastAsia" w:ascii="宋体" w:hAnsi="宋体" w:eastAsia="宋体" w:cs="Times New Roman"/>
                <w:b/>
                <w:color w:val="000000"/>
                <w:sz w:val="15"/>
                <w:szCs w:val="15"/>
                <w:lang w:val="en-US" w:eastAsia="zh-CN"/>
              </w:rPr>
            </w:pPr>
            <w:r>
              <w:rPr>
                <w:rFonts w:hint="default" w:ascii="宋体" w:hAnsi="宋体" w:eastAsia="宋体" w:cs="Times New Roman"/>
                <w:b/>
                <w:color w:val="000000"/>
                <w:sz w:val="15"/>
                <w:szCs w:val="15"/>
                <w:lang w:val="en-US" w:eastAsia="zh-CN"/>
              </w:rPr>
              <w:t>590.00</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217 金融支出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二、上年结转结余</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1.财政拨款结转</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其中：一般公共预算拨款</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政府性</w:t>
            </w:r>
            <w:r>
              <w:rPr>
                <w:rFonts w:hint="eastAsia" w:ascii="宋体" w:hAnsi="宋体" w:eastAsia="宋体" w:cs="Times New Roman"/>
                <w:color w:val="000000"/>
                <w:sz w:val="18"/>
                <w:szCs w:val="18"/>
              </w:rPr>
              <w:t>基金预算拨款</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国有资本经营预算拨款</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2.非财政拨款结余</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224</w:t>
            </w:r>
            <w:r>
              <w:rPr>
                <w:rFonts w:hint="eastAsia" w:ascii="宋体" w:hAnsi="宋体" w:eastAsia="宋体" w:cs="Times New Roman"/>
                <w:color w:val="000000"/>
                <w:sz w:val="18"/>
                <w:szCs w:val="18"/>
                <w:lang w:val="en-US" w:eastAsia="zh-CN"/>
              </w:rPr>
              <w:t xml:space="preserve"> </w:t>
            </w:r>
            <w:r>
              <w:rPr>
                <w:rFonts w:hint="eastAsia" w:ascii="宋体" w:hAnsi="宋体" w:eastAsia="宋体" w:cs="Times New Roman"/>
                <w:color w:val="000000"/>
                <w:sz w:val="18"/>
                <w:szCs w:val="18"/>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其中：财政专户核拨</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227 预备费</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单位资金</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229 其他支出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230</w:t>
            </w:r>
            <w:r>
              <w:rPr>
                <w:rFonts w:hint="eastAsia" w:ascii="宋体" w:hAnsi="宋体" w:eastAsia="宋体" w:cs="Times New Roman"/>
                <w:color w:val="000000"/>
                <w:sz w:val="18"/>
                <w:szCs w:val="18"/>
                <w:lang w:val="en-US" w:eastAsia="zh-CN"/>
              </w:rPr>
              <w:t xml:space="preserve"> </w:t>
            </w:r>
            <w:r>
              <w:rPr>
                <w:rFonts w:hint="eastAsia" w:ascii="宋体" w:hAnsi="宋体" w:eastAsia="宋体" w:cs="Times New Roman"/>
                <w:color w:val="000000"/>
                <w:sz w:val="18"/>
                <w:szCs w:val="18"/>
              </w:rPr>
              <w:t>转移性支出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宋体" w:hAnsi="宋体" w:eastAsia="宋体" w:cs="Times New Roman"/>
                <w:b/>
                <w:color w:val="000000"/>
                <w:sz w:val="18"/>
                <w:szCs w:val="18"/>
              </w:rPr>
              <w:t>收  入  总  计</w:t>
            </w:r>
          </w:p>
        </w:tc>
        <w:tc>
          <w:tcPr>
            <w:tcW w:w="1103"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1284.83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宋体" w:hAnsi="宋体" w:eastAsia="宋体" w:cs="Times New Roman"/>
                <w:b/>
                <w:color w:val="000000"/>
                <w:sz w:val="18"/>
                <w:szCs w:val="18"/>
              </w:rPr>
              <w:t>支  出  总  计</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1284.83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417"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14058" w:type="dxa"/>
        <w:tblInd w:w="-756" w:type="dxa"/>
        <w:tblLayout w:type="fixed"/>
        <w:tblCellMar>
          <w:top w:w="0" w:type="dxa"/>
          <w:left w:w="108" w:type="dxa"/>
          <w:bottom w:w="0" w:type="dxa"/>
          <w:right w:w="108" w:type="dxa"/>
        </w:tblCellMar>
      </w:tblPr>
      <w:tblGrid>
        <w:gridCol w:w="515"/>
        <w:gridCol w:w="451"/>
        <w:gridCol w:w="475"/>
        <w:gridCol w:w="1535"/>
        <w:gridCol w:w="969"/>
        <w:gridCol w:w="1081"/>
        <w:gridCol w:w="1033"/>
        <w:gridCol w:w="814"/>
        <w:gridCol w:w="923"/>
        <w:gridCol w:w="953"/>
        <w:gridCol w:w="845"/>
        <w:gridCol w:w="940"/>
        <w:gridCol w:w="1034"/>
        <w:gridCol w:w="1096"/>
        <w:gridCol w:w="689"/>
        <w:gridCol w:w="705"/>
      </w:tblGrid>
      <w:tr>
        <w:tblPrEx>
          <w:tblCellMar>
            <w:top w:w="0" w:type="dxa"/>
            <w:left w:w="108" w:type="dxa"/>
            <w:bottom w:w="0" w:type="dxa"/>
            <w:right w:w="108" w:type="dxa"/>
          </w:tblCellMar>
        </w:tblPrEx>
        <w:trPr>
          <w:trHeight w:val="599" w:hRule="atLeast"/>
        </w:trPr>
        <w:tc>
          <w:tcPr>
            <w:tcW w:w="144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功能分类科目编码</w:t>
            </w:r>
          </w:p>
        </w:tc>
        <w:tc>
          <w:tcPr>
            <w:tcW w:w="15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功能分类科目名称</w:t>
            </w:r>
          </w:p>
        </w:tc>
        <w:tc>
          <w:tcPr>
            <w:tcW w:w="96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总  计</w:t>
            </w:r>
          </w:p>
        </w:tc>
        <w:tc>
          <w:tcPr>
            <w:tcW w:w="658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  政  拨  款  (  补  助  )</w:t>
            </w:r>
          </w:p>
        </w:tc>
        <w:tc>
          <w:tcPr>
            <w:tcW w:w="10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财政专户（教育收费）</w:t>
            </w:r>
          </w:p>
        </w:tc>
        <w:tc>
          <w:tcPr>
            <w:tcW w:w="10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单位资金</w:t>
            </w:r>
          </w:p>
        </w:tc>
        <w:tc>
          <w:tcPr>
            <w:tcW w:w="68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非财政拨款结转结余</w:t>
            </w:r>
          </w:p>
        </w:tc>
      </w:tr>
      <w:tr>
        <w:tblPrEx>
          <w:tblCellMar>
            <w:top w:w="0" w:type="dxa"/>
            <w:left w:w="108" w:type="dxa"/>
            <w:bottom w:w="0" w:type="dxa"/>
            <w:right w:w="108" w:type="dxa"/>
          </w:tblCellMar>
        </w:tblPrEx>
        <w:trPr>
          <w:trHeight w:val="1699" w:hRule="atLeast"/>
        </w:trPr>
        <w:tc>
          <w:tcPr>
            <w:tcW w:w="515"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类</w:t>
            </w:r>
          </w:p>
        </w:tc>
        <w:tc>
          <w:tcPr>
            <w:tcW w:w="451"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款</w:t>
            </w:r>
          </w:p>
        </w:tc>
        <w:tc>
          <w:tcPr>
            <w:tcW w:w="475"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项</w:t>
            </w:r>
          </w:p>
        </w:tc>
        <w:tc>
          <w:tcPr>
            <w:tcW w:w="153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96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8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财政拨款(补助)小计</w:t>
            </w:r>
          </w:p>
        </w:tc>
        <w:tc>
          <w:tcPr>
            <w:tcW w:w="103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一般公共预算</w:t>
            </w:r>
          </w:p>
        </w:tc>
        <w:tc>
          <w:tcPr>
            <w:tcW w:w="814"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上级一般公共预算安排的转移支付</w:t>
            </w:r>
          </w:p>
        </w:tc>
        <w:tc>
          <w:tcPr>
            <w:tcW w:w="92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政府性基金预算</w:t>
            </w:r>
          </w:p>
        </w:tc>
        <w:tc>
          <w:tcPr>
            <w:tcW w:w="95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上级政府性基金安排的转移支付</w:t>
            </w:r>
          </w:p>
        </w:tc>
        <w:tc>
          <w:tcPr>
            <w:tcW w:w="84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国有资本经营预算</w:t>
            </w:r>
          </w:p>
        </w:tc>
        <w:tc>
          <w:tcPr>
            <w:tcW w:w="94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上级国有资本经营预算安排的转移支付</w:t>
            </w:r>
          </w:p>
        </w:tc>
        <w:tc>
          <w:tcPr>
            <w:tcW w:w="1034"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96"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68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70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201　</w:t>
            </w:r>
          </w:p>
        </w:tc>
        <w:tc>
          <w:tcPr>
            <w:tcW w:w="451" w:type="dxa"/>
            <w:tcBorders>
              <w:top w:val="nil"/>
              <w:left w:val="nil"/>
              <w:bottom w:val="single" w:color="auto" w:sz="4" w:space="0"/>
              <w:right w:val="single" w:color="auto" w:sz="4" w:space="0"/>
            </w:tcBorders>
            <w:shd w:val="clear" w:color="auto" w:fill="auto"/>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shd w:val="clear" w:color="auto" w:fill="auto"/>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shd w:val="clear" w:color="auto" w:fill="auto"/>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一般公共服务支出</w:t>
            </w:r>
          </w:p>
        </w:tc>
        <w:tc>
          <w:tcPr>
            <w:tcW w:w="969"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1091.40</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528.00</w:t>
            </w:r>
          </w:p>
        </w:tc>
        <w:tc>
          <w:tcPr>
            <w:tcW w:w="689"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1.50</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201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宣传事务</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1091.40</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528.00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1.50</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201</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01</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行政运行</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235.24</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198.24</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198.24</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37.00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201</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02</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一般行政管理事务</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701.50</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210.00</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210.00</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490.00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1.50</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201</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事业运行</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154.66</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153.66</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153.66</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bookmarkStart w:id="0" w:name="OLE_LINK4" w:colFirst="0" w:colLast="2"/>
            <w:bookmarkStart w:id="1" w:name="OLE_LINK5" w:colFirst="3" w:colLast="3"/>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文化旅游体育与传媒支出</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9.74</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2" w:name="OLE_LINK2"/>
            <w:r>
              <w:rPr>
                <w:rFonts w:hint="eastAsia" w:ascii="宋体" w:hAnsi="宋体" w:eastAsia="宋体" w:cs="Times New Roman"/>
                <w:b/>
                <w:color w:val="000000"/>
                <w:sz w:val="15"/>
                <w:szCs w:val="15"/>
                <w:lang w:val="en-US" w:eastAsia="zh-CN"/>
              </w:rPr>
              <w:t>其他文化旅游体育与传媒支出</w:t>
            </w:r>
            <w:bookmarkEnd w:id="2"/>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9.74</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03</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文化产业发展专项支出</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4.74</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rPr>
              <w:t>　</w:t>
            </w: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其他文化旅游体育与传媒支出</w:t>
            </w:r>
            <w:r>
              <w:rPr>
                <w:rFonts w:hint="eastAsia" w:ascii="宋体" w:hAnsi="宋体" w:eastAsia="宋体" w:cs="Times New Roman"/>
                <w:b/>
                <w:color w:val="000000"/>
                <w:sz w:val="15"/>
                <w:szCs w:val="15"/>
              </w:rPr>
              <w:t>　</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rPr>
            </w:pPr>
            <w:r>
              <w:rPr>
                <w:rFonts w:hint="eastAsia" w:ascii="宋体" w:hAnsi="宋体" w:eastAsia="宋体" w:cs="Times New Roman"/>
                <w:b/>
                <w:color w:val="000000"/>
                <w:sz w:val="15"/>
                <w:szCs w:val="15"/>
                <w:lang w:val="en-US" w:eastAsia="zh-CN"/>
              </w:rPr>
              <w:t>5.00</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r>
              <w:rPr>
                <w:rFonts w:hint="eastAsia" w:ascii="宋体" w:hAnsi="宋体" w:eastAsia="宋体" w:cs="Times New Roman"/>
                <w:b/>
                <w:color w:val="000000"/>
                <w:sz w:val="15"/>
                <w:szCs w:val="15"/>
              </w:rPr>
              <w:t>　</w:t>
            </w: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0"/>
      <w:bookmarkEnd w:id="1"/>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bookmarkStart w:id="3" w:name="OLE_LINK7" w:colFirst="3" w:colLast="3"/>
            <w:bookmarkStart w:id="4" w:name="OLE_LINK6" w:colFirst="0" w:colLast="2"/>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社会保障卡和就业支出</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56.64</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47.64</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47.64</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行政事业单位养老支出</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56.64</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47.64</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47.64</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99" w:hRule="atLeast"/>
        </w:trPr>
        <w:tc>
          <w:tcPr>
            <w:tcW w:w="144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功能分类科目编码</w:t>
            </w:r>
          </w:p>
        </w:tc>
        <w:tc>
          <w:tcPr>
            <w:tcW w:w="15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功能分类科目名称</w:t>
            </w:r>
          </w:p>
        </w:tc>
        <w:tc>
          <w:tcPr>
            <w:tcW w:w="96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总  计</w:t>
            </w:r>
          </w:p>
        </w:tc>
        <w:tc>
          <w:tcPr>
            <w:tcW w:w="658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  政  拨  款  (  补  助  )</w:t>
            </w:r>
          </w:p>
        </w:tc>
        <w:tc>
          <w:tcPr>
            <w:tcW w:w="10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财政专户（教育收费）</w:t>
            </w:r>
          </w:p>
        </w:tc>
        <w:tc>
          <w:tcPr>
            <w:tcW w:w="10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单位资金</w:t>
            </w:r>
          </w:p>
        </w:tc>
        <w:tc>
          <w:tcPr>
            <w:tcW w:w="68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非财政拨款结转结余</w:t>
            </w:r>
          </w:p>
        </w:tc>
      </w:tr>
      <w:tr>
        <w:tblPrEx>
          <w:tblCellMar>
            <w:top w:w="0" w:type="dxa"/>
            <w:left w:w="108" w:type="dxa"/>
            <w:bottom w:w="0" w:type="dxa"/>
            <w:right w:w="108" w:type="dxa"/>
          </w:tblCellMar>
        </w:tblPrEx>
        <w:trPr>
          <w:trHeight w:val="1699" w:hRule="atLeast"/>
        </w:trPr>
        <w:tc>
          <w:tcPr>
            <w:tcW w:w="515"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类</w:t>
            </w:r>
          </w:p>
        </w:tc>
        <w:tc>
          <w:tcPr>
            <w:tcW w:w="451"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款</w:t>
            </w:r>
          </w:p>
        </w:tc>
        <w:tc>
          <w:tcPr>
            <w:tcW w:w="475"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项</w:t>
            </w:r>
          </w:p>
        </w:tc>
        <w:tc>
          <w:tcPr>
            <w:tcW w:w="153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96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8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财政拨款(补助)小计</w:t>
            </w:r>
          </w:p>
        </w:tc>
        <w:tc>
          <w:tcPr>
            <w:tcW w:w="103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一般公共预算</w:t>
            </w:r>
          </w:p>
        </w:tc>
        <w:tc>
          <w:tcPr>
            <w:tcW w:w="814"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上级一般公共预算安排的转移支付</w:t>
            </w:r>
          </w:p>
        </w:tc>
        <w:tc>
          <w:tcPr>
            <w:tcW w:w="92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政府性基金预算</w:t>
            </w:r>
          </w:p>
        </w:tc>
        <w:tc>
          <w:tcPr>
            <w:tcW w:w="95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上级政府性基金安排的转移支付</w:t>
            </w:r>
          </w:p>
        </w:tc>
        <w:tc>
          <w:tcPr>
            <w:tcW w:w="84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国有资本经营预算</w:t>
            </w:r>
          </w:p>
        </w:tc>
        <w:tc>
          <w:tcPr>
            <w:tcW w:w="94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上级国有资本经营预算安排的转移支付</w:t>
            </w:r>
          </w:p>
        </w:tc>
        <w:tc>
          <w:tcPr>
            <w:tcW w:w="1034"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96"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68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70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01</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行政单位离退休</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5.47</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4.47</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4.47</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02</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事业单位离退休</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rPr>
            </w:pPr>
            <w:r>
              <w:rPr>
                <w:rFonts w:hint="eastAsia" w:ascii="宋体" w:hAnsi="宋体" w:eastAsia="宋体" w:cs="Times New Roman"/>
                <w:b/>
                <w:color w:val="000000"/>
                <w:sz w:val="15"/>
                <w:szCs w:val="15"/>
                <w:lang w:val="en-US" w:eastAsia="zh-CN"/>
              </w:rPr>
              <w:t>2.00</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机关事业单位基本养老保险缴费支出</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48.17</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43.17</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43.17</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208</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05</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06</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机关事业单位职业年金缴费支出</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3"/>
      <w:bookmarkEnd w:id="4"/>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5" w:name="OLE_LINK10" w:colFirst="0" w:colLast="2"/>
            <w:bookmarkStart w:id="6" w:name="OLE_LINK11" w:colFirst="3" w:colLast="3"/>
            <w:bookmarkStart w:id="7" w:name="OLE_LINK9" w:colFirst="0" w:colLast="2"/>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卫生健康支出</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50.13</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行政事业单位医疗</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50.13</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01</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行政单位医疗</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16.25</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14.25</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14.25</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02</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事业单位医疗</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17.88</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10.88</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10.88</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03</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公务员医疗补助</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14.68</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12.68</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12.68</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99</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其他行政事业单位医疗支出</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1.32</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0.32</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0.32</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5"/>
      <w:bookmarkEnd w:id="6"/>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8" w:name="OLE_LINK12" w:colFirst="0" w:colLast="2"/>
            <w:bookmarkStart w:id="9" w:name="OLE_LINK13" w:colFirst="3" w:colLast="3"/>
            <w:r>
              <w:rPr>
                <w:rFonts w:hint="eastAsia" w:ascii="宋体" w:hAnsi="宋体" w:eastAsia="宋体" w:cs="Times New Roman"/>
                <w:b/>
                <w:color w:val="000000"/>
                <w:sz w:val="15"/>
                <w:szCs w:val="15"/>
                <w:lang w:val="en-US" w:eastAsia="zh-CN"/>
              </w:rPr>
              <w:t>221</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住房保障支出</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221</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02</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住房改革支出</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10" w:name="OLE_LINK8" w:colFirst="2" w:colLast="2"/>
            <w:r>
              <w:rPr>
                <w:rFonts w:hint="eastAsia" w:ascii="宋体" w:hAnsi="宋体" w:eastAsia="宋体" w:cs="Times New Roman"/>
                <w:b/>
                <w:color w:val="000000"/>
                <w:sz w:val="15"/>
                <w:szCs w:val="15"/>
                <w:lang w:val="en-US" w:eastAsia="zh-CN"/>
              </w:rPr>
              <w:t>221</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02</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01</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住房公积金</w:t>
            </w:r>
          </w:p>
        </w:tc>
        <w:tc>
          <w:tcPr>
            <w:tcW w:w="96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w:t>
            </w:r>
          </w:p>
        </w:tc>
        <w:tc>
          <w:tcPr>
            <w:tcW w:w="108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103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814"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41.00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7"/>
      <w:bookmarkEnd w:id="8"/>
      <w:bookmarkEnd w:id="9"/>
      <w:bookmarkEnd w:id="10"/>
      <w:tr>
        <w:tblPrEx>
          <w:tblCellMar>
            <w:top w:w="0" w:type="dxa"/>
            <w:left w:w="108" w:type="dxa"/>
            <w:bottom w:w="0" w:type="dxa"/>
            <w:right w:w="108" w:type="dxa"/>
          </w:tblCellMar>
        </w:tblPrEx>
        <w:trPr>
          <w:trHeight w:val="60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合  计　</w:t>
            </w:r>
          </w:p>
        </w:tc>
        <w:tc>
          <w:tcPr>
            <w:tcW w:w="96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1284.83</w:t>
            </w:r>
            <w:r>
              <w:rPr>
                <w:rFonts w:hint="eastAsia" w:ascii="宋体" w:hAnsi="宋体" w:eastAsia="宋体" w:cs="Times New Roman"/>
                <w:b/>
                <w:color w:val="000000"/>
                <w:sz w:val="15"/>
                <w:szCs w:val="15"/>
              </w:rPr>
              <w:t>　</w:t>
            </w:r>
          </w:p>
        </w:tc>
        <w:tc>
          <w:tcPr>
            <w:tcW w:w="108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688.58</w:t>
            </w:r>
            <w:r>
              <w:rPr>
                <w:rFonts w:hint="eastAsia" w:ascii="宋体" w:hAnsi="宋体" w:eastAsia="宋体" w:cs="Times New Roman"/>
                <w:b/>
                <w:color w:val="000000"/>
                <w:sz w:val="15"/>
                <w:szCs w:val="15"/>
              </w:rPr>
              <w:t>　</w:t>
            </w:r>
          </w:p>
        </w:tc>
        <w:tc>
          <w:tcPr>
            <w:tcW w:w="103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688.58</w:t>
            </w:r>
            <w:r>
              <w:rPr>
                <w:rFonts w:hint="eastAsia" w:ascii="宋体" w:hAnsi="宋体" w:eastAsia="宋体" w:cs="Times New Roman"/>
                <w:b/>
                <w:color w:val="000000"/>
                <w:sz w:val="15"/>
                <w:szCs w:val="15"/>
              </w:rPr>
              <w:t>　</w:t>
            </w:r>
          </w:p>
        </w:tc>
        <w:tc>
          <w:tcPr>
            <w:tcW w:w="814"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92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5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84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940"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034"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590.00</w:t>
            </w:r>
          </w:p>
        </w:tc>
        <w:tc>
          <w:tcPr>
            <w:tcW w:w="689"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bl>
    <w:p>
      <w:pPr>
        <w:jc w:val="left"/>
        <w:rPr>
          <w:rFonts w:hint="eastAsia" w:ascii="宋体" w:hAnsi="宋体" w:eastAsia="宋体" w:cs="Times New Roman"/>
          <w:b/>
          <w:color w:val="000000"/>
          <w:sz w:val="15"/>
          <w:szCs w:val="15"/>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417"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eastAsia="zh-CN"/>
        </w:rPr>
        <w:t>部门</w:t>
      </w:r>
      <w:r>
        <w:rPr>
          <w:rFonts w:hint="eastAsia" w:ascii="仿宋" w:hAnsi="宋体" w:eastAsia="仿宋" w:cs="Times New Roman"/>
          <w:b/>
          <w:color w:val="000000"/>
          <w:sz w:val="28"/>
          <w:szCs w:val="28"/>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 xml:space="preserve">：  </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9420" w:type="dxa"/>
        <w:tblInd w:w="-240" w:type="dxa"/>
        <w:tblLayout w:type="autofit"/>
        <w:tblCellMar>
          <w:top w:w="0" w:type="dxa"/>
          <w:left w:w="108" w:type="dxa"/>
          <w:bottom w:w="0" w:type="dxa"/>
          <w:right w:w="108" w:type="dxa"/>
        </w:tblCellMar>
      </w:tblPr>
      <w:tblGrid>
        <w:gridCol w:w="458"/>
        <w:gridCol w:w="417"/>
        <w:gridCol w:w="417"/>
        <w:gridCol w:w="3276"/>
        <w:gridCol w:w="1355"/>
        <w:gridCol w:w="1612"/>
        <w:gridCol w:w="1885"/>
      </w:tblGrid>
      <w:tr>
        <w:tblPrEx>
          <w:tblCellMar>
            <w:top w:w="0" w:type="dxa"/>
            <w:left w:w="108" w:type="dxa"/>
            <w:bottom w:w="0" w:type="dxa"/>
            <w:right w:w="108" w:type="dxa"/>
          </w:tblCellMar>
        </w:tblPrEx>
        <w:trPr>
          <w:trHeight w:val="328" w:hRule="atLeast"/>
        </w:trPr>
        <w:tc>
          <w:tcPr>
            <w:tcW w:w="456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科</w:t>
            </w:r>
            <w:r>
              <w:rPr>
                <w:rFonts w:hint="eastAsia" w:ascii="Calibri" w:hAnsi="Calibri" w:eastAsia="宋体" w:cs="Times New Roman"/>
                <w:sz w:val="18"/>
                <w:szCs w:val="18"/>
              </w:rPr>
              <w:t xml:space="preserve">    目</w:t>
            </w:r>
          </w:p>
        </w:tc>
        <w:tc>
          <w:tcPr>
            <w:tcW w:w="4852" w:type="dxa"/>
            <w:gridSpan w:val="3"/>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功能分类科目编码</w:t>
            </w:r>
          </w:p>
        </w:tc>
        <w:tc>
          <w:tcPr>
            <w:tcW w:w="3276"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功能分类科目名称</w:t>
            </w:r>
          </w:p>
        </w:tc>
        <w:tc>
          <w:tcPr>
            <w:tcW w:w="135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合  计</w:t>
            </w:r>
          </w:p>
        </w:tc>
        <w:tc>
          <w:tcPr>
            <w:tcW w:w="1612"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tc>
        <w:tc>
          <w:tcPr>
            <w:tcW w:w="41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tc>
        <w:tc>
          <w:tcPr>
            <w:tcW w:w="41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tc>
        <w:tc>
          <w:tcPr>
            <w:tcW w:w="327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3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1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bookmarkStart w:id="11" w:name="OLE_LINK3" w:colFirst="4" w:colLast="6"/>
            <w:bookmarkStart w:id="12" w:name="OLE_LINK14" w:colFirst="0" w:colLast="2"/>
            <w:bookmarkStart w:id="13" w:name="OLE_LINK16" w:colFirst="3" w:colLast="3"/>
            <w:bookmarkStart w:id="14" w:name="OLE_LINK15" w:colFirst="0" w:colLast="2"/>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一般公共服务支出</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1091.40</w:t>
            </w:r>
            <w:r>
              <w:rPr>
                <w:rFonts w:hint="eastAsia" w:ascii="宋体" w:hAnsi="宋体" w:eastAsia="宋体" w:cs="Times New Roman"/>
                <w:b/>
                <w:color w:val="000000"/>
                <w:sz w:val="18"/>
                <w:szCs w:val="18"/>
              </w:rPr>
              <w:t>　</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rPr>
            </w:pPr>
            <w:r>
              <w:rPr>
                <w:rFonts w:hint="eastAsia" w:ascii="宋体" w:hAnsi="宋体" w:eastAsia="宋体" w:cs="Times New Roman"/>
                <w:b/>
                <w:color w:val="000000"/>
                <w:sz w:val="18"/>
                <w:szCs w:val="18"/>
                <w:lang w:val="en-US" w:eastAsia="zh-CN"/>
              </w:rPr>
              <w:t>389.90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701.50</w:t>
            </w:r>
            <w:r>
              <w:rPr>
                <w:rFonts w:hint="eastAsia" w:ascii="宋体" w:hAnsi="宋体" w:eastAsia="宋体" w:cs="Times New Roman"/>
                <w:b/>
                <w:color w:val="000000"/>
                <w:sz w:val="18"/>
                <w:szCs w:val="18"/>
              </w:rPr>
              <w:t>　</w:t>
            </w:r>
          </w:p>
        </w:tc>
      </w:tr>
      <w:bookmarkEnd w:id="11"/>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宣传事务</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1091.40　</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389.90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701.50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行政运行</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235.24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235.24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一般行政管理事务</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701.50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c>
          <w:tcPr>
            <w:tcW w:w="188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701.50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33</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50</w:t>
            </w:r>
            <w:r>
              <w:rPr>
                <w:rFonts w:hint="eastAsia" w:ascii="宋体" w:hAnsi="宋体" w:cs="宋体"/>
                <w:b/>
                <w:bCs/>
                <w:color w:val="auto"/>
                <w:kern w:val="0"/>
                <w:sz w:val="16"/>
                <w:szCs w:val="16"/>
                <w:highlight w:val="none"/>
              </w:rPr>
              <w:t>　</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事业运行</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154.66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154.66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bookmarkEnd w:id="12"/>
      <w:tr>
        <w:tblPrEx>
          <w:tblCellMar>
            <w:top w:w="0" w:type="dxa"/>
            <w:left w:w="108" w:type="dxa"/>
            <w:bottom w:w="0" w:type="dxa"/>
            <w:right w:w="108" w:type="dxa"/>
          </w:tblCellMar>
        </w:tblPrEx>
        <w:trPr>
          <w:trHeight w:val="357"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文化旅游体育与传媒支出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其他文化旅游体育与传媒支出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文化产业发展专项支出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4.74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4.74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其他文化旅游体育与传媒支出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5.00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5.00　</w:t>
            </w:r>
          </w:p>
        </w:tc>
      </w:tr>
      <w:bookmarkEnd w:id="13"/>
      <w:bookmarkEnd w:id="14"/>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bookmarkStart w:id="15" w:name="OLE_LINK19" w:colFirst="0" w:colLast="3"/>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社会保障卡和就业支出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行政事业单位养老支出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行政单位离退休</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5.47</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5.47</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bookmarkEnd w:id="15"/>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事业单位离退休</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2.00</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2.00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机关事业单位基本养老保险缴费支出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48.17</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48.17</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06</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机关事业单位职业年金缴费支出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1.00</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1.00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bookmarkStart w:id="16" w:name="OLE_LINK21" w:colFirst="0" w:colLast="3"/>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卫生健康支出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行政事业单位医疗</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行政单位医疗</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16.25</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16.25</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事业单位医疗</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17.88</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17.88</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公务员医疗补助</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14.68</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14.68</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其他行政事业单位医疗支出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1.32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1.32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bookmarkEnd w:id="16"/>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20"/>
                <w:szCs w:val="20"/>
                <w:highlight w:val="none"/>
                <w:lang w:val="en-US" w:eastAsia="zh-CN" w:bidi="ar-SA"/>
              </w:rPr>
            </w:pPr>
            <w:bookmarkStart w:id="17" w:name="OLE_LINK22" w:colFirst="0" w:colLast="3"/>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住房保障支出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16"/>
                <w:szCs w:val="16"/>
                <w:highlight w:val="none"/>
                <w:lang w:val="en-US" w:eastAsia="zh-CN"/>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住房改革支出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住房公积金</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bookmarkEnd w:id="17"/>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327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1284.83</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573.58</w:t>
            </w:r>
          </w:p>
        </w:tc>
        <w:tc>
          <w:tcPr>
            <w:tcW w:w="188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711.24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财政拨款收支预算总体情况表</w:t>
      </w:r>
    </w:p>
    <w:p>
      <w:pPr>
        <w:jc w:val="center"/>
        <w:rPr>
          <w:rFonts w:hint="eastAsia" w:ascii="Calibri" w:hAnsi="Calibri" w:eastAsia="宋体" w:cs="Times New Roman"/>
          <w:color w:val="000000"/>
          <w:sz w:val="18"/>
          <w:szCs w:val="18"/>
        </w:rPr>
      </w:pPr>
    </w:p>
    <w:p>
      <w:pPr>
        <w:jc w:val="center"/>
        <w:rPr>
          <w:rFonts w:ascii="仿宋_GB2312" w:hAnsi="宋体" w:eastAsia="仿宋_GB2312"/>
          <w:color w:val="auto"/>
          <w:kern w:val="0"/>
          <w:sz w:val="24"/>
          <w:szCs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9449" w:type="dxa"/>
        <w:tblInd w:w="-240" w:type="dxa"/>
        <w:tblLayout w:type="fixed"/>
        <w:tblCellMar>
          <w:top w:w="0" w:type="dxa"/>
          <w:left w:w="108" w:type="dxa"/>
          <w:bottom w:w="0" w:type="dxa"/>
          <w:right w:w="108" w:type="dxa"/>
        </w:tblCellMar>
      </w:tblPr>
      <w:tblGrid>
        <w:gridCol w:w="2181"/>
        <w:gridCol w:w="919"/>
        <w:gridCol w:w="2597"/>
        <w:gridCol w:w="823"/>
        <w:gridCol w:w="891"/>
        <w:gridCol w:w="997"/>
        <w:gridCol w:w="1041"/>
      </w:tblGrid>
      <w:tr>
        <w:tblPrEx>
          <w:tblCellMar>
            <w:top w:w="0" w:type="dxa"/>
            <w:left w:w="108" w:type="dxa"/>
            <w:bottom w:w="0" w:type="dxa"/>
            <w:right w:w="108" w:type="dxa"/>
          </w:tblCellMar>
        </w:tblPrEx>
        <w:trPr>
          <w:trHeight w:val="285" w:hRule="atLeast"/>
        </w:trPr>
        <w:tc>
          <w:tcPr>
            <w:tcW w:w="3100" w:type="dxa"/>
            <w:gridSpan w:val="2"/>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财政拨款收入</w:t>
            </w:r>
          </w:p>
        </w:tc>
        <w:tc>
          <w:tcPr>
            <w:tcW w:w="6349" w:type="dxa"/>
            <w:gridSpan w:val="5"/>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财政拨款支出</w:t>
            </w:r>
          </w:p>
        </w:tc>
      </w:tr>
      <w:tr>
        <w:tblPrEx>
          <w:tblCellMar>
            <w:top w:w="0" w:type="dxa"/>
            <w:left w:w="108" w:type="dxa"/>
            <w:bottom w:w="0" w:type="dxa"/>
            <w:right w:w="108" w:type="dxa"/>
          </w:tblCellMar>
        </w:tblPrEx>
        <w:trPr>
          <w:trHeight w:val="500" w:hRule="atLeast"/>
        </w:trPr>
        <w:tc>
          <w:tcPr>
            <w:tcW w:w="2181"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项    目</w:t>
            </w:r>
          </w:p>
        </w:tc>
        <w:tc>
          <w:tcPr>
            <w:tcW w:w="919"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合  计</w:t>
            </w:r>
          </w:p>
        </w:tc>
        <w:tc>
          <w:tcPr>
            <w:tcW w:w="259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功  能  分  类</w:t>
            </w:r>
          </w:p>
        </w:tc>
        <w:tc>
          <w:tcPr>
            <w:tcW w:w="823"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合 计</w:t>
            </w:r>
          </w:p>
        </w:tc>
        <w:tc>
          <w:tcPr>
            <w:tcW w:w="89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一般公共预算</w:t>
            </w:r>
          </w:p>
        </w:tc>
        <w:tc>
          <w:tcPr>
            <w:tcW w:w="99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政府性基金预算</w:t>
            </w:r>
          </w:p>
        </w:tc>
        <w:tc>
          <w:tcPr>
            <w:tcW w:w="104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国有资本经营预算</w:t>
            </w:r>
          </w:p>
        </w:tc>
      </w:tr>
      <w:tr>
        <w:tblPrEx>
          <w:tblCellMar>
            <w:top w:w="0" w:type="dxa"/>
            <w:left w:w="108" w:type="dxa"/>
            <w:bottom w:w="0" w:type="dxa"/>
            <w:right w:w="108" w:type="dxa"/>
          </w:tblCellMar>
        </w:tblPrEx>
        <w:trPr>
          <w:trHeight w:val="502" w:hRule="exact"/>
        </w:trPr>
        <w:tc>
          <w:tcPr>
            <w:tcW w:w="2181"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b/>
                <w:color w:val="000000"/>
                <w:sz w:val="18"/>
                <w:szCs w:val="18"/>
                <w:lang w:val="en-US" w:eastAsia="zh-Hans"/>
              </w:rPr>
              <w:t>一、</w:t>
            </w:r>
            <w:r>
              <w:rPr>
                <w:rFonts w:hint="eastAsia" w:ascii="Calibri" w:hAnsi="Calibri" w:eastAsia="宋体" w:cs="Times New Roman"/>
                <w:b/>
                <w:color w:val="000000"/>
                <w:sz w:val="18"/>
                <w:szCs w:val="18"/>
              </w:rPr>
              <w:t>财政拨款（补助）</w:t>
            </w:r>
          </w:p>
        </w:tc>
        <w:tc>
          <w:tcPr>
            <w:tcW w:w="919"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FF"/>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688.59</w:t>
            </w:r>
            <w:r>
              <w:rPr>
                <w:rFonts w:hint="eastAsia" w:ascii="宋体" w:hAnsi="宋体" w:eastAsia="宋体" w:cs="宋体"/>
                <w:color w:val="0000FF"/>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201 一般公共服务支出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themeColor="text1"/>
                <w:sz w:val="18"/>
                <w:szCs w:val="18"/>
                <w:lang w:val="en-US" w:eastAsia="zh-CN"/>
                <w14:textFill>
                  <w14:solidFill>
                    <w14:schemeClr w14:val="tx1"/>
                  </w14:solidFill>
                </w14:textFill>
              </w:rPr>
              <w:t>560.4</w:t>
            </w:r>
            <w:r>
              <w:rPr>
                <w:rFonts w:hint="eastAsia" w:ascii="宋体" w:hAnsi="宋体" w:eastAsia="宋体" w:cs="宋体"/>
                <w:color w:val="0000FF"/>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themeColor="text1"/>
                <w:sz w:val="18"/>
                <w:szCs w:val="18"/>
                <w:lang w:val="en-US" w:eastAsia="zh-CN"/>
                <w14:textFill>
                  <w14:solidFill>
                    <w14:schemeClr w14:val="tx1"/>
                  </w14:solidFill>
                </w14:textFill>
              </w:rPr>
              <w:t>560.4</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一般公共预算</w:t>
            </w:r>
          </w:p>
        </w:tc>
        <w:tc>
          <w:tcPr>
            <w:tcW w:w="919"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FF"/>
                <w:sz w:val="18"/>
                <w:szCs w:val="18"/>
                <w:lang w:val="en-US"/>
              </w:rPr>
            </w:pPr>
            <w:r>
              <w:rPr>
                <w:rFonts w:hint="eastAsia" w:ascii="宋体" w:hAnsi="宋体" w:eastAsia="宋体" w:cs="宋体"/>
                <w:color w:val="000000" w:themeColor="text1"/>
                <w:sz w:val="18"/>
                <w:szCs w:val="18"/>
                <w:lang w:val="en-US" w:eastAsia="zh-CN"/>
                <w14:textFill>
                  <w14:solidFill>
                    <w14:schemeClr w14:val="tx1"/>
                  </w14:solidFill>
                </w14:textFill>
              </w:rPr>
              <w:t>688.59</w:t>
            </w:r>
          </w:p>
        </w:tc>
        <w:tc>
          <w:tcPr>
            <w:tcW w:w="2597" w:type="dxa"/>
            <w:tcBorders>
              <w:top w:val="nil"/>
              <w:left w:val="nil"/>
              <w:bottom w:val="single" w:color="auto" w:sz="4" w:space="0"/>
              <w:right w:val="single" w:color="auto" w:sz="4" w:space="0"/>
            </w:tcBorders>
            <w:noWrap w:val="0"/>
            <w:vAlign w:val="center"/>
          </w:tcPr>
          <w:p>
            <w:pPr>
              <w:jc w:val="both"/>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202 外交支出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default" w:ascii="Calibri" w:hAnsi="Calibri" w:eastAsia="宋体" w:cs="Times New Roman"/>
                <w:color w:val="000000"/>
                <w:sz w:val="18"/>
                <w:szCs w:val="18"/>
              </w:rPr>
              <w:t xml:space="preserve"> </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政府性基金预算</w:t>
            </w:r>
          </w:p>
        </w:tc>
        <w:tc>
          <w:tcPr>
            <w:tcW w:w="919" w:type="dxa"/>
            <w:tcBorders>
              <w:top w:val="nil"/>
              <w:left w:val="nil"/>
              <w:bottom w:val="single" w:color="auto" w:sz="4" w:space="0"/>
              <w:right w:val="single" w:color="auto" w:sz="4" w:space="0"/>
            </w:tcBorders>
            <w:noWrap w:val="0"/>
            <w:vAlign w:val="center"/>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203 国防支出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国有资本经营预算</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204 公共安全支出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297"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205 教育支出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206 科学技术支出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207 文化旅游体育与传媒支出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5.00</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5.00</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208 社会保障和就业支出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47.64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47.64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xml:space="preserve">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209 社会保险基金支出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210</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卫生健康支出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38.13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38.13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211 节能环保支出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212 城乡社区支出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213 农林水支出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214 交通运输支出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215 资源勘探</w:t>
            </w:r>
            <w:r>
              <w:rPr>
                <w:rFonts w:hint="eastAsia" w:ascii="Calibri" w:hAnsi="Calibri" w:eastAsia="宋体" w:cs="Times New Roman"/>
                <w:color w:val="000000"/>
                <w:sz w:val="18"/>
                <w:szCs w:val="18"/>
                <w:lang w:val="en-US" w:eastAsia="zh-Hans"/>
              </w:rPr>
              <w:t>工业</w:t>
            </w:r>
            <w:r>
              <w:rPr>
                <w:rFonts w:hint="eastAsia" w:ascii="Calibri" w:hAnsi="Calibri" w:eastAsia="宋体" w:cs="Times New Roman"/>
                <w:color w:val="000000"/>
                <w:sz w:val="18"/>
                <w:szCs w:val="18"/>
              </w:rPr>
              <w:t>信息等支出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216 商业服务业等支出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217 金融支出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219 援助其他地区支出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220 自然资源海洋气象等支出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221 住房保障支出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35.92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35.92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222 粮油物资储备支出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223 国有资本经营预算支出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224</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灾害防治及应急管理支出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227 预备费</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229 其他支出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230</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转移性支出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231 债务还本支出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232 债务付息支出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233 债务发行费用支出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ind w:firstLine="360" w:firstLineChars="200"/>
              <w:rPr>
                <w:rFonts w:hint="default" w:ascii="Calibri" w:hAnsi="Calibri" w:eastAsia="宋体" w:cs="Times New Roman"/>
                <w:color w:val="000000"/>
                <w:sz w:val="18"/>
                <w:szCs w:val="18"/>
                <w:lang w:val="en-US"/>
              </w:rPr>
            </w:pPr>
            <w:r>
              <w:rPr>
                <w:rFonts w:hint="eastAsia" w:ascii="Calibri" w:hAnsi="Calibri" w:eastAsia="宋体" w:cs="Times New Roman"/>
                <w:color w:val="000000"/>
                <w:sz w:val="18"/>
                <w:szCs w:val="18"/>
                <w:lang w:val="en-US" w:eastAsia="zh-CN"/>
              </w:rPr>
              <w:t xml:space="preserve">                    </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rPr>
            </w:pPr>
            <w:r>
              <w:rPr>
                <w:rFonts w:hint="eastAsia" w:ascii="Calibri" w:hAnsi="Calibri" w:eastAsia="宋体" w:cs="Times New Roman"/>
                <w:b/>
                <w:bCs/>
                <w:color w:val="000000"/>
                <w:sz w:val="18"/>
                <w:szCs w:val="18"/>
              </w:rPr>
              <w:t>收  入  总  计</w:t>
            </w:r>
          </w:p>
        </w:tc>
        <w:tc>
          <w:tcPr>
            <w:tcW w:w="919"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000000"/>
                <w:sz w:val="18"/>
                <w:szCs w:val="18"/>
              </w:rPr>
            </w:pPr>
            <w:r>
              <w:rPr>
                <w:rFonts w:hint="eastAsia" w:ascii="宋体" w:hAnsi="宋体" w:eastAsia="宋体" w:cs="宋体"/>
                <w:b/>
                <w:bCs/>
                <w:color w:val="000000" w:themeColor="text1"/>
                <w:sz w:val="18"/>
                <w:szCs w:val="18"/>
                <w:lang w:val="en-US" w:eastAsia="zh-CN"/>
                <w14:textFill>
                  <w14:solidFill>
                    <w14:schemeClr w14:val="tx1"/>
                  </w14:solidFill>
                </w14:textFill>
              </w:rPr>
              <w:t>688.59</w:t>
            </w:r>
            <w:r>
              <w:rPr>
                <w:rFonts w:hint="eastAsia" w:ascii="宋体" w:hAnsi="宋体" w:eastAsia="宋体" w:cs="宋体"/>
                <w:b/>
                <w:bCs/>
                <w:color w:val="000000"/>
                <w:sz w:val="18"/>
                <w:szCs w:val="18"/>
                <w:lang w:val="en-US" w:eastAsia="zh-CN"/>
              </w:rPr>
              <w:t>　</w:t>
            </w:r>
          </w:p>
        </w:tc>
        <w:tc>
          <w:tcPr>
            <w:tcW w:w="2597"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rPr>
            </w:pPr>
            <w:r>
              <w:rPr>
                <w:rFonts w:hint="eastAsia" w:ascii="Calibri" w:hAnsi="Calibri" w:eastAsia="宋体" w:cs="Times New Roman"/>
                <w:b/>
                <w:bCs/>
                <w:color w:val="000000"/>
                <w:sz w:val="18"/>
                <w:szCs w:val="18"/>
              </w:rPr>
              <w:t>支  出  总  计</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000000"/>
                <w:sz w:val="18"/>
                <w:szCs w:val="18"/>
                <w:lang w:val="en-US" w:eastAsia="zh-CN"/>
              </w:rPr>
            </w:pPr>
            <w:r>
              <w:rPr>
                <w:rFonts w:hint="eastAsia" w:ascii="宋体" w:hAnsi="宋体" w:eastAsia="宋体" w:cs="宋体"/>
                <w:b/>
                <w:bCs/>
                <w:color w:val="000000" w:themeColor="text1"/>
                <w:sz w:val="18"/>
                <w:szCs w:val="18"/>
                <w:lang w:val="en-US" w:eastAsia="zh-CN"/>
                <w14:textFill>
                  <w14:solidFill>
                    <w14:schemeClr w14:val="tx1"/>
                  </w14:solidFill>
                </w14:textFill>
              </w:rPr>
              <w:t>688.59</w:t>
            </w:r>
            <w:r>
              <w:rPr>
                <w:rFonts w:hint="eastAsia" w:ascii="宋体" w:hAnsi="宋体" w:eastAsia="宋体" w:cs="宋体"/>
                <w:b/>
                <w:bCs/>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000000"/>
                <w:sz w:val="18"/>
                <w:szCs w:val="18"/>
                <w:lang w:val="en-US" w:eastAsia="zh-CN"/>
              </w:rPr>
            </w:pPr>
            <w:r>
              <w:rPr>
                <w:rFonts w:hint="eastAsia" w:ascii="宋体" w:hAnsi="宋体" w:eastAsia="宋体" w:cs="宋体"/>
                <w:b/>
                <w:bCs/>
                <w:color w:val="000000" w:themeColor="text1"/>
                <w:sz w:val="18"/>
                <w:szCs w:val="18"/>
                <w:lang w:val="en-US" w:eastAsia="zh-CN"/>
                <w14:textFill>
                  <w14:solidFill>
                    <w14:schemeClr w14:val="tx1"/>
                  </w14:solidFill>
                </w14:textFill>
              </w:rPr>
              <w:t>688.59</w:t>
            </w:r>
            <w:r>
              <w:rPr>
                <w:rFonts w:hint="eastAsia" w:ascii="宋体" w:hAnsi="宋体" w:eastAsia="宋体" w:cs="宋体"/>
                <w:b/>
                <w:bCs/>
                <w:color w:val="000000"/>
                <w:sz w:val="18"/>
                <w:szCs w:val="18"/>
                <w:lang w:val="en-US" w:eastAsia="zh-CN"/>
              </w:rPr>
              <w:t>　</w:t>
            </w:r>
          </w:p>
        </w:tc>
        <w:tc>
          <w:tcPr>
            <w:tcW w:w="2038" w:type="dxa"/>
            <w:gridSpan w:val="2"/>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bl>
    <w:p>
      <w:pPr>
        <w:ind w:firstLine="360" w:firstLineChars="200"/>
        <w:rPr>
          <w:rFonts w:hint="default" w:ascii="Calibri" w:hAnsi="Calibri" w:eastAsia="宋体" w:cs="Times New Roman"/>
          <w:color w:val="000000"/>
          <w:sz w:val="18"/>
          <w:szCs w:val="18"/>
          <w:lang w:val="en-US" w:eastAsia="zh-CN"/>
        </w:rPr>
      </w:pPr>
    </w:p>
    <w:p>
      <w:pPr>
        <w:ind w:firstLine="360" w:firstLineChars="200"/>
        <w:rPr>
          <w:rFonts w:hint="eastAsia" w:ascii="Calibri" w:hAnsi="Calibri" w:eastAsia="宋体" w:cs="Times New Roman"/>
          <w:color w:val="000000"/>
          <w:sz w:val="18"/>
          <w:szCs w:val="18"/>
          <w:lang w:val="en-US" w:eastAsia="zh-CN"/>
        </w:rPr>
      </w:pPr>
    </w:p>
    <w:p>
      <w:pPr>
        <w:rPr>
          <w:rFonts w:hint="eastAsia" w:ascii="Calibri" w:hAnsi="Calibri" w:eastAsia="宋体" w:cs="Times New Roman"/>
          <w:color w:val="000000"/>
          <w:sz w:val="18"/>
          <w:szCs w:val="18"/>
          <w:lang w:val="en-US" w:eastAsia="zh-CN"/>
        </w:rPr>
      </w:pPr>
    </w:p>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表5</w:t>
      </w:r>
    </w:p>
    <w:tbl>
      <w:tblPr>
        <w:tblStyle w:val="12"/>
        <w:tblW w:w="9214" w:type="dxa"/>
        <w:tblInd w:w="-34" w:type="dxa"/>
        <w:tblLayout w:type="fixed"/>
        <w:tblCellMar>
          <w:top w:w="0" w:type="dxa"/>
          <w:left w:w="108" w:type="dxa"/>
          <w:bottom w:w="0" w:type="dxa"/>
          <w:right w:w="108" w:type="dxa"/>
        </w:tblCellMar>
      </w:tblPr>
      <w:tblGrid>
        <w:gridCol w:w="649"/>
        <w:gridCol w:w="690"/>
        <w:gridCol w:w="585"/>
        <w:gridCol w:w="3165"/>
        <w:gridCol w:w="1170"/>
        <w:gridCol w:w="226"/>
        <w:gridCol w:w="1139"/>
        <w:gridCol w:w="1590"/>
      </w:tblGrid>
      <w:tr>
        <w:tblPrEx>
          <w:tblCellMar>
            <w:top w:w="0" w:type="dxa"/>
            <w:left w:w="108" w:type="dxa"/>
            <w:bottom w:w="0" w:type="dxa"/>
            <w:right w:w="108" w:type="dxa"/>
          </w:tblCellMar>
        </w:tblPrEx>
        <w:trPr>
          <w:trHeight w:val="517" w:hRule="atLeast"/>
        </w:trPr>
        <w:tc>
          <w:tcPr>
            <w:tcW w:w="9214" w:type="dxa"/>
            <w:gridSpan w:val="8"/>
            <w:tcBorders>
              <w:top w:val="nil"/>
              <w:left w:val="nil"/>
              <w:bottom w:val="nil"/>
              <w:right w:val="nil"/>
            </w:tcBorders>
            <w:noWrap w:val="0"/>
            <w:vAlign w:val="center"/>
          </w:tcPr>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285" w:hRule="atLeast"/>
        </w:trPr>
        <w:tc>
          <w:tcPr>
            <w:tcW w:w="5089" w:type="dxa"/>
            <w:gridSpan w:val="4"/>
            <w:tcBorders>
              <w:top w:val="nil"/>
              <w:left w:val="nil"/>
              <w:bottom w:val="nil"/>
              <w:right w:val="nil"/>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p>
        </w:tc>
        <w:tc>
          <w:tcPr>
            <w:tcW w:w="1396" w:type="dxa"/>
            <w:gridSpan w:val="2"/>
            <w:tcBorders>
              <w:top w:val="nil"/>
              <w:left w:val="nil"/>
              <w:bottom w:val="nil"/>
              <w:right w:val="nil"/>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xml:space="preserve">  </w:t>
            </w:r>
          </w:p>
        </w:tc>
        <w:tc>
          <w:tcPr>
            <w:tcW w:w="2729" w:type="dxa"/>
            <w:gridSpan w:val="2"/>
            <w:tcBorders>
              <w:top w:val="nil"/>
              <w:left w:val="nil"/>
              <w:bottom w:val="nil"/>
              <w:right w:val="nil"/>
            </w:tcBorders>
            <w:noWrap w:val="0"/>
            <w:vAlign w:val="center"/>
          </w:tcPr>
          <w:p>
            <w:pPr>
              <w:ind w:firstLine="1620" w:firstLineChars="9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单位：万元</w:t>
            </w:r>
          </w:p>
        </w:tc>
      </w:tr>
      <w:tr>
        <w:tblPrEx>
          <w:tblCellMar>
            <w:top w:w="0" w:type="dxa"/>
            <w:left w:w="108" w:type="dxa"/>
            <w:bottom w:w="0" w:type="dxa"/>
            <w:right w:w="108" w:type="dxa"/>
          </w:tblCellMar>
        </w:tblPrEx>
        <w:trPr>
          <w:trHeight w:val="314" w:hRule="atLeast"/>
        </w:trPr>
        <w:tc>
          <w:tcPr>
            <w:tcW w:w="5089" w:type="dxa"/>
            <w:gridSpan w:val="4"/>
            <w:tcBorders>
              <w:top w:val="single" w:color="auto" w:sz="4" w:space="0"/>
              <w:left w:val="single" w:color="auto" w:sz="4" w:space="0"/>
              <w:bottom w:val="single" w:color="auto" w:sz="4" w:space="0"/>
              <w:right w:val="single" w:color="000000" w:sz="4" w:space="0"/>
            </w:tcBorders>
            <w:noWrap w:val="0"/>
            <w:vAlign w:val="center"/>
          </w:tcPr>
          <w:p>
            <w:pPr>
              <w:ind w:firstLine="360" w:firstLineChars="200"/>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lang w:val="en-US" w:eastAsia="zh-CN"/>
              </w:rPr>
              <w:t>科</w:t>
            </w:r>
            <w:r>
              <w:rPr>
                <w:rFonts w:hint="eastAsia" w:ascii="Calibri" w:hAnsi="Calibri" w:eastAsia="宋体" w:cs="Times New Roman"/>
                <w:color w:val="000000"/>
                <w:sz w:val="18"/>
                <w:szCs w:val="18"/>
              </w:rPr>
              <w:t xml:space="preserve">  目</w:t>
            </w:r>
          </w:p>
        </w:tc>
        <w:tc>
          <w:tcPr>
            <w:tcW w:w="4125" w:type="dxa"/>
            <w:gridSpan w:val="4"/>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一般公共预算支出</w:t>
            </w:r>
          </w:p>
        </w:tc>
      </w:tr>
      <w:tr>
        <w:tblPrEx>
          <w:tblCellMar>
            <w:top w:w="0" w:type="dxa"/>
            <w:left w:w="108" w:type="dxa"/>
            <w:bottom w:w="0" w:type="dxa"/>
            <w:right w:w="108" w:type="dxa"/>
          </w:tblCellMar>
        </w:tblPrEx>
        <w:trPr>
          <w:trHeight w:val="336" w:hRule="atLeast"/>
        </w:trPr>
        <w:tc>
          <w:tcPr>
            <w:tcW w:w="1924" w:type="dxa"/>
            <w:gridSpan w:val="3"/>
            <w:tcBorders>
              <w:top w:val="single" w:color="auto" w:sz="4" w:space="0"/>
              <w:left w:val="single" w:color="auto" w:sz="4" w:space="0"/>
              <w:bottom w:val="single" w:color="auto" w:sz="4" w:space="0"/>
              <w:right w:val="single" w:color="000000"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功能分类科目编码</w:t>
            </w:r>
          </w:p>
        </w:tc>
        <w:tc>
          <w:tcPr>
            <w:tcW w:w="316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功能分类科目名称</w:t>
            </w:r>
          </w:p>
        </w:tc>
        <w:tc>
          <w:tcPr>
            <w:tcW w:w="1170" w:type="dxa"/>
            <w:vMerge w:val="restart"/>
            <w:tcBorders>
              <w:top w:val="nil"/>
              <w:left w:val="single" w:color="auto" w:sz="4" w:space="0"/>
              <w:bottom w:val="single" w:color="000000" w:sz="4" w:space="0"/>
              <w:right w:val="single" w:color="auto" w:sz="4" w:space="0"/>
            </w:tcBorders>
            <w:noWrap w:val="0"/>
            <w:vAlign w:val="center"/>
          </w:tcPr>
          <w:p>
            <w:pPr>
              <w:ind w:firstLine="180" w:firstLineChars="1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合  计</w:t>
            </w:r>
          </w:p>
        </w:tc>
        <w:tc>
          <w:tcPr>
            <w:tcW w:w="1365" w:type="dxa"/>
            <w:gridSpan w:val="2"/>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基本支出</w:t>
            </w:r>
          </w:p>
        </w:tc>
        <w:tc>
          <w:tcPr>
            <w:tcW w:w="1590"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项目支出</w:t>
            </w:r>
          </w:p>
        </w:tc>
      </w:tr>
      <w:tr>
        <w:tblPrEx>
          <w:tblCellMar>
            <w:top w:w="0" w:type="dxa"/>
            <w:left w:w="108" w:type="dxa"/>
            <w:bottom w:w="0" w:type="dxa"/>
            <w:right w:w="108" w:type="dxa"/>
          </w:tblCellMar>
        </w:tblPrEx>
        <w:trPr>
          <w:trHeight w:val="300" w:hRule="atLeast"/>
        </w:trPr>
        <w:tc>
          <w:tcPr>
            <w:tcW w:w="649"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类</w:t>
            </w:r>
          </w:p>
        </w:tc>
        <w:tc>
          <w:tcPr>
            <w:tcW w:w="690"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款</w:t>
            </w:r>
          </w:p>
        </w:tc>
        <w:tc>
          <w:tcPr>
            <w:tcW w:w="585"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项</w:t>
            </w:r>
          </w:p>
        </w:tc>
        <w:tc>
          <w:tcPr>
            <w:tcW w:w="3165" w:type="dxa"/>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170" w:type="dxa"/>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365" w:type="dxa"/>
            <w:gridSpan w:val="2"/>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590" w:type="dxa"/>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bookmarkStart w:id="18" w:name="OLE_LINK17" w:colFirst="4" w:colLast="6"/>
            <w:r>
              <w:rPr>
                <w:rFonts w:hint="eastAsia" w:ascii="Calibri" w:hAnsi="Calibri" w:eastAsia="宋体" w:cs="Times New Roman"/>
                <w:b/>
                <w:bCs/>
                <w:color w:val="000000"/>
                <w:sz w:val="18"/>
                <w:szCs w:val="18"/>
                <w:lang w:val="en-US" w:eastAsia="zh-CN"/>
              </w:rPr>
              <w:t>201</w:t>
            </w:r>
          </w:p>
        </w:tc>
        <w:tc>
          <w:tcPr>
            <w:tcW w:w="690"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一般公共服务支出</w:t>
            </w:r>
            <w:r>
              <w:rPr>
                <w:rFonts w:hint="eastAsia" w:ascii="Calibri" w:hAnsi="Calibri" w:eastAsia="宋体" w:cs="Times New Roman"/>
                <w:b/>
                <w:bCs/>
                <w:color w:val="000000"/>
                <w:sz w:val="18"/>
                <w:szCs w:val="18"/>
              </w:rPr>
              <w:t>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themeColor="text1"/>
                <w:sz w:val="18"/>
                <w:szCs w:val="18"/>
                <w:lang w:val="en-US" w:eastAsia="zh-CN"/>
                <w14:textFill>
                  <w14:solidFill>
                    <w14:schemeClr w14:val="tx1"/>
                  </w14:solidFill>
                </w14:textFill>
              </w:rPr>
              <w:t>561.90</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351.90</w:t>
            </w: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21</w:t>
            </w:r>
            <w:r>
              <w:rPr>
                <w:rFonts w:hint="eastAsia" w:ascii="Calibri" w:hAnsi="Calibri" w:cs="Times New Roman"/>
                <w:b/>
                <w:bCs/>
                <w:color w:val="000000"/>
                <w:sz w:val="18"/>
                <w:szCs w:val="18"/>
                <w:lang w:val="en-US" w:eastAsia="zh-CN"/>
              </w:rPr>
              <w:t>0.00</w:t>
            </w:r>
          </w:p>
        </w:tc>
      </w:tr>
      <w:bookmarkEnd w:id="18"/>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宣传事务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561.90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351.90</w:t>
            </w: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w:t>
            </w:r>
            <w:r>
              <w:rPr>
                <w:rFonts w:hint="eastAsia" w:ascii="Calibri" w:hAnsi="Calibri" w:cs="Times New Roman"/>
                <w:color w:val="000000"/>
                <w:sz w:val="18"/>
                <w:szCs w:val="18"/>
                <w:lang w:val="en-US" w:eastAsia="zh-CN"/>
              </w:rPr>
              <w:t>0.00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行政运行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198.24</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198.24</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　</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　</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w:t>
            </w:r>
            <w:r>
              <w:rPr>
                <w:rFonts w:hint="eastAsia" w:ascii="Calibri" w:hAnsi="Calibri" w:cs="Times New Roman"/>
                <w:color w:val="000000"/>
                <w:sz w:val="18"/>
                <w:szCs w:val="18"/>
                <w:lang w:val="en-US" w:eastAsia="zh-CN"/>
              </w:rPr>
              <w:t>0.00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w:t>
            </w:r>
            <w:r>
              <w:rPr>
                <w:rFonts w:hint="eastAsia" w:ascii="Calibri" w:hAnsi="Calibri" w:cs="Times New Roman"/>
                <w:color w:val="000000"/>
                <w:sz w:val="18"/>
                <w:szCs w:val="18"/>
                <w:lang w:val="en-US" w:eastAsia="zh-CN"/>
              </w:rPr>
              <w:t>0.00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50　</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事业运行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153.66</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153.66</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207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文化旅游体育与传媒支出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5.00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5.00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207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其他文化旅游体育与传媒支出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bookmarkStart w:id="19" w:name="OLE_LINK20" w:colFirst="4" w:colLast="5"/>
            <w:r>
              <w:rPr>
                <w:rFonts w:hint="eastAsia" w:ascii="Calibri" w:hAnsi="Calibri" w:eastAsia="宋体" w:cs="Times New Roman"/>
                <w:b/>
                <w:bCs/>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社会保障卡和就业支出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47.64</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47.64</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r>
      <w:bookmarkEnd w:id="19"/>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行政事业单位养老支出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47.64</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47.64</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行政单位离退休</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4.47</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4.47</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机关事业单位基本养老保险缴费支出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卫生健康支出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38.13</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38.13</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行政事业单位医疗</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38.13</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38.13</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行政单位医疗</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14.25</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14.25</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事业单位医疗</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10.88</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10.88</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03</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公务员医疗补助</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其他行政事业单位医疗支出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0.32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0.32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221</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住房保障支出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35.92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35.92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221</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住房改革支出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221</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住房公积金</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rPr>
            </w:pPr>
            <w:r>
              <w:rPr>
                <w:rFonts w:hint="eastAsia" w:ascii="Calibri" w:hAnsi="Calibri" w:eastAsia="宋体" w:cs="Times New Roman"/>
                <w:b/>
                <w:bCs/>
                <w:color w:val="000000"/>
                <w:sz w:val="18"/>
                <w:szCs w:val="18"/>
              </w:rPr>
              <w:t>合  计</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688.59</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473.5</w:t>
            </w:r>
            <w:r>
              <w:rPr>
                <w:rFonts w:hint="eastAsia" w:ascii="Calibri" w:hAnsi="Calibri" w:cs="Times New Roman"/>
                <w:b/>
                <w:bCs/>
                <w:color w:val="000000"/>
                <w:sz w:val="18"/>
                <w:szCs w:val="18"/>
                <w:lang w:val="en-US" w:eastAsia="zh-CN"/>
              </w:rPr>
              <w:t>9</w:t>
            </w: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215.00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2"/>
        <w:tblW w:w="9328" w:type="dxa"/>
        <w:tblInd w:w="-148" w:type="dxa"/>
        <w:tblLayout w:type="autofit"/>
        <w:tblCellMar>
          <w:top w:w="0" w:type="dxa"/>
          <w:left w:w="108" w:type="dxa"/>
          <w:bottom w:w="0" w:type="dxa"/>
          <w:right w:w="108" w:type="dxa"/>
        </w:tblCellMar>
      </w:tblPr>
      <w:tblGrid>
        <w:gridCol w:w="757"/>
        <w:gridCol w:w="577"/>
        <w:gridCol w:w="3399"/>
        <w:gridCol w:w="487"/>
        <w:gridCol w:w="1225"/>
        <w:gridCol w:w="457"/>
        <w:gridCol w:w="1087"/>
        <w:gridCol w:w="1339"/>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cs="Times New Roman"/>
                <w:b/>
                <w:color w:val="000000"/>
                <w:sz w:val="28"/>
                <w:szCs w:val="28"/>
              </w:rPr>
              <w:t>一般公共预算基本支出情况表</w:t>
            </w:r>
          </w:p>
        </w:tc>
      </w:tr>
      <w:tr>
        <w:tblPrEx>
          <w:tblCellMar>
            <w:top w:w="0" w:type="dxa"/>
            <w:left w:w="108" w:type="dxa"/>
            <w:bottom w:w="0" w:type="dxa"/>
            <w:right w:w="108" w:type="dxa"/>
          </w:tblCellMar>
        </w:tblPrEx>
        <w:trPr>
          <w:trHeight w:val="416" w:hRule="atLeast"/>
        </w:trPr>
        <w:tc>
          <w:tcPr>
            <w:tcW w:w="473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p>
        </w:tc>
        <w:tc>
          <w:tcPr>
            <w:tcW w:w="487"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c>
      </w:tr>
      <w:tr>
        <w:tblPrEx>
          <w:tblCellMar>
            <w:top w:w="0" w:type="dxa"/>
            <w:left w:w="108" w:type="dxa"/>
            <w:bottom w:w="0" w:type="dxa"/>
            <w:right w:w="108" w:type="dxa"/>
          </w:tblCellMar>
        </w:tblPrEx>
        <w:trPr>
          <w:trHeight w:val="374" w:hRule="atLeast"/>
        </w:trPr>
        <w:tc>
          <w:tcPr>
            <w:tcW w:w="4733" w:type="dxa"/>
            <w:gridSpan w:val="3"/>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 xml:space="preserve">科  </w:t>
            </w:r>
            <w:r>
              <w:rPr>
                <w:rFonts w:hint="eastAsia" w:ascii="Calibri" w:hAnsi="Calibri" w:eastAsia="宋体" w:cs="Times New Roman"/>
                <w:sz w:val="18"/>
                <w:szCs w:val="18"/>
              </w:rPr>
              <w:t>目</w:t>
            </w:r>
          </w:p>
        </w:tc>
        <w:tc>
          <w:tcPr>
            <w:tcW w:w="4595" w:type="dxa"/>
            <w:gridSpan w:val="5"/>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经济分类科目编码</w:t>
            </w:r>
          </w:p>
        </w:tc>
        <w:tc>
          <w:tcPr>
            <w:tcW w:w="3399"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经济分类科目名称</w:t>
            </w:r>
          </w:p>
        </w:tc>
        <w:tc>
          <w:tcPr>
            <w:tcW w:w="1712" w:type="dxa"/>
            <w:gridSpan w:val="2"/>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合  计</w:t>
            </w:r>
          </w:p>
        </w:tc>
        <w:tc>
          <w:tcPr>
            <w:tcW w:w="1544" w:type="dxa"/>
            <w:gridSpan w:val="2"/>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人员经费</w:t>
            </w:r>
          </w:p>
        </w:tc>
        <w:tc>
          <w:tcPr>
            <w:tcW w:w="1339"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类</w:t>
            </w:r>
          </w:p>
        </w:tc>
        <w:tc>
          <w:tcPr>
            <w:tcW w:w="57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款</w:t>
            </w:r>
          </w:p>
        </w:tc>
        <w:tc>
          <w:tcPr>
            <w:tcW w:w="339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1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54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33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bookmarkStart w:id="20" w:name="OLE_LINK23"/>
            <w:r>
              <w:rPr>
                <w:rFonts w:hint="eastAsia" w:ascii="宋体" w:hAnsi="宋体" w:eastAsia="宋体" w:cs="Times New Roman"/>
                <w:b/>
                <w:bCs/>
                <w:sz w:val="18"/>
                <w:szCs w:val="18"/>
                <w:lang w:val="en-US" w:eastAsia="zh-CN"/>
              </w:rPr>
              <w:t>301</w:t>
            </w:r>
            <w:bookmarkEnd w:id="20"/>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b/>
                <w:bCs/>
                <w:sz w:val="18"/>
                <w:szCs w:val="18"/>
                <w:lang w:val="en-US" w:eastAsia="zh-CN"/>
              </w:rPr>
              <w:t>工资福利支出</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445.33</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445.33</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01</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基本工资</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109.86</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109.86</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02</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津贴补贴</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69.72</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69.72</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03</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奖金</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85.93</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85.93</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07</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绩效工资</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33.80</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33.80</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08</w:t>
            </w: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机关事业单位基本养老保险缴费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w:t>
            </w: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职工基本医疗保险缴费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25.13</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25.13</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11</w:t>
            </w: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公务员医疗补助缴费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12</w:t>
            </w: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其他社会保障缴费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13</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住房公积金</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99</w:t>
            </w: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其他工资福利支出</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27.04</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27.04</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bookmarkStart w:id="21" w:name="OLE_LINK24"/>
            <w:r>
              <w:rPr>
                <w:rFonts w:hint="eastAsia" w:ascii="宋体" w:hAnsi="宋体" w:eastAsia="宋体" w:cs="Times New Roman"/>
                <w:b/>
                <w:bCs/>
                <w:sz w:val="18"/>
                <w:szCs w:val="18"/>
                <w:lang w:val="en-US" w:eastAsia="zh-CN"/>
              </w:rPr>
              <w:t>302</w:t>
            </w:r>
            <w:bookmarkEnd w:id="21"/>
          </w:p>
        </w:tc>
        <w:tc>
          <w:tcPr>
            <w:tcW w:w="577"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b/>
                <w:bCs/>
                <w:sz w:val="18"/>
                <w:szCs w:val="18"/>
                <w:lang w:val="en-US" w:eastAsia="zh-CN"/>
              </w:rPr>
              <w:t>商品和服务支出</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17.06</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17.06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01</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办公费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2.37</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02</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印刷费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0.28</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07</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邮电费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1.41</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09</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物业管理费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0.11</w:t>
            </w:r>
          </w:p>
        </w:tc>
        <w:tc>
          <w:tcPr>
            <w:tcW w:w="1544"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11</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差旅费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0.78</w:t>
            </w:r>
          </w:p>
        </w:tc>
        <w:tc>
          <w:tcPr>
            <w:tcW w:w="1544"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0.78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17</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公务接待费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0.50</w:t>
            </w:r>
          </w:p>
        </w:tc>
        <w:tc>
          <w:tcPr>
            <w:tcW w:w="1544"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28</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工会经费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5.21</w:t>
            </w:r>
          </w:p>
        </w:tc>
        <w:tc>
          <w:tcPr>
            <w:tcW w:w="1544"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31</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公务用车运行维护费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6.40</w:t>
            </w:r>
          </w:p>
        </w:tc>
        <w:tc>
          <w:tcPr>
            <w:tcW w:w="1544"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bookmarkStart w:id="22" w:name="OLE_LINK25" w:colFirst="0" w:colLast="0"/>
            <w:r>
              <w:rPr>
                <w:rFonts w:hint="eastAsia" w:ascii="宋体" w:hAnsi="宋体" w:eastAsia="宋体" w:cs="Times New Roman"/>
                <w:b/>
                <w:bCs/>
                <w:sz w:val="18"/>
                <w:szCs w:val="18"/>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p>
        </w:tc>
        <w:tc>
          <w:tcPr>
            <w:tcW w:w="3399"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b/>
                <w:bCs/>
                <w:sz w:val="18"/>
                <w:szCs w:val="18"/>
                <w:lang w:val="en-US" w:eastAsia="zh-CN"/>
              </w:rPr>
              <w:t>对个人和家庭的补助</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11.19</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11,19</w:t>
            </w:r>
          </w:p>
        </w:tc>
        <w:tc>
          <w:tcPr>
            <w:tcW w:w="1339"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bookmarkEnd w:id="22"/>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02</w:t>
            </w:r>
          </w:p>
        </w:tc>
        <w:tc>
          <w:tcPr>
            <w:tcW w:w="3399"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退休费</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9.18</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9.18</w:t>
            </w:r>
          </w:p>
        </w:tc>
        <w:tc>
          <w:tcPr>
            <w:tcW w:w="1339"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05</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生活补助</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1.16</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1.16</w:t>
            </w:r>
          </w:p>
        </w:tc>
        <w:tc>
          <w:tcPr>
            <w:tcW w:w="1339"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bookmarkStart w:id="23" w:name="OLE_LINK26"/>
            <w:r>
              <w:rPr>
                <w:rFonts w:hint="eastAsia" w:ascii="宋体" w:hAnsi="宋体" w:eastAsia="宋体" w:cs="Times New Roman"/>
                <w:sz w:val="18"/>
                <w:szCs w:val="18"/>
                <w:lang w:val="en-US" w:eastAsia="zh-CN"/>
              </w:rPr>
              <w:t>303</w:t>
            </w:r>
            <w:bookmarkEnd w:id="23"/>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09</w:t>
            </w:r>
          </w:p>
        </w:tc>
        <w:tc>
          <w:tcPr>
            <w:tcW w:w="3399" w:type="dxa"/>
            <w:tcBorders>
              <w:top w:val="nil"/>
              <w:left w:val="nil"/>
              <w:bottom w:val="single" w:color="auto" w:sz="4" w:space="0"/>
              <w:right w:val="single" w:color="auto" w:sz="4" w:space="0"/>
            </w:tcBorders>
            <w:noWrap w:val="0"/>
            <w:vAlign w:val="center"/>
          </w:tcPr>
          <w:p>
            <w:pPr>
              <w:ind w:firstLine="180" w:firstLineChars="100"/>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奖励金</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0.85</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0.85</w:t>
            </w:r>
          </w:p>
        </w:tc>
        <w:tc>
          <w:tcPr>
            <w:tcW w:w="1339"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5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39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12"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473.58</w:t>
            </w:r>
          </w:p>
        </w:tc>
        <w:tc>
          <w:tcPr>
            <w:tcW w:w="1544"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456.52</w:t>
            </w:r>
          </w:p>
        </w:tc>
        <w:tc>
          <w:tcPr>
            <w:tcW w:w="1339"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17.06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417"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2"/>
        <w:tblW w:w="14807" w:type="dxa"/>
        <w:tblInd w:w="-981" w:type="dxa"/>
        <w:tblLayout w:type="fixed"/>
        <w:tblCellMar>
          <w:top w:w="0" w:type="dxa"/>
          <w:left w:w="108" w:type="dxa"/>
          <w:bottom w:w="0" w:type="dxa"/>
          <w:right w:w="108" w:type="dxa"/>
        </w:tblCellMar>
      </w:tblPr>
      <w:tblGrid>
        <w:gridCol w:w="500"/>
        <w:gridCol w:w="500"/>
        <w:gridCol w:w="484"/>
        <w:gridCol w:w="2785"/>
        <w:gridCol w:w="2670"/>
        <w:gridCol w:w="825"/>
        <w:gridCol w:w="645"/>
        <w:gridCol w:w="810"/>
        <w:gridCol w:w="795"/>
        <w:gridCol w:w="765"/>
        <w:gridCol w:w="765"/>
        <w:gridCol w:w="630"/>
        <w:gridCol w:w="765"/>
        <w:gridCol w:w="630"/>
        <w:gridCol w:w="705"/>
        <w:gridCol w:w="533"/>
      </w:tblGrid>
      <w:tr>
        <w:tblPrEx>
          <w:tblCellMar>
            <w:top w:w="0" w:type="dxa"/>
            <w:left w:w="108" w:type="dxa"/>
            <w:bottom w:w="0" w:type="dxa"/>
            <w:right w:w="108" w:type="dxa"/>
          </w:tblCellMar>
        </w:tblPrEx>
        <w:trPr>
          <w:trHeight w:val="375" w:hRule="atLeast"/>
        </w:trPr>
        <w:tc>
          <w:tcPr>
            <w:tcW w:w="14807"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cs="Times New Roman"/>
                <w:b/>
                <w:color w:val="000000"/>
                <w:sz w:val="28"/>
                <w:szCs w:val="28"/>
              </w:rPr>
              <w:t>一般公共预算项目支出情况表</w:t>
            </w:r>
          </w:p>
        </w:tc>
      </w:tr>
      <w:tr>
        <w:tblPrEx>
          <w:tblCellMar>
            <w:top w:w="0" w:type="dxa"/>
            <w:left w:w="108" w:type="dxa"/>
            <w:bottom w:w="0" w:type="dxa"/>
            <w:right w:w="108" w:type="dxa"/>
          </w:tblCellMar>
        </w:tblPrEx>
        <w:trPr>
          <w:trHeight w:val="405" w:hRule="atLeast"/>
        </w:trPr>
        <w:tc>
          <w:tcPr>
            <w:tcW w:w="7764"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Calibri" w:hAnsi="Calibri" w:eastAsia="宋体" w:cs="Times New Roman"/>
                <w:sz w:val="18"/>
                <w:szCs w:val="18"/>
              </w:rPr>
              <w:t>编制</w:t>
            </w:r>
            <w:r>
              <w:rPr>
                <w:rFonts w:hint="eastAsia" w:ascii="Calibri" w:hAnsi="Calibri" w:eastAsia="宋体" w:cs="Times New Roman"/>
                <w:sz w:val="18"/>
                <w:szCs w:val="18"/>
                <w:lang w:eastAsia="zh-CN"/>
              </w:rPr>
              <w:t>部门</w:t>
            </w:r>
            <w:r>
              <w:rPr>
                <w:rFonts w:hint="eastAsia" w:ascii="Calibri" w:hAnsi="Calibri" w:eastAsia="宋体" w:cs="Times New Roman"/>
                <w:sz w:val="18"/>
                <w:szCs w:val="18"/>
              </w:rPr>
              <w:t>：</w:t>
            </w:r>
            <w:r>
              <w:rPr>
                <w:rFonts w:hint="eastAsia" w:ascii="Calibri" w:hAnsi="Calibri" w:eastAsia="宋体" w:cs="Times New Roman"/>
                <w:sz w:val="18"/>
                <w:szCs w:val="18"/>
                <w:lang w:val="en-US" w:eastAsia="zh-CN"/>
              </w:rPr>
              <w:t>中共呼图壁县委员会宣传部</w:t>
            </w:r>
          </w:p>
        </w:tc>
        <w:tc>
          <w:tcPr>
            <w:tcW w:w="145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6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4028" w:type="dxa"/>
            <w:gridSpan w:val="6"/>
            <w:tcBorders>
              <w:top w:val="nil"/>
              <w:left w:val="nil"/>
              <w:bottom w:val="nil"/>
              <w:right w:val="nil"/>
            </w:tcBorders>
            <w:noWrap w:val="0"/>
            <w:vAlign w:val="center"/>
          </w:tcPr>
          <w:p>
            <w:pPr>
              <w:widowControl/>
              <w:ind w:firstLine="4860" w:firstLineChars="2700"/>
              <w:rPr>
                <w:rFonts w:ascii="仿宋_GB2312" w:hAnsi="宋体" w:eastAsia="仿宋_GB2312" w:cs="宋体"/>
                <w:color w:val="auto"/>
                <w:kern w:val="0"/>
                <w:sz w:val="24"/>
                <w:highlight w:val="none"/>
              </w:rPr>
            </w:pPr>
            <w:r>
              <w:rPr>
                <w:rFonts w:hint="eastAsia" w:ascii="Calibri" w:hAnsi="Calibri" w:eastAsia="宋体" w:cs="Times New Roman"/>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484" w:type="dxa"/>
            <w:gridSpan w:val="3"/>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科 目 编 码</w:t>
            </w:r>
          </w:p>
        </w:tc>
        <w:tc>
          <w:tcPr>
            <w:tcW w:w="278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科目</w:t>
            </w:r>
          </w:p>
          <w:p>
            <w:pPr>
              <w:jc w:val="center"/>
              <w:rPr>
                <w:rFonts w:hint="eastAsia" w:ascii="Calibri" w:hAnsi="Calibri" w:eastAsia="宋体" w:cs="Times New Roman"/>
                <w:sz w:val="18"/>
                <w:szCs w:val="18"/>
                <w:lang w:eastAsia="zh-CN"/>
              </w:rPr>
            </w:pPr>
            <w:r>
              <w:rPr>
                <w:rFonts w:hint="eastAsia" w:ascii="Calibri" w:hAnsi="Calibri" w:eastAsia="宋体" w:cs="Times New Roman"/>
                <w:sz w:val="18"/>
                <w:szCs w:val="18"/>
                <w:lang w:eastAsia="zh-CN"/>
              </w:rPr>
              <w:t>名称</w:t>
            </w:r>
          </w:p>
        </w:tc>
        <w:tc>
          <w:tcPr>
            <w:tcW w:w="267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项目名称</w:t>
            </w:r>
          </w:p>
        </w:tc>
        <w:tc>
          <w:tcPr>
            <w:tcW w:w="82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项目支出合计</w:t>
            </w:r>
          </w:p>
        </w:tc>
        <w:tc>
          <w:tcPr>
            <w:tcW w:w="64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工资福利支出</w:t>
            </w:r>
          </w:p>
        </w:tc>
        <w:tc>
          <w:tcPr>
            <w:tcW w:w="81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商品和服务支出</w:t>
            </w:r>
          </w:p>
        </w:tc>
        <w:tc>
          <w:tcPr>
            <w:tcW w:w="79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对个人和家庭的补助</w:t>
            </w:r>
          </w:p>
        </w:tc>
        <w:tc>
          <w:tcPr>
            <w:tcW w:w="76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债务利息及费用支出</w:t>
            </w:r>
          </w:p>
        </w:tc>
        <w:tc>
          <w:tcPr>
            <w:tcW w:w="76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资本性支出（基本建设）</w:t>
            </w:r>
          </w:p>
        </w:tc>
        <w:tc>
          <w:tcPr>
            <w:tcW w:w="63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资本性支出</w:t>
            </w:r>
          </w:p>
        </w:tc>
        <w:tc>
          <w:tcPr>
            <w:tcW w:w="76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对企业补助（基本建设）</w:t>
            </w:r>
          </w:p>
        </w:tc>
        <w:tc>
          <w:tcPr>
            <w:tcW w:w="63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对企业补助</w:t>
            </w:r>
          </w:p>
        </w:tc>
        <w:tc>
          <w:tcPr>
            <w:tcW w:w="70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对社会保障基金补助</w:t>
            </w:r>
          </w:p>
        </w:tc>
        <w:tc>
          <w:tcPr>
            <w:tcW w:w="533"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 w:type="dxa"/>
            <w:tcBorders>
              <w:bottom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tc>
        <w:tc>
          <w:tcPr>
            <w:tcW w:w="500" w:type="dxa"/>
            <w:tcBorders>
              <w:bottom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tc>
        <w:tc>
          <w:tcPr>
            <w:tcW w:w="484" w:type="dxa"/>
            <w:tcBorders>
              <w:bottom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tc>
        <w:tc>
          <w:tcPr>
            <w:tcW w:w="278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6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bookmarkStart w:id="24" w:name="OLE_LINK27"/>
            <w:bookmarkStart w:id="25" w:name="OLE_LINK30" w:colFirst="5" w:colLast="8"/>
            <w:r>
              <w:rPr>
                <w:rFonts w:hint="eastAsia" w:ascii="Calibri" w:hAnsi="Calibri" w:eastAsia="宋体" w:cs="Times New Roman"/>
                <w:color w:val="000000"/>
                <w:sz w:val="18"/>
                <w:szCs w:val="18"/>
                <w:lang w:val="en-US" w:eastAsia="zh-CN"/>
              </w:rPr>
              <w:t>201</w:t>
            </w:r>
            <w:bookmarkEnd w:id="24"/>
          </w:p>
        </w:tc>
        <w:tc>
          <w:tcPr>
            <w:tcW w:w="500" w:type="dxa"/>
            <w:noWrap w:val="0"/>
            <w:vAlign w:val="center"/>
          </w:tcPr>
          <w:p>
            <w:pPr>
              <w:jc w:val="center"/>
              <w:rPr>
                <w:rFonts w:hint="eastAsia" w:ascii="Calibri" w:hAnsi="Calibri" w:eastAsia="宋体" w:cs="Times New Roman"/>
                <w:color w:val="000000"/>
                <w:sz w:val="18"/>
                <w:szCs w:val="18"/>
                <w:lang w:val="en-US" w:eastAsia="zh-Hans"/>
              </w:rPr>
            </w:pP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一般公共服务支出</w:t>
            </w:r>
          </w:p>
        </w:tc>
        <w:tc>
          <w:tcPr>
            <w:tcW w:w="2670" w:type="dxa"/>
            <w:noWrap w:val="0"/>
            <w:vAlign w:val="center"/>
          </w:tcPr>
          <w:p>
            <w:pPr>
              <w:jc w:val="center"/>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210.00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18</w:t>
            </w: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bookmarkStart w:id="26" w:name="OLE_LINK28"/>
            <w:r>
              <w:rPr>
                <w:rFonts w:hint="eastAsia" w:ascii="Calibri" w:hAnsi="Calibri" w:eastAsia="宋体" w:cs="Times New Roman"/>
                <w:color w:val="000000"/>
                <w:sz w:val="18"/>
                <w:szCs w:val="18"/>
                <w:lang w:val="en-US" w:eastAsia="zh-CN"/>
              </w:rPr>
              <w:t>33</w:t>
            </w:r>
            <w:bookmarkEnd w:id="26"/>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ind w:firstLine="180" w:firstLineChars="1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宣传事务</w:t>
            </w:r>
          </w:p>
        </w:tc>
        <w:tc>
          <w:tcPr>
            <w:tcW w:w="2670" w:type="dxa"/>
            <w:noWrap w:val="0"/>
            <w:vAlign w:val="center"/>
          </w:tcPr>
          <w:p>
            <w:pPr>
              <w:jc w:val="center"/>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210.00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18</w:t>
            </w: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bookmarkStart w:id="27" w:name="OLE_LINK29"/>
            <w:r>
              <w:rPr>
                <w:rFonts w:hint="eastAsia" w:ascii="Calibri" w:hAnsi="Calibri" w:eastAsia="宋体" w:cs="Times New Roman"/>
                <w:color w:val="000000"/>
                <w:sz w:val="18"/>
                <w:szCs w:val="18"/>
                <w:lang w:val="en-US" w:eastAsia="zh-CN"/>
              </w:rPr>
              <w:t>一般行政管理事务</w:t>
            </w:r>
            <w:bookmarkEnd w:id="27"/>
          </w:p>
        </w:tc>
        <w:tc>
          <w:tcPr>
            <w:tcW w:w="2670" w:type="dxa"/>
            <w:noWrap w:val="0"/>
            <w:vAlign w:val="center"/>
          </w:tcPr>
          <w:p>
            <w:pPr>
              <w:jc w:val="center"/>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210.00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18</w:t>
            </w: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正版办公软件场地授权及软件管理系统续费（非定额）</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呼图壁县2026年党报党刊征订费（非定额）</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160.00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160.00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文艺创作扶持奖励资金（非定额）</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w:t>
            </w:r>
            <w:r>
              <w:rPr>
                <w:rFonts w:hint="eastAsia" w:ascii="Calibri" w:hAnsi="Calibri" w:eastAsia="宋体" w:cs="Times New Roman"/>
                <w:color w:val="000000"/>
                <w:sz w:val="18"/>
                <w:szCs w:val="18"/>
                <w:lang w:val="en-US" w:eastAsia="zh-CN"/>
              </w:rPr>
              <w:t>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bookmarkStart w:id="28" w:name="OLE_LINK31"/>
            <w:bookmarkStart w:id="29" w:name="OLE_LINK32" w:colFirst="5" w:colLast="7"/>
            <w:r>
              <w:rPr>
                <w:rFonts w:hint="eastAsia" w:ascii="Calibri" w:hAnsi="Calibri" w:eastAsia="宋体" w:cs="Times New Roman"/>
                <w:color w:val="000000"/>
                <w:sz w:val="18"/>
                <w:szCs w:val="18"/>
                <w:lang w:val="en-US" w:eastAsia="zh-CN"/>
              </w:rPr>
              <w:t>207</w:t>
            </w:r>
            <w:bookmarkEnd w:id="28"/>
          </w:p>
        </w:tc>
        <w:tc>
          <w:tcPr>
            <w:tcW w:w="500" w:type="dxa"/>
            <w:noWrap w:val="0"/>
            <w:vAlign w:val="center"/>
          </w:tcPr>
          <w:p>
            <w:pPr>
              <w:jc w:val="center"/>
              <w:rPr>
                <w:rFonts w:hint="default" w:ascii="Calibri" w:hAnsi="Calibri" w:eastAsia="宋体" w:cs="Times New Roman"/>
                <w:color w:val="000000"/>
                <w:sz w:val="18"/>
                <w:szCs w:val="18"/>
                <w:lang w:val="en-US" w:eastAsia="zh-CN"/>
              </w:rPr>
            </w:pP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both"/>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文化旅游体育与传媒支出</w:t>
            </w:r>
          </w:p>
        </w:tc>
        <w:tc>
          <w:tcPr>
            <w:tcW w:w="2670" w:type="dxa"/>
            <w:noWrap w:val="0"/>
            <w:vAlign w:val="center"/>
          </w:tcPr>
          <w:p>
            <w:pPr>
              <w:jc w:val="left"/>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207</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left"/>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 xml:space="preserve"> </w:t>
            </w:r>
            <w:r>
              <w:rPr>
                <w:rFonts w:hint="default" w:ascii="Calibri" w:hAnsi="Calibri" w:eastAsia="宋体" w:cs="Times New Roman"/>
                <w:color w:val="000000"/>
                <w:sz w:val="18"/>
                <w:szCs w:val="18"/>
                <w:lang w:val="en-US" w:eastAsia="zh-CN"/>
              </w:rPr>
              <w:t>其他文化旅游体育与传媒支出</w:t>
            </w:r>
          </w:p>
        </w:tc>
        <w:tc>
          <w:tcPr>
            <w:tcW w:w="2670" w:type="dxa"/>
            <w:noWrap w:val="0"/>
            <w:vAlign w:val="center"/>
          </w:tcPr>
          <w:p>
            <w:pPr>
              <w:jc w:val="left"/>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207</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2785" w:type="dxa"/>
            <w:noWrap w:val="0"/>
            <w:vAlign w:val="center"/>
          </w:tcPr>
          <w:p>
            <w:pPr>
              <w:jc w:val="left"/>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 xml:space="preserve">  </w:t>
            </w:r>
            <w:r>
              <w:rPr>
                <w:rFonts w:hint="default" w:ascii="Calibri" w:hAnsi="Calibri" w:eastAsia="宋体" w:cs="Times New Roman"/>
                <w:color w:val="000000"/>
                <w:sz w:val="18"/>
                <w:szCs w:val="18"/>
                <w:lang w:val="en-US" w:eastAsia="zh-CN"/>
              </w:rPr>
              <w:t>其他文化旅游体育与传媒支出</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2025年少数民族和边疆地区文化安全补助资金</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p>
        </w:tc>
        <w:tc>
          <w:tcPr>
            <w:tcW w:w="500" w:type="dxa"/>
            <w:noWrap w:val="0"/>
            <w:vAlign w:val="center"/>
          </w:tcPr>
          <w:p>
            <w:pPr>
              <w:jc w:val="center"/>
              <w:rPr>
                <w:rFonts w:hint="default" w:ascii="Calibri" w:hAnsi="Calibri" w:eastAsia="宋体" w:cs="Times New Roman"/>
                <w:color w:val="000000"/>
                <w:sz w:val="18"/>
                <w:szCs w:val="18"/>
                <w:lang w:val="en-US" w:eastAsia="zh-CN"/>
              </w:rPr>
            </w:pP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center"/>
              <w:rPr>
                <w:rFonts w:hint="default" w:ascii="Calibri" w:hAnsi="Calibri" w:eastAsia="宋体" w:cs="Times New Roman"/>
                <w:color w:val="000000"/>
                <w:sz w:val="18"/>
                <w:szCs w:val="18"/>
                <w:lang w:val="en-US" w:eastAsia="zh-CN"/>
              </w:rPr>
            </w:pPr>
          </w:p>
        </w:tc>
        <w:tc>
          <w:tcPr>
            <w:tcW w:w="2670" w:type="dxa"/>
            <w:noWrap w:val="0"/>
            <w:vAlign w:val="center"/>
          </w:tcPr>
          <w:p>
            <w:pPr>
              <w:jc w:val="cente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合 计</w:t>
            </w:r>
          </w:p>
        </w:tc>
        <w:tc>
          <w:tcPr>
            <w:tcW w:w="825" w:type="dxa"/>
            <w:noWrap w:val="0"/>
            <w:vAlign w:val="center"/>
          </w:tcPr>
          <w:p>
            <w:pPr>
              <w:jc w:val="cente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215.00</w:t>
            </w:r>
          </w:p>
        </w:tc>
        <w:tc>
          <w:tcPr>
            <w:tcW w:w="645" w:type="dxa"/>
            <w:noWrap w:val="0"/>
            <w:vAlign w:val="center"/>
          </w:tcPr>
          <w:p>
            <w:pPr>
              <w:jc w:val="center"/>
              <w:rPr>
                <w:rFonts w:hint="default" w:ascii="Calibri" w:hAnsi="Calibri" w:eastAsia="宋体" w:cs="Times New Roman"/>
                <w:b/>
                <w:bCs/>
                <w:color w:val="000000"/>
                <w:sz w:val="18"/>
                <w:szCs w:val="18"/>
                <w:lang w:val="en-US" w:eastAsia="zh-CN"/>
              </w:rPr>
            </w:pPr>
          </w:p>
        </w:tc>
        <w:tc>
          <w:tcPr>
            <w:tcW w:w="810" w:type="dxa"/>
            <w:noWrap w:val="0"/>
            <w:vAlign w:val="center"/>
          </w:tcPr>
          <w:p>
            <w:pPr>
              <w:jc w:val="both"/>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190.00</w:t>
            </w:r>
          </w:p>
        </w:tc>
        <w:tc>
          <w:tcPr>
            <w:tcW w:w="795" w:type="dxa"/>
            <w:noWrap w:val="0"/>
            <w:vAlign w:val="center"/>
          </w:tcPr>
          <w:p>
            <w:pPr>
              <w:jc w:val="both"/>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15"/>
          <w:szCs w:val="15"/>
          <w:highlight w:val="none"/>
          <w:u w:val="none"/>
          <w:lang w:val="en-US" w:eastAsia="zh-CN" w:bidi="ar"/>
        </w:rPr>
        <w:sectPr>
          <w:pgSz w:w="16838" w:h="11906" w:orient="landscape"/>
          <w:pgMar w:top="1531" w:right="2098" w:bottom="1417"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jc w:val="both"/>
        <w:rPr>
          <w:rFonts w:hint="default" w:ascii="仿宋" w:hAnsi="宋体" w:eastAsia="仿宋" w:cs="Times New Roman"/>
          <w:b/>
          <w:color w:val="000000"/>
          <w:sz w:val="28"/>
          <w:szCs w:val="28"/>
          <w:lang w:eastAsia="zh-CN"/>
        </w:rPr>
      </w:pPr>
      <w:r>
        <w:rPr>
          <w:rFonts w:hint="eastAsia" w:ascii="宋体" w:hAnsi="宋体" w:eastAsia="宋体" w:cs="宋体"/>
          <w:i w:val="0"/>
          <w:color w:val="auto"/>
          <w:kern w:val="0"/>
          <w:sz w:val="15"/>
          <w:szCs w:val="15"/>
          <w:highlight w:val="none"/>
          <w:u w:val="none"/>
          <w:lang w:val="en-US" w:eastAsia="zh-CN" w:bidi="ar"/>
        </w:rPr>
        <w:t>表</w:t>
      </w:r>
      <w:r>
        <w:rPr>
          <w:rFonts w:hint="default" w:ascii="宋体" w:hAnsi="宋体" w:eastAsia="宋体" w:cs="宋体"/>
          <w:i w:val="0"/>
          <w:color w:val="auto"/>
          <w:kern w:val="0"/>
          <w:sz w:val="15"/>
          <w:szCs w:val="15"/>
          <w:highlight w:val="none"/>
          <w:u w:val="none"/>
          <w:lang w:eastAsia="zh-CN" w:bidi="ar"/>
        </w:rPr>
        <w:t>8</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CN"/>
        </w:rPr>
        <w:t>政府性基金预算支出</w:t>
      </w:r>
      <w:r>
        <w:rPr>
          <w:rFonts w:hint="eastAsia" w:ascii="仿宋" w:hAnsi="宋体" w:eastAsia="仿宋" w:cs="Times New Roman"/>
          <w:b/>
          <w:color w:val="000000"/>
          <w:sz w:val="28"/>
          <w:szCs w:val="28"/>
        </w:rPr>
        <w:t>情况表</w:t>
      </w:r>
    </w:p>
    <w:p>
      <w:pPr>
        <w:widowControl/>
        <w:spacing w:line="280" w:lineRule="exact"/>
        <w:outlineLvl w:val="1"/>
        <w:rPr>
          <w:rFonts w:hint="eastAsia" w:ascii="Calibri" w:hAnsi="Calibri" w:eastAsia="宋体" w:cs="Times New Roman"/>
          <w:sz w:val="18"/>
          <w:szCs w:val="18"/>
          <w:lang w:val="en-US" w:eastAsia="zh-CN"/>
        </w:rPr>
      </w:pPr>
    </w:p>
    <w:p>
      <w:pPr>
        <w:widowControl/>
        <w:spacing w:line="280" w:lineRule="exact"/>
        <w:outlineLvl w:val="1"/>
        <w:rPr>
          <w:rFonts w:ascii="仿宋_GB2312" w:hAnsi="宋体" w:eastAsia="仿宋_GB2312"/>
          <w:color w:val="auto"/>
          <w:kern w:val="0"/>
          <w:sz w:val="20"/>
          <w:szCs w:val="20"/>
          <w:highlight w:val="none"/>
        </w:rPr>
      </w:pPr>
      <w:r>
        <w:rPr>
          <w:rFonts w:hint="eastAsia" w:ascii="Calibri" w:hAnsi="Calibri" w:eastAsia="宋体" w:cs="Times New Roman"/>
          <w:sz w:val="18"/>
          <w:szCs w:val="18"/>
          <w:lang w:val="en-US" w:eastAsia="zh-CN"/>
        </w:rPr>
        <w:t>编制部门：中共呼图壁县委员会宣传部</w:t>
      </w:r>
      <w:r>
        <w:rPr>
          <w:rFonts w:hint="eastAsia" w:ascii="仿宋_GB2312" w:hAnsi="宋体" w:eastAsia="仿宋_GB2312"/>
          <w:color w:val="auto"/>
          <w:kern w:val="0"/>
          <w:sz w:val="20"/>
          <w:szCs w:val="20"/>
          <w:highlight w:val="none"/>
        </w:rPr>
        <w:t xml:space="preserve">                              </w:t>
      </w:r>
      <w:r>
        <w:rPr>
          <w:rFonts w:hint="eastAsia" w:ascii="仿宋_GB2312" w:hAnsi="宋体" w:eastAsia="仿宋_GB2312"/>
          <w:color w:val="auto"/>
          <w:kern w:val="0"/>
          <w:sz w:val="20"/>
          <w:szCs w:val="20"/>
          <w:highlight w:val="none"/>
          <w:lang w:val="en-US" w:eastAsia="zh-CN"/>
        </w:rPr>
        <w:t xml:space="preserve">                    </w:t>
      </w:r>
      <w:r>
        <w:rPr>
          <w:rFonts w:hint="eastAsia" w:ascii="Calibri" w:hAnsi="Calibri" w:eastAsia="宋体" w:cs="Times New Roman"/>
          <w:sz w:val="18"/>
          <w:szCs w:val="18"/>
          <w:lang w:val="en-US" w:eastAsia="zh-CN"/>
        </w:rPr>
        <w:t>单位：万元</w:t>
      </w:r>
    </w:p>
    <w:tbl>
      <w:tblPr>
        <w:tblStyle w:val="12"/>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科</w:t>
            </w:r>
            <w:r>
              <w:rPr>
                <w:rFonts w:hint="eastAsia" w:ascii="Calibri" w:hAnsi="Calibri" w:eastAsia="宋体" w:cs="Times New Roman"/>
                <w:sz w:val="18"/>
                <w:szCs w:val="18"/>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政府性基金预算</w:t>
            </w:r>
            <w:r>
              <w:rPr>
                <w:rFonts w:hint="eastAsia" w:ascii="Calibri" w:hAnsi="Calibri" w:eastAsia="宋体" w:cs="Times New Roman"/>
                <w:sz w:val="18"/>
                <w:szCs w:val="18"/>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功能分类科目编码</w:t>
            </w:r>
          </w:p>
        </w:tc>
        <w:tc>
          <w:tcPr>
            <w:tcW w:w="2357"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功能分类科目名称</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374"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合 计</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157" w:type="dxa"/>
            <w:gridSpan w:val="2"/>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398"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8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56"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p>
        </w:tc>
        <w:tc>
          <w:tcPr>
            <w:tcW w:w="1055"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人员经费</w:t>
            </w:r>
            <w:r>
              <w:rPr>
                <w:rFonts w:hint="eastAsia" w:ascii="Calibri" w:hAnsi="Calibri" w:eastAsia="宋体" w:cs="Times New Roman"/>
                <w:sz w:val="18"/>
                <w:szCs w:val="18"/>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2"/>
                <w:szCs w:val="22"/>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bookmarkStart w:id="30" w:name="OLE_LINK34"/>
      <w:r>
        <w:rPr>
          <w:rFonts w:hint="eastAsia" w:ascii="仿宋" w:hAnsi="Calibri" w:eastAsia="仿宋" w:cs="Times New Roman"/>
          <w:b/>
          <w:color w:val="000000"/>
          <w:szCs w:val="21"/>
          <w:lang w:val="en-US" w:eastAsia="zh-CN"/>
        </w:rPr>
        <w:t>中共呼图壁县委员会宣传部2025年没有使用政府性基金预算支出，政府性基金预算支出情况表为空表。</w:t>
      </w:r>
      <w:bookmarkEnd w:id="30"/>
    </w:p>
    <w:p>
      <w:pPr>
        <w:jc w:val="both"/>
        <w:rPr>
          <w:rFonts w:hint="eastAsia" w:ascii="宋体" w:hAnsi="宋体" w:eastAsia="宋体" w:cs="Times New Roman"/>
          <w:color w:val="000000"/>
          <w:sz w:val="18"/>
          <w:szCs w:val="18"/>
          <w:lang w:val="en-US" w:eastAsia="zh-CN"/>
        </w:rPr>
      </w:pPr>
    </w:p>
    <w:p>
      <w:pPr>
        <w:jc w:val="both"/>
        <w:rPr>
          <w:rFonts w:hint="default" w:ascii="仿宋" w:hAnsi="宋体" w:eastAsia="仿宋" w:cs="Times New Roman"/>
          <w:b/>
          <w:color w:val="000000"/>
          <w:sz w:val="28"/>
          <w:szCs w:val="28"/>
          <w:lang w:val="en-US"/>
        </w:rPr>
      </w:pPr>
      <w:r>
        <w:rPr>
          <w:rFonts w:hint="eastAsia" w:ascii="宋体" w:hAnsi="宋体" w:eastAsia="宋体" w:cs="Times New Roman"/>
          <w:color w:val="000000"/>
          <w:sz w:val="18"/>
          <w:szCs w:val="18"/>
          <w:lang w:val="en-US" w:eastAsia="zh-CN"/>
        </w:rPr>
        <w:t>表9</w:t>
      </w:r>
    </w:p>
    <w:p>
      <w:pPr>
        <w:jc w:val="center"/>
        <w:rPr>
          <w:rFonts w:hint="eastAsia" w:ascii="仿宋" w:hAnsi="宋体" w:eastAsia="仿宋" w:cs="Times New Roman"/>
          <w:b/>
          <w:color w:val="000000"/>
          <w:sz w:val="28"/>
          <w:szCs w:val="28"/>
          <w:lang w:val="en-US" w:eastAsia="zh-CN"/>
        </w:rPr>
      </w:pPr>
      <w:r>
        <w:rPr>
          <w:rFonts w:hint="eastAsia" w:ascii="仿宋" w:hAnsi="宋体" w:eastAsia="仿宋" w:cs="Times New Roman"/>
          <w:b/>
          <w:color w:val="000000"/>
          <w:sz w:val="28"/>
          <w:szCs w:val="28"/>
          <w:lang w:val="en-US" w:eastAsia="zh-CN"/>
        </w:rPr>
        <w:t>国有资本经营预算支出情况表</w:t>
      </w:r>
    </w:p>
    <w:p>
      <w:pPr>
        <w:widowControl/>
        <w:spacing w:line="280" w:lineRule="exact"/>
        <w:outlineLvl w:val="1"/>
        <w:rPr>
          <w:rFonts w:hint="eastAsia" w:ascii="Calibri" w:hAnsi="Calibri" w:eastAsia="宋体" w:cs="Times New Roman"/>
          <w:sz w:val="18"/>
          <w:szCs w:val="18"/>
          <w:lang w:val="en-US" w:eastAsia="zh-CN"/>
        </w:rPr>
      </w:pPr>
    </w:p>
    <w:p>
      <w:pPr>
        <w:widowControl/>
        <w:spacing w:line="280" w:lineRule="exact"/>
        <w:outlineLvl w:val="1"/>
        <w:rPr>
          <w:rFonts w:ascii="仿宋_GB2312" w:hAnsi="宋体" w:eastAsia="仿宋_GB2312"/>
          <w:color w:val="auto"/>
          <w:kern w:val="0"/>
          <w:sz w:val="24"/>
          <w:highlight w:val="none"/>
        </w:rPr>
      </w:pPr>
      <w:r>
        <w:rPr>
          <w:rFonts w:hint="eastAsia" w:ascii="Calibri" w:hAnsi="Calibri" w:eastAsia="宋体" w:cs="Times New Roman"/>
          <w:sz w:val="18"/>
          <w:szCs w:val="18"/>
          <w:lang w:val="en-US" w:eastAsia="zh-CN"/>
        </w:rPr>
        <w:t>编制部门：中共呼图壁县委员会宣传部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sz w:val="18"/>
          <w:szCs w:val="18"/>
          <w:lang w:val="en-US" w:eastAsia="zh-CN"/>
        </w:rPr>
        <w:t>单位：万元</w:t>
      </w:r>
    </w:p>
    <w:tbl>
      <w:tblPr>
        <w:tblStyle w:val="12"/>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科</w:t>
            </w:r>
            <w:r>
              <w:rPr>
                <w:rFonts w:hint="eastAsia" w:ascii="Calibri" w:hAnsi="Calibri" w:eastAsia="宋体" w:cs="Times New Roman"/>
                <w:sz w:val="18"/>
                <w:szCs w:val="18"/>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国有资本经营预算</w:t>
            </w:r>
            <w:r>
              <w:rPr>
                <w:rFonts w:hint="eastAsia" w:ascii="Calibri" w:hAnsi="Calibri" w:eastAsia="宋体" w:cs="Times New Roman"/>
                <w:sz w:val="18"/>
                <w:szCs w:val="18"/>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功能分类科目编码</w:t>
            </w:r>
          </w:p>
        </w:tc>
        <w:tc>
          <w:tcPr>
            <w:tcW w:w="2357"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功能分类科目名称</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374"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合 计</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157" w:type="dxa"/>
            <w:gridSpan w:val="2"/>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398"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8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56"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357" w:type="dxa"/>
            <w:vMerge w:val="continue"/>
            <w:tcBorders>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c>
          <w:tcPr>
            <w:tcW w:w="1374" w:type="dxa"/>
            <w:vMerge w:val="continue"/>
            <w:tcBorders>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c>
          <w:tcPr>
            <w:tcW w:w="1055"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人员经费</w:t>
            </w:r>
            <w:r>
              <w:rPr>
                <w:rFonts w:hint="eastAsia" w:ascii="Calibri" w:hAnsi="Calibri" w:eastAsia="宋体" w:cs="Times New Roman"/>
                <w:sz w:val="18"/>
                <w:szCs w:val="18"/>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055"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c>
          <w:tcPr>
            <w:tcW w:w="1398"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 w:hAnsi="Calibri" w:eastAsia="仿宋" w:cs="Times New Roman"/>
          <w:b/>
          <w:color w:val="000000"/>
          <w:szCs w:val="21"/>
          <w:lang w:val="en-US" w:eastAsia="zh-CN"/>
        </w:rPr>
      </w:pPr>
      <w:r>
        <w:rPr>
          <w:rFonts w:hint="eastAsia" w:ascii="仿宋" w:hAnsi="Calibri" w:eastAsia="仿宋" w:cs="Times New Roman"/>
          <w:b/>
          <w:color w:val="000000"/>
          <w:szCs w:val="21"/>
          <w:lang w:val="en-US" w:eastAsia="zh-CN"/>
        </w:rPr>
        <w:t>中共呼图壁县委员会宣传部2025年没有使用</w:t>
      </w:r>
      <w:bookmarkStart w:id="31" w:name="OLE_LINK35"/>
      <w:r>
        <w:rPr>
          <w:rFonts w:hint="eastAsia" w:ascii="仿宋" w:hAnsi="Calibri" w:eastAsia="仿宋" w:cs="Times New Roman"/>
          <w:b/>
          <w:color w:val="000000"/>
          <w:szCs w:val="21"/>
          <w:lang w:val="en-US" w:eastAsia="zh-CN"/>
        </w:rPr>
        <w:t>国有资本经营预算支出</w:t>
      </w:r>
      <w:bookmarkEnd w:id="31"/>
      <w:r>
        <w:rPr>
          <w:rFonts w:hint="eastAsia" w:ascii="仿宋" w:hAnsi="Calibri" w:eastAsia="仿宋" w:cs="Times New Roman"/>
          <w:b/>
          <w:color w:val="000000"/>
          <w:szCs w:val="21"/>
          <w:lang w:val="en-US" w:eastAsia="zh-CN"/>
        </w:rPr>
        <w:t>，国有资本经营预算支出情况表为空表。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jc w:val="both"/>
        <w:rPr>
          <w:rFonts w:hint="default" w:ascii="仿宋" w:hAnsi="宋体" w:eastAsia="仿宋" w:cs="Times New Roman"/>
          <w:b/>
          <w:color w:val="000000"/>
          <w:sz w:val="28"/>
          <w:szCs w:val="28"/>
          <w:lang w:eastAsia="zh-CN"/>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Hans"/>
        </w:rPr>
        <w:t>财政拨款</w:t>
      </w:r>
      <w:r>
        <w:rPr>
          <w:rFonts w:hint="eastAsia" w:ascii="仿宋" w:hAnsi="宋体" w:eastAsia="仿宋" w:cs="Times New Roman"/>
          <w:b/>
          <w:color w:val="000000"/>
          <w:sz w:val="28"/>
          <w:szCs w:val="28"/>
        </w:rPr>
        <w:t>“三公”经费支出情况表</w:t>
      </w:r>
    </w:p>
    <w:p>
      <w:pPr>
        <w:jc w:val="both"/>
        <w:rPr>
          <w:rFonts w:hint="eastAsia" w:ascii="Calibri" w:hAnsi="Calibri" w:eastAsia="宋体" w:cs="Times New Roman"/>
          <w:color w:val="000000"/>
          <w:sz w:val="18"/>
          <w:szCs w:val="18"/>
        </w:rPr>
      </w:pPr>
    </w:p>
    <w:p>
      <w:pPr>
        <w:jc w:val="both"/>
        <w:rPr>
          <w:rFonts w:ascii="仿宋_GB2312" w:hAnsi="宋体" w:eastAsia="仿宋_GB2312"/>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3"/>
        <w:tblW w:w="8968" w:type="dxa"/>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9"/>
        <w:gridCol w:w="1215"/>
        <w:gridCol w:w="1314"/>
        <w:gridCol w:w="1595"/>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vMerge w:val="restart"/>
            <w:noWrap w:val="0"/>
            <w:vAlign w:val="center"/>
          </w:tcPr>
          <w:p>
            <w:pPr>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eastAsia="zh-CN"/>
              </w:rPr>
              <w:t>“</w:t>
            </w:r>
            <w:r>
              <w:rPr>
                <w:rFonts w:hint="eastAsia" w:ascii="宋体" w:hAnsi="宋体" w:eastAsia="宋体" w:cs="Times New Roman"/>
                <w:color w:val="000000"/>
                <w:sz w:val="18"/>
                <w:szCs w:val="18"/>
              </w:rPr>
              <w:t>三公</w:t>
            </w:r>
            <w:r>
              <w:rPr>
                <w:rFonts w:hint="eastAsia" w:ascii="宋体" w:hAnsi="宋体" w:eastAsia="宋体" w:cs="Times New Roman"/>
                <w:color w:val="000000"/>
                <w:sz w:val="18"/>
                <w:szCs w:val="18"/>
                <w:lang w:eastAsia="zh-CN"/>
              </w:rPr>
              <w:t>”</w:t>
            </w:r>
            <w:r>
              <w:rPr>
                <w:rFonts w:hint="eastAsia" w:ascii="宋体" w:hAnsi="宋体" w:eastAsia="宋体" w:cs="Times New Roman"/>
                <w:color w:val="000000"/>
                <w:sz w:val="18"/>
                <w:szCs w:val="18"/>
                <w:lang w:val="en-US" w:eastAsia="zh-CN"/>
              </w:rPr>
              <w:t>经费</w:t>
            </w:r>
            <w:r>
              <w:rPr>
                <w:rFonts w:hint="eastAsia" w:ascii="宋体" w:hAnsi="宋体" w:eastAsia="宋体" w:cs="Times New Roman"/>
                <w:color w:val="000000"/>
                <w:sz w:val="18"/>
                <w:szCs w:val="18"/>
              </w:rPr>
              <w:t>支出内容</w:t>
            </w:r>
          </w:p>
        </w:tc>
        <w:tc>
          <w:tcPr>
            <w:tcW w:w="1215" w:type="dxa"/>
            <w:vMerge w:val="restart"/>
            <w:noWrap w:val="0"/>
            <w:vAlign w:val="center"/>
          </w:tcPr>
          <w:p>
            <w:pPr>
              <w:jc w:val="center"/>
              <w:rPr>
                <w:rFonts w:hint="eastAsia" w:ascii="宋体" w:hAnsi="宋体" w:eastAsia="宋体" w:cs="Times New Roman"/>
                <w:color w:val="000000"/>
                <w:sz w:val="18"/>
                <w:szCs w:val="18"/>
                <w:lang w:val="en-US" w:eastAsia="zh-Hans"/>
              </w:rPr>
            </w:pPr>
            <w:r>
              <w:rPr>
                <w:rFonts w:hint="eastAsia" w:ascii="宋体" w:hAnsi="宋体" w:eastAsia="宋体" w:cs="Times New Roman"/>
                <w:color w:val="000000"/>
                <w:sz w:val="18"/>
                <w:szCs w:val="18"/>
                <w:lang w:val="en-US" w:eastAsia="zh-Hans"/>
              </w:rPr>
              <w:t>合计</w:t>
            </w:r>
          </w:p>
        </w:tc>
        <w:tc>
          <w:tcPr>
            <w:tcW w:w="4524" w:type="dxa"/>
            <w:gridSpan w:val="3"/>
            <w:noWrap w:val="0"/>
            <w:vAlign w:val="center"/>
          </w:tcPr>
          <w:p>
            <w:pPr>
              <w:jc w:val="center"/>
              <w:rPr>
                <w:rFonts w:hint="eastAsia" w:ascii="宋体" w:hAnsi="宋体" w:eastAsia="宋体" w:cs="Times New Roman"/>
                <w:color w:val="000000"/>
                <w:sz w:val="18"/>
                <w:szCs w:val="18"/>
                <w:lang w:val="en-US" w:eastAsia="zh-Hans"/>
              </w:rPr>
            </w:pPr>
            <w:r>
              <w:rPr>
                <w:rFonts w:hint="eastAsia" w:ascii="宋体" w:hAnsi="宋体" w:eastAsia="宋体" w:cs="Times New Roman"/>
                <w:color w:val="000000"/>
                <w:sz w:val="18"/>
                <w:szCs w:val="18"/>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vMerge w:val="continue"/>
            <w:noWrap w:val="0"/>
            <w:vAlign w:val="top"/>
          </w:tcPr>
          <w:p>
            <w:pPr>
              <w:jc w:val="center"/>
              <w:rPr>
                <w:rFonts w:hint="eastAsia" w:ascii="宋体" w:hAnsi="宋体" w:eastAsia="宋体" w:cs="Times New Roman"/>
                <w:color w:val="000000"/>
                <w:sz w:val="18"/>
                <w:szCs w:val="18"/>
              </w:rPr>
            </w:pPr>
          </w:p>
        </w:tc>
        <w:tc>
          <w:tcPr>
            <w:tcW w:w="1215" w:type="dxa"/>
            <w:vMerge w:val="continue"/>
            <w:noWrap w:val="0"/>
            <w:vAlign w:val="top"/>
          </w:tcPr>
          <w:p>
            <w:pPr>
              <w:jc w:val="center"/>
              <w:rPr>
                <w:rFonts w:hint="eastAsia" w:ascii="宋体" w:hAnsi="宋体" w:eastAsia="宋体" w:cs="Times New Roman"/>
                <w:color w:val="000000"/>
                <w:sz w:val="18"/>
                <w:szCs w:val="18"/>
              </w:rPr>
            </w:pPr>
          </w:p>
        </w:tc>
        <w:tc>
          <w:tcPr>
            <w:tcW w:w="1314" w:type="dxa"/>
            <w:noWrap w:val="0"/>
            <w:vAlign w:val="center"/>
          </w:tcPr>
          <w:p>
            <w:pPr>
              <w:jc w:val="center"/>
              <w:rPr>
                <w:rFonts w:hint="eastAsia" w:ascii="宋体" w:hAnsi="宋体" w:eastAsia="宋体" w:cs="Times New Roman"/>
                <w:color w:val="000000"/>
                <w:sz w:val="18"/>
                <w:szCs w:val="18"/>
                <w:lang w:val="en-US" w:eastAsia="zh-Hans"/>
              </w:rPr>
            </w:pPr>
            <w:r>
              <w:rPr>
                <w:rFonts w:hint="eastAsia" w:ascii="宋体" w:hAnsi="宋体" w:eastAsia="宋体" w:cs="Times New Roman"/>
                <w:color w:val="000000"/>
                <w:sz w:val="18"/>
                <w:szCs w:val="18"/>
                <w:lang w:val="en-US" w:eastAsia="zh-Hans"/>
              </w:rPr>
              <w:t>一般公共预算</w:t>
            </w:r>
          </w:p>
        </w:tc>
        <w:tc>
          <w:tcPr>
            <w:tcW w:w="1595" w:type="dxa"/>
            <w:noWrap w:val="0"/>
            <w:vAlign w:val="center"/>
          </w:tcPr>
          <w:p>
            <w:pPr>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政府性基金</w:t>
            </w:r>
          </w:p>
        </w:tc>
        <w:tc>
          <w:tcPr>
            <w:tcW w:w="1615" w:type="dxa"/>
            <w:noWrap w:val="0"/>
            <w:vAlign w:val="center"/>
          </w:tcPr>
          <w:p>
            <w:pPr>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合计</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6.90</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6.9</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因公出国（境）费</w:t>
            </w:r>
          </w:p>
        </w:tc>
        <w:tc>
          <w:tcPr>
            <w:tcW w:w="1215" w:type="dxa"/>
            <w:noWrap w:val="0"/>
            <w:vAlign w:val="top"/>
          </w:tcPr>
          <w:p>
            <w:pPr>
              <w:jc w:val="center"/>
              <w:rPr>
                <w:rFonts w:hint="eastAsia" w:ascii="宋体" w:hAnsi="宋体" w:eastAsia="宋体" w:cs="Times New Roman"/>
                <w:kern w:val="0"/>
                <w:sz w:val="18"/>
                <w:szCs w:val="18"/>
              </w:rPr>
            </w:pPr>
          </w:p>
        </w:tc>
        <w:tc>
          <w:tcPr>
            <w:tcW w:w="1314" w:type="dxa"/>
            <w:noWrap w:val="0"/>
            <w:vAlign w:val="top"/>
          </w:tcPr>
          <w:p>
            <w:pPr>
              <w:jc w:val="center"/>
              <w:rPr>
                <w:rFonts w:hint="eastAsia" w:ascii="宋体" w:hAnsi="宋体" w:eastAsia="宋体" w:cs="Times New Roman"/>
                <w:kern w:val="0"/>
                <w:sz w:val="18"/>
                <w:szCs w:val="18"/>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公务接待费</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0.50</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0.50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公务用车购置及运行费</w:t>
            </w:r>
          </w:p>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（小计）</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6.4</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6.4</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top"/>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其中：公务用车购置费</w:t>
            </w:r>
          </w:p>
        </w:tc>
        <w:tc>
          <w:tcPr>
            <w:tcW w:w="1215" w:type="dxa"/>
            <w:noWrap w:val="0"/>
            <w:vAlign w:val="top"/>
          </w:tcPr>
          <w:p>
            <w:pPr>
              <w:jc w:val="center"/>
              <w:rPr>
                <w:rFonts w:hint="default" w:ascii="宋体" w:hAnsi="宋体" w:eastAsia="宋体" w:cs="Times New Roman"/>
                <w:kern w:val="0"/>
                <w:sz w:val="18"/>
                <w:szCs w:val="18"/>
              </w:rPr>
            </w:pPr>
          </w:p>
        </w:tc>
        <w:tc>
          <w:tcPr>
            <w:tcW w:w="1314" w:type="dxa"/>
            <w:noWrap w:val="0"/>
            <w:vAlign w:val="top"/>
          </w:tcPr>
          <w:p>
            <w:pPr>
              <w:jc w:val="center"/>
              <w:rPr>
                <w:rFonts w:hint="default" w:ascii="宋体" w:hAnsi="宋体" w:eastAsia="宋体" w:cs="Times New Roman"/>
                <w:kern w:val="0"/>
                <w:sz w:val="18"/>
                <w:szCs w:val="18"/>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top"/>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 xml:space="preserve">     </w:t>
            </w:r>
            <w:r>
              <w:rPr>
                <w:rFonts w:hint="default" w:ascii="宋体" w:hAnsi="宋体" w:eastAsia="宋体" w:cs="Times New Roman"/>
                <w:kern w:val="0"/>
                <w:sz w:val="18"/>
                <w:szCs w:val="18"/>
              </w:rPr>
              <w:t xml:space="preserve">  </w:t>
            </w:r>
            <w:r>
              <w:rPr>
                <w:rFonts w:hint="eastAsia" w:ascii="宋体" w:hAnsi="宋体" w:eastAsia="宋体" w:cs="Times New Roman"/>
                <w:kern w:val="0"/>
                <w:sz w:val="18"/>
                <w:szCs w:val="18"/>
              </w:rPr>
              <w:t xml:space="preserve"> 公务用车运行费</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6.40</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6.40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bidi w:val="0"/>
        <w:jc w:val="right"/>
        <w:rPr>
          <w:rFonts w:hint="eastAsia" w:ascii="Times New Roman" w:hAnsi="Times New Roman" w:eastAsia="宋体" w:cs="Times New Roman"/>
          <w:kern w:val="2"/>
          <w:sz w:val="21"/>
          <w:szCs w:val="24"/>
          <w:lang w:val="en-US" w:eastAsia="zh-CN" w:bidi="ar-SA"/>
        </w:rPr>
        <w:sectPr>
          <w:pgSz w:w="11906" w:h="16838"/>
          <w:pgMar w:top="2098" w:right="1417"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jc w:val="center"/>
        <w:rPr>
          <w:rFonts w:hint="eastAsia" w:ascii="仿宋" w:hAnsi="宋体" w:eastAsia="仿宋" w:cs="Times New Roman"/>
          <w:b/>
          <w:color w:val="000000"/>
          <w:sz w:val="28"/>
          <w:szCs w:val="28"/>
          <w:lang w:val="en-US" w:eastAsia="zh-Hans"/>
        </w:rPr>
      </w:pPr>
      <w:r>
        <w:rPr>
          <w:rFonts w:hint="eastAsia" w:ascii="仿宋" w:hAnsi="宋体" w:eastAsia="仿宋" w:cs="Times New Roman"/>
          <w:b/>
          <w:color w:val="000000"/>
          <w:sz w:val="28"/>
          <w:szCs w:val="28"/>
          <w:lang w:val="en-US" w:eastAsia="zh-Hans"/>
        </w:rPr>
        <w:t>上年结转</w:t>
      </w:r>
      <w:r>
        <w:rPr>
          <w:rFonts w:hint="eastAsia" w:ascii="仿宋" w:hAnsi="宋体" w:eastAsia="仿宋" w:cs="Times New Roman"/>
          <w:b/>
          <w:color w:val="000000"/>
          <w:sz w:val="28"/>
          <w:szCs w:val="28"/>
          <w:lang w:val="en-US" w:eastAsia="zh-CN"/>
        </w:rPr>
        <w:t>结余</w:t>
      </w:r>
      <w:r>
        <w:rPr>
          <w:rFonts w:hint="eastAsia" w:ascii="仿宋" w:hAnsi="宋体" w:eastAsia="仿宋" w:cs="Times New Roman"/>
          <w:b/>
          <w:color w:val="000000"/>
          <w:sz w:val="28"/>
          <w:szCs w:val="28"/>
          <w:lang w:val="en-US" w:eastAsia="zh-Hans"/>
        </w:rPr>
        <w:t>情况明细表</w:t>
      </w:r>
    </w:p>
    <w:p>
      <w:pPr>
        <w:jc w:val="both"/>
        <w:rPr>
          <w:rFonts w:hint="eastAsia" w:ascii="Calibri" w:hAnsi="Calibri" w:eastAsia="宋体" w:cs="Times New Roman"/>
          <w:color w:val="000000"/>
          <w:sz w:val="18"/>
          <w:szCs w:val="18"/>
        </w:rPr>
      </w:pPr>
    </w:p>
    <w:p>
      <w:pPr>
        <w:ind w:firstLine="720" w:firstLineChars="400"/>
        <w:jc w:val="both"/>
        <w:rPr>
          <w:rFonts w:hint="eastAsia" w:ascii="Calibri" w:hAnsi="Calibri" w:eastAsia="宋体" w:cs="Times New Roman"/>
          <w:color w:val="000000"/>
          <w:sz w:val="18"/>
          <w:szCs w:val="18"/>
          <w:lang w:val="en-US" w:eastAsia="zh-Hans"/>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 xml:space="preserve">： </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3"/>
        <w:tblpPr w:leftFromText="180" w:rightFromText="180" w:vertAnchor="text" w:horzAnchor="page" w:tblpX="2100" w:tblpY="190"/>
        <w:tblOverlap w:val="never"/>
        <w:tblW w:w="12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870"/>
        <w:gridCol w:w="945"/>
        <w:gridCol w:w="1455"/>
        <w:gridCol w:w="1395"/>
        <w:gridCol w:w="1335"/>
        <w:gridCol w:w="975"/>
        <w:gridCol w:w="1395"/>
        <w:gridCol w:w="1260"/>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88" w:type="dxa"/>
            <w:vMerge w:val="restart"/>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项目</w:t>
            </w:r>
          </w:p>
        </w:tc>
        <w:tc>
          <w:tcPr>
            <w:tcW w:w="870" w:type="dxa"/>
            <w:vMerge w:val="restart"/>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合计</w:t>
            </w:r>
          </w:p>
        </w:tc>
        <w:tc>
          <w:tcPr>
            <w:tcW w:w="5130" w:type="dxa"/>
            <w:gridSpan w:val="4"/>
            <w:noWrap w:val="0"/>
            <w:vAlign w:val="center"/>
          </w:tcPr>
          <w:p>
            <w:pPr>
              <w:jc w:val="center"/>
              <w:rPr>
                <w:rFonts w:hint="eastAsia" w:ascii="Calibri" w:hAnsi="Calibri" w:eastAsia="宋体" w:cs="Times New Roman"/>
                <w:sz w:val="18"/>
                <w:szCs w:val="18"/>
                <w:lang w:eastAsia="zh-CN"/>
              </w:rPr>
            </w:pPr>
            <w:r>
              <w:rPr>
                <w:rFonts w:hint="eastAsia" w:ascii="Calibri" w:hAnsi="Calibri" w:eastAsia="宋体" w:cs="Times New Roman"/>
                <w:sz w:val="18"/>
                <w:szCs w:val="18"/>
                <w:lang w:val="en-US" w:eastAsia="zh-CN"/>
              </w:rPr>
              <w:t>财政拨款</w:t>
            </w:r>
          </w:p>
        </w:tc>
        <w:tc>
          <w:tcPr>
            <w:tcW w:w="4803" w:type="dxa"/>
            <w:gridSpan w:val="4"/>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8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7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Merge w:val="restart"/>
            <w:noWrap w:val="0"/>
            <w:vAlign w:val="center"/>
          </w:tcPr>
          <w:p>
            <w:pPr>
              <w:jc w:val="center"/>
              <w:rPr>
                <w:rFonts w:hint="eastAsia" w:ascii="Calibri" w:hAnsi="Calibri" w:eastAsia="宋体" w:cs="Times New Roman"/>
                <w:sz w:val="18"/>
                <w:szCs w:val="18"/>
                <w:lang w:eastAsia="zh-CN"/>
              </w:rPr>
            </w:pPr>
            <w:r>
              <w:rPr>
                <w:rFonts w:hint="eastAsia" w:ascii="Calibri" w:hAnsi="Calibri" w:eastAsia="宋体" w:cs="Times New Roman"/>
                <w:sz w:val="18"/>
                <w:szCs w:val="18"/>
                <w:lang w:val="en-US" w:eastAsia="zh-CN"/>
              </w:rPr>
              <w:t>小计</w:t>
            </w:r>
          </w:p>
        </w:tc>
        <w:tc>
          <w:tcPr>
            <w:tcW w:w="2850" w:type="dxa"/>
            <w:gridSpan w:val="2"/>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33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tc>
        <w:tc>
          <w:tcPr>
            <w:tcW w:w="975" w:type="dxa"/>
            <w:vMerge w:val="restart"/>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小计</w:t>
            </w:r>
          </w:p>
        </w:tc>
        <w:tc>
          <w:tcPr>
            <w:tcW w:w="2655" w:type="dxa"/>
            <w:gridSpan w:val="2"/>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173"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98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Merge w:val="continue"/>
            <w:noWrap w:val="0"/>
            <w:vAlign w:val="center"/>
          </w:tcPr>
          <w:p>
            <w:pPr>
              <w:jc w:val="center"/>
              <w:rPr>
                <w:rFonts w:hint="eastAsia" w:ascii="Calibri" w:hAnsi="Calibri" w:eastAsia="宋体" w:cs="Times New Roman"/>
                <w:sz w:val="18"/>
                <w:szCs w:val="18"/>
              </w:rPr>
            </w:pPr>
          </w:p>
        </w:tc>
        <w:tc>
          <w:tcPr>
            <w:tcW w:w="1455" w:type="dxa"/>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人员经费</w:t>
            </w:r>
          </w:p>
        </w:tc>
        <w:tc>
          <w:tcPr>
            <w:tcW w:w="1395" w:type="dxa"/>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公用经费</w:t>
            </w:r>
          </w:p>
        </w:tc>
        <w:tc>
          <w:tcPr>
            <w:tcW w:w="1335" w:type="dxa"/>
            <w:vMerge w:val="continue"/>
            <w:noWrap w:val="0"/>
            <w:vAlign w:val="center"/>
          </w:tcPr>
          <w:p>
            <w:pPr>
              <w:jc w:val="center"/>
              <w:rPr>
                <w:rFonts w:hint="eastAsia" w:ascii="Calibri" w:hAnsi="Calibri" w:eastAsia="宋体" w:cs="Times New Roman"/>
                <w:sz w:val="18"/>
                <w:szCs w:val="18"/>
              </w:rPr>
            </w:pPr>
          </w:p>
        </w:tc>
        <w:tc>
          <w:tcPr>
            <w:tcW w:w="975" w:type="dxa"/>
            <w:vMerge w:val="continue"/>
            <w:noWrap w:val="0"/>
            <w:vAlign w:val="center"/>
          </w:tcPr>
          <w:p>
            <w:pPr>
              <w:jc w:val="center"/>
              <w:rPr>
                <w:rFonts w:hint="eastAsia" w:ascii="Calibri" w:hAnsi="Calibri" w:eastAsia="宋体" w:cs="Times New Roman"/>
                <w:sz w:val="18"/>
                <w:szCs w:val="18"/>
              </w:rPr>
            </w:pPr>
          </w:p>
        </w:tc>
        <w:tc>
          <w:tcPr>
            <w:tcW w:w="1395" w:type="dxa"/>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人员经费</w:t>
            </w:r>
          </w:p>
        </w:tc>
        <w:tc>
          <w:tcPr>
            <w:tcW w:w="1260" w:type="dxa"/>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公用经费</w:t>
            </w:r>
          </w:p>
        </w:tc>
        <w:tc>
          <w:tcPr>
            <w:tcW w:w="1173" w:type="dxa"/>
            <w:vMerge w:val="continue"/>
            <w:noWrap w:val="0"/>
            <w:vAlign w:val="center"/>
          </w:tcPr>
          <w:p>
            <w:pPr>
              <w:jc w:val="center"/>
              <w:rPr>
                <w:rFonts w:hint="eastAsia" w:ascii="Calibri" w:hAnsi="Calibri" w:eastAsia="宋体" w:cs="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88" w:type="dxa"/>
            <w:noWrap w:val="0"/>
            <w:vAlign w:val="top"/>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Calibri" w:hAnsi="Calibri" w:eastAsia="宋体" w:cs="Times New Roman"/>
                <w:b/>
                <w:bCs/>
                <w:color w:val="000000"/>
                <w:kern w:val="2"/>
                <w:sz w:val="18"/>
                <w:szCs w:val="18"/>
                <w:lang w:val="en-US" w:eastAsia="zh-CN" w:bidi="ar-SA"/>
              </w:rPr>
            </w:pPr>
            <w:r>
              <w:rPr>
                <w:rFonts w:hint="eastAsia" w:ascii="Calibri" w:hAnsi="Calibri" w:eastAsia="宋体" w:cs="Times New Roman"/>
                <w:b/>
                <w:bCs/>
                <w:color w:val="000000"/>
                <w:sz w:val="18"/>
                <w:szCs w:val="18"/>
                <w:lang w:val="en-US" w:eastAsia="zh-CN"/>
              </w:rPr>
              <w:t>2024年访惠聚为民办实事</w:t>
            </w:r>
          </w:p>
        </w:tc>
        <w:tc>
          <w:tcPr>
            <w:tcW w:w="870"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1.50</w:t>
            </w:r>
          </w:p>
        </w:tc>
        <w:tc>
          <w:tcPr>
            <w:tcW w:w="94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1.50</w:t>
            </w:r>
          </w:p>
        </w:tc>
        <w:tc>
          <w:tcPr>
            <w:tcW w:w="145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9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3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1.50</w:t>
            </w:r>
          </w:p>
        </w:tc>
        <w:tc>
          <w:tcPr>
            <w:tcW w:w="975" w:type="dxa"/>
            <w:noWrap w:val="0"/>
            <w:vAlign w:val="top"/>
          </w:tcPr>
          <w:p>
            <w:pPr>
              <w:rPr>
                <w:rFonts w:hint="default" w:ascii="Calibri" w:hAnsi="Calibri" w:eastAsia="宋体" w:cs="Times New Roman"/>
                <w:color w:val="000000"/>
                <w:kern w:val="2"/>
                <w:sz w:val="18"/>
                <w:szCs w:val="18"/>
                <w:lang w:val="en-US" w:eastAsia="zh-CN" w:bidi="ar-SA"/>
              </w:rPr>
            </w:pPr>
            <w:r>
              <w:rPr>
                <w:rFonts w:hint="eastAsia" w:ascii="Calibri" w:hAnsi="Calibri" w:eastAsia="宋体" w:cs="Times New Roman"/>
                <w:color w:val="000000"/>
                <w:sz w:val="18"/>
                <w:szCs w:val="18"/>
                <w:lang w:val="en-US" w:eastAsia="zh-CN"/>
              </w:rPr>
              <w:t>　</w:t>
            </w:r>
          </w:p>
        </w:tc>
        <w:tc>
          <w:tcPr>
            <w:tcW w:w="1395" w:type="dxa"/>
            <w:noWrap w:val="0"/>
            <w:vAlign w:val="top"/>
          </w:tcPr>
          <w:p>
            <w:pPr>
              <w:rPr>
                <w:rFonts w:hint="eastAsia" w:ascii="Calibri" w:hAnsi="Calibri" w:eastAsia="宋体" w:cs="Times New Roman"/>
                <w:color w:val="000000"/>
                <w:kern w:val="2"/>
                <w:sz w:val="18"/>
                <w:szCs w:val="18"/>
                <w:lang w:val="en-US" w:eastAsia="zh-CN" w:bidi="ar-SA"/>
              </w:rPr>
            </w:pPr>
          </w:p>
        </w:tc>
        <w:tc>
          <w:tcPr>
            <w:tcW w:w="1260" w:type="dxa"/>
            <w:noWrap w:val="0"/>
            <w:vAlign w:val="center"/>
          </w:tcPr>
          <w:p>
            <w:pPr>
              <w:jc w:val="center"/>
              <w:rPr>
                <w:rFonts w:hint="eastAsia" w:ascii="Calibri" w:hAnsi="Calibri" w:eastAsia="宋体" w:cs="Times New Roman"/>
                <w:sz w:val="18"/>
                <w:szCs w:val="18"/>
              </w:rPr>
            </w:pPr>
          </w:p>
        </w:tc>
        <w:tc>
          <w:tcPr>
            <w:tcW w:w="1173" w:type="dxa"/>
            <w:noWrap w:val="0"/>
            <w:vAlign w:val="center"/>
          </w:tcPr>
          <w:p>
            <w:pPr>
              <w:jc w:val="center"/>
              <w:rPr>
                <w:rFonts w:hint="eastAsia" w:ascii="Calibri" w:hAnsi="Calibri"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88" w:type="dxa"/>
            <w:noWrap w:val="0"/>
            <w:vAlign w:val="top"/>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Calibri" w:hAnsi="Calibri" w:eastAsia="宋体" w:cs="Times New Roman"/>
                <w:b/>
                <w:bCs/>
                <w:color w:val="000000"/>
                <w:kern w:val="2"/>
                <w:sz w:val="18"/>
                <w:szCs w:val="18"/>
                <w:lang w:val="en-US" w:eastAsia="zh-CN" w:bidi="ar-SA"/>
              </w:rPr>
            </w:pPr>
            <w:r>
              <w:rPr>
                <w:rFonts w:hint="default" w:ascii="Calibri" w:hAnsi="Calibri" w:eastAsia="宋体" w:cs="Times New Roman"/>
                <w:b/>
                <w:bCs/>
                <w:color w:val="000000"/>
                <w:sz w:val="18"/>
                <w:szCs w:val="18"/>
                <w:lang w:val="en-US" w:eastAsia="zh-CN"/>
              </w:rPr>
              <w:t>2024年中央补助地方公共文化服务体系建设补助资金</w:t>
            </w:r>
          </w:p>
        </w:tc>
        <w:tc>
          <w:tcPr>
            <w:tcW w:w="870"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4.74</w:t>
            </w:r>
          </w:p>
        </w:tc>
        <w:tc>
          <w:tcPr>
            <w:tcW w:w="94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4.74</w:t>
            </w:r>
          </w:p>
        </w:tc>
        <w:tc>
          <w:tcPr>
            <w:tcW w:w="145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9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3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4.74</w:t>
            </w:r>
          </w:p>
        </w:tc>
        <w:tc>
          <w:tcPr>
            <w:tcW w:w="975" w:type="dxa"/>
            <w:noWrap w:val="0"/>
            <w:vAlign w:val="top"/>
          </w:tcPr>
          <w:p>
            <w:pPr>
              <w:rPr>
                <w:rFonts w:hint="default" w:ascii="Calibri" w:hAnsi="Calibri" w:eastAsia="宋体" w:cs="Times New Roman"/>
                <w:color w:val="000000"/>
                <w:kern w:val="2"/>
                <w:sz w:val="18"/>
                <w:szCs w:val="18"/>
                <w:lang w:val="en-US" w:eastAsia="zh-CN" w:bidi="ar-SA"/>
              </w:rPr>
            </w:pPr>
          </w:p>
        </w:tc>
        <w:tc>
          <w:tcPr>
            <w:tcW w:w="1395" w:type="dxa"/>
            <w:noWrap w:val="0"/>
            <w:vAlign w:val="top"/>
          </w:tcPr>
          <w:p>
            <w:pPr>
              <w:rPr>
                <w:rFonts w:hint="default" w:ascii="Calibri" w:hAnsi="Calibri" w:eastAsia="宋体" w:cs="Times New Roman"/>
                <w:color w:val="000000"/>
                <w:kern w:val="2"/>
                <w:sz w:val="18"/>
                <w:szCs w:val="18"/>
                <w:lang w:val="en-US" w:eastAsia="zh-CN" w:bidi="ar-SA"/>
              </w:rPr>
            </w:pPr>
          </w:p>
        </w:tc>
        <w:tc>
          <w:tcPr>
            <w:tcW w:w="12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8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4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45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9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3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98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0" w:type="dxa"/>
            <w:noWrap w:val="0"/>
            <w:vAlign w:val="center"/>
          </w:tcPr>
          <w:p>
            <w:pPr>
              <w:spacing w:line="600" w:lineRule="exact"/>
              <w:jc w:val="center"/>
              <w:rPr>
                <w:rFonts w:hint="eastAsia" w:ascii="宋体" w:hAnsi="宋体" w:eastAsia="宋体" w:cs="宋体"/>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总计</w:t>
            </w:r>
          </w:p>
        </w:tc>
        <w:tc>
          <w:tcPr>
            <w:tcW w:w="945" w:type="dxa"/>
            <w:noWrap w:val="0"/>
            <w:vAlign w:val="center"/>
          </w:tcPr>
          <w:p>
            <w:pPr>
              <w:spacing w:line="60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000000"/>
                <w:kern w:val="2"/>
                <w:sz w:val="20"/>
                <w:szCs w:val="20"/>
                <w:lang w:val="en-US" w:eastAsia="zh-CN" w:bidi="ar-SA"/>
              </w:rPr>
              <w:t>6.24</w:t>
            </w:r>
          </w:p>
        </w:tc>
        <w:tc>
          <w:tcPr>
            <w:tcW w:w="145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9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35" w:type="dxa"/>
            <w:noWrap w:val="0"/>
            <w:vAlign w:val="center"/>
          </w:tcPr>
          <w:p>
            <w:pPr>
              <w:spacing w:line="60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000000"/>
                <w:kern w:val="2"/>
                <w:sz w:val="20"/>
                <w:szCs w:val="20"/>
                <w:lang w:val="en-US" w:eastAsia="zh-CN" w:bidi="ar-SA"/>
              </w:rPr>
              <w:t>6.24</w:t>
            </w:r>
          </w:p>
        </w:tc>
        <w:tc>
          <w:tcPr>
            <w:tcW w:w="9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3"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tabs>
          <w:tab w:val="left" w:pos="5519"/>
        </w:tabs>
        <w:bidi w:val="0"/>
        <w:jc w:val="left"/>
        <w:rPr>
          <w:rFonts w:hint="eastAsia"/>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第三部分  2025年部门预算情况说明</w:t>
      </w:r>
    </w:p>
    <w:p>
      <w:pPr>
        <w:widowControl/>
        <w:spacing w:line="560" w:lineRule="exact"/>
        <w:rPr>
          <w:rFonts w:hint="eastAsia" w:ascii="仿宋" w:hAnsi="微软雅黑" w:eastAsia="仿宋" w:cs="Times New Roman"/>
          <w:b/>
          <w:bCs/>
          <w:sz w:val="28"/>
          <w:szCs w:val="28"/>
        </w:rPr>
      </w:pPr>
    </w:p>
    <w:p>
      <w:pPr>
        <w:widowControl/>
        <w:spacing w:line="560" w:lineRule="exact"/>
        <w:ind w:firstLine="562" w:firstLineChars="200"/>
        <w:rPr>
          <w:rFonts w:hint="eastAsia" w:ascii="仿宋" w:hAnsi="华文楷体" w:eastAsia="仿宋" w:cs="Times New Roman"/>
          <w:b/>
          <w:bCs w:val="0"/>
          <w:kern w:val="2"/>
          <w:sz w:val="28"/>
          <w:szCs w:val="28"/>
          <w:lang w:val="en-US" w:eastAsia="zh-CN"/>
        </w:rPr>
      </w:pPr>
      <w:r>
        <w:rPr>
          <w:rFonts w:hint="eastAsia" w:ascii="仿宋" w:hAnsi="微软雅黑" w:eastAsia="仿宋" w:cs="Times New Roman"/>
          <w:b/>
          <w:bCs/>
          <w:sz w:val="28"/>
          <w:szCs w:val="28"/>
        </w:rPr>
        <w:t>一、</w:t>
      </w:r>
      <w:r>
        <w:rPr>
          <w:rFonts w:hint="eastAsia" w:ascii="仿宋" w:hAnsi="华文楷体" w:eastAsia="仿宋" w:cs="Times New Roman"/>
          <w:b/>
          <w:bCs w:val="0"/>
          <w:kern w:val="2"/>
          <w:sz w:val="28"/>
          <w:szCs w:val="28"/>
          <w:lang w:val="en-US" w:eastAsia="zh-CN"/>
        </w:rPr>
        <w:t>关于中共呼图壁县委员会宣传部2025年收支预算情况的总体说明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rPr>
        <w:t>按照全口径预算的原则，</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所有收入</w:t>
      </w:r>
      <w:r>
        <w:rPr>
          <w:rFonts w:hint="eastAsia" w:ascii="仿宋" w:hAnsi="微软雅黑" w:eastAsia="仿宋" w:cs="Times New Roman"/>
          <w:sz w:val="28"/>
          <w:szCs w:val="28"/>
          <w:highlight w:val="none"/>
        </w:rPr>
        <w:t>和支出均纳入单位预算管理。收支总预算</w:t>
      </w:r>
      <w:r>
        <w:rPr>
          <w:rFonts w:hint="eastAsia" w:ascii="仿宋" w:hAnsi="微软雅黑" w:eastAsia="仿宋" w:cs="Times New Roman"/>
          <w:sz w:val="28"/>
          <w:szCs w:val="28"/>
          <w:highlight w:val="none"/>
          <w:lang w:val="en-US" w:eastAsia="zh-CN"/>
        </w:rPr>
        <w:t>1284.83</w:t>
      </w:r>
      <w:r>
        <w:rPr>
          <w:rFonts w:hint="eastAsia" w:ascii="仿宋" w:hAnsi="微软雅黑" w:eastAsia="仿宋" w:cs="Times New Roman"/>
          <w:sz w:val="28"/>
          <w:szCs w:val="28"/>
          <w:highlight w:val="none"/>
        </w:rPr>
        <w:t>万元。</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收入预算包括：一般公共预算、</w:t>
      </w:r>
      <w:r>
        <w:rPr>
          <w:rFonts w:hint="eastAsia" w:ascii="仿宋" w:hAnsi="微软雅黑" w:eastAsia="仿宋" w:cs="Times New Roman"/>
          <w:sz w:val="28"/>
          <w:szCs w:val="28"/>
          <w:highlight w:val="none"/>
          <w:lang w:val="en-US" w:eastAsia="zh-Hans"/>
        </w:rPr>
        <w:t>单位资金</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支出预算包括：一般公共服务支出、文化旅游体育与传媒支出、社会保障和就业支出、卫生健康支出、住房保障支出。</w:t>
      </w:r>
    </w:p>
    <w:p>
      <w:pPr>
        <w:widowControl/>
        <w:spacing w:line="560" w:lineRule="exact"/>
        <w:ind w:firstLine="562" w:firstLineChars="200"/>
        <w:rPr>
          <w:rFonts w:hint="eastAsia" w:ascii="仿宋" w:hAnsi="微软雅黑" w:eastAsia="仿宋" w:cs="Times New Roman"/>
          <w:b/>
          <w:bCs/>
          <w:sz w:val="28"/>
          <w:szCs w:val="28"/>
          <w:highlight w:val="none"/>
        </w:rPr>
      </w:pPr>
      <w:r>
        <w:rPr>
          <w:rFonts w:hint="eastAsia" w:ascii="仿宋" w:hAnsi="微软雅黑" w:eastAsia="仿宋" w:cs="Times New Roman"/>
          <w:b/>
          <w:bCs/>
          <w:sz w:val="28"/>
          <w:szCs w:val="28"/>
          <w:highlight w:val="none"/>
        </w:rPr>
        <w:t>二、关于</w:t>
      </w:r>
      <w:r>
        <w:rPr>
          <w:rFonts w:hint="eastAsia" w:ascii="仿宋" w:hAnsi="微软雅黑" w:eastAsia="仿宋" w:cs="Times New Roman"/>
          <w:b/>
          <w:bCs/>
          <w:sz w:val="28"/>
          <w:szCs w:val="28"/>
          <w:highlight w:val="none"/>
          <w:lang w:val="en-US" w:eastAsia="zh-CN"/>
        </w:rPr>
        <w:t>中共呼图壁县委员会宣传部</w:t>
      </w:r>
      <w:r>
        <w:rPr>
          <w:rFonts w:hint="eastAsia" w:ascii="仿宋" w:hAnsi="微软雅黑" w:eastAsia="仿宋" w:cs="Times New Roman"/>
          <w:b/>
          <w:bCs/>
          <w:sz w:val="28"/>
          <w:szCs w:val="28"/>
          <w:highlight w:val="none"/>
          <w:lang w:eastAsia="zh-CN"/>
        </w:rPr>
        <w:t>202</w:t>
      </w:r>
      <w:r>
        <w:rPr>
          <w:rFonts w:hint="eastAsia" w:ascii="仿宋" w:hAnsi="微软雅黑" w:eastAsia="仿宋" w:cs="Times New Roman"/>
          <w:b/>
          <w:bCs/>
          <w:sz w:val="28"/>
          <w:szCs w:val="28"/>
          <w:highlight w:val="none"/>
          <w:lang w:val="en-US" w:eastAsia="zh-CN"/>
        </w:rPr>
        <w:t>5</w:t>
      </w:r>
      <w:r>
        <w:rPr>
          <w:rFonts w:hint="eastAsia" w:ascii="仿宋" w:hAnsi="微软雅黑" w:eastAsia="仿宋" w:cs="Times New Roman"/>
          <w:b/>
          <w:bCs/>
          <w:sz w:val="28"/>
          <w:szCs w:val="28"/>
          <w:highlight w:val="none"/>
          <w:lang w:eastAsia="zh-CN"/>
        </w:rPr>
        <w:t>年</w:t>
      </w:r>
      <w:r>
        <w:rPr>
          <w:rFonts w:hint="eastAsia" w:ascii="仿宋" w:hAnsi="微软雅黑" w:eastAsia="仿宋" w:cs="Times New Roman"/>
          <w:b/>
          <w:bCs/>
          <w:sz w:val="28"/>
          <w:szCs w:val="28"/>
          <w:highlight w:val="none"/>
        </w:rPr>
        <w:t>收入预算情况说明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中共呼图壁县委员会宣传部</w:t>
      </w:r>
      <w:r>
        <w:rPr>
          <w:rFonts w:hint="eastAsia" w:ascii="仿宋" w:hAnsi="微软雅黑" w:eastAsia="仿宋" w:cs="Times New Roman"/>
          <w:sz w:val="28"/>
          <w:szCs w:val="28"/>
          <w:highlight w:val="none"/>
        </w:rPr>
        <w:t>收入预算</w:t>
      </w:r>
      <w:r>
        <w:rPr>
          <w:rFonts w:hint="eastAsia" w:ascii="仿宋" w:hAnsi="微软雅黑" w:eastAsia="仿宋" w:cs="Times New Roman"/>
          <w:sz w:val="28"/>
          <w:szCs w:val="28"/>
          <w:highlight w:val="none"/>
          <w:lang w:val="en-US" w:eastAsia="zh-CN"/>
        </w:rPr>
        <w:t>1284.83</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一般公共预算</w:t>
      </w:r>
      <w:bookmarkStart w:id="32" w:name="OLE_LINK36"/>
      <w:r>
        <w:rPr>
          <w:rFonts w:hint="eastAsia" w:ascii="仿宋" w:hAnsi="微软雅黑" w:eastAsia="仿宋" w:cs="Times New Roman"/>
          <w:sz w:val="28"/>
          <w:szCs w:val="28"/>
          <w:highlight w:val="none"/>
          <w:lang w:val="en-US" w:eastAsia="zh-CN"/>
        </w:rPr>
        <w:t>683.58</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53.20</w:t>
      </w:r>
      <w:r>
        <w:rPr>
          <w:rFonts w:hint="eastAsia" w:ascii="仿宋" w:hAnsi="微软雅黑" w:eastAsia="仿宋" w:cs="Times New Roman"/>
          <w:sz w:val="28"/>
          <w:szCs w:val="28"/>
          <w:highlight w:val="none"/>
        </w:rPr>
        <w:t>%，比上年预算增</w:t>
      </w:r>
      <w:r>
        <w:rPr>
          <w:rFonts w:hint="eastAsia" w:ascii="仿宋" w:hAnsi="微软雅黑" w:eastAsia="仿宋" w:cs="Times New Roman"/>
          <w:sz w:val="28"/>
          <w:szCs w:val="28"/>
          <w:highlight w:val="none"/>
          <w:lang w:val="en-US" w:eastAsia="zh-CN"/>
        </w:rPr>
        <w:t>加116.60</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20.57%，</w:t>
      </w:r>
      <w:bookmarkEnd w:id="32"/>
      <w:bookmarkStart w:id="33" w:name="OLE_LINK37"/>
      <w:r>
        <w:rPr>
          <w:rFonts w:hint="eastAsia" w:ascii="仿宋" w:hAnsi="微软雅黑" w:eastAsia="仿宋" w:cs="Times New Roman"/>
          <w:sz w:val="28"/>
          <w:szCs w:val="28"/>
          <w:highlight w:val="none"/>
        </w:rPr>
        <w:t>主要原因</w:t>
      </w:r>
      <w:r>
        <w:rPr>
          <w:rFonts w:hint="eastAsia" w:ascii="仿宋" w:hAnsi="微软雅黑" w:eastAsia="仿宋" w:cs="Times New Roman"/>
          <w:sz w:val="28"/>
          <w:szCs w:val="28"/>
          <w:highlight w:val="none"/>
          <w:lang w:val="en-US" w:eastAsia="zh-CN"/>
        </w:rPr>
        <w:t>是：增加了2026年党报党刊征订</w:t>
      </w:r>
      <w:bookmarkEnd w:id="33"/>
      <w:r>
        <w:rPr>
          <w:rFonts w:hint="eastAsia" w:ascii="仿宋" w:hAnsi="微软雅黑" w:eastAsia="仿宋" w:cs="Times New Roman"/>
          <w:sz w:val="28"/>
          <w:szCs w:val="28"/>
          <w:highlight w:val="none"/>
        </w:rPr>
        <w:t xml:space="preserve">导致经费增加。 </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上级一般公共预算安排的转移支付资金5.00</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0.39</w:t>
      </w:r>
      <w:r>
        <w:rPr>
          <w:rFonts w:hint="eastAsia" w:ascii="仿宋" w:hAnsi="微软雅黑" w:eastAsia="仿宋" w:cs="Times New Roman"/>
          <w:sz w:val="28"/>
          <w:szCs w:val="28"/>
          <w:highlight w:val="none"/>
        </w:rPr>
        <w:t>%，比上年预算增加</w:t>
      </w:r>
      <w:r>
        <w:rPr>
          <w:rFonts w:hint="eastAsia" w:ascii="仿宋" w:hAnsi="微软雅黑" w:eastAsia="仿宋" w:cs="Times New Roman"/>
          <w:sz w:val="28"/>
          <w:szCs w:val="28"/>
          <w:highlight w:val="none"/>
          <w:lang w:val="en-US" w:eastAsia="zh-CN"/>
        </w:rPr>
        <w:t>5.00</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100%，</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2025年增加SM专项资金，故预算金额增加。</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eastAsia="zh-CN"/>
        </w:rPr>
        <w:t>政府性基金预算0.00万元，占0.00%，比上年预算增加0.00万元，增长0.00%，主要原因是呼图壁县人民政府办公室202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年财政未安排政府性基金预算。</w:t>
      </w:r>
    </w:p>
    <w:p>
      <w:pPr>
        <w:widowControl/>
        <w:spacing w:line="560" w:lineRule="exact"/>
        <w:ind w:firstLine="560" w:firstLineChars="200"/>
        <w:rPr>
          <w:rFonts w:hint="default"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eastAsia="zh-CN"/>
        </w:rPr>
        <w:t>上级政府性基金安排的转移支付资金未安排。</w:t>
      </w:r>
    </w:p>
    <w:p>
      <w:pPr>
        <w:widowControl/>
        <w:spacing w:line="560" w:lineRule="exact"/>
        <w:ind w:firstLine="560" w:firstLineChars="200"/>
        <w:rPr>
          <w:rFonts w:hint="default"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eastAsia="zh-CN"/>
        </w:rPr>
        <w:t>国有资本经营预算0.00万元，占0.00%，比上年预算增加0.00万元，增长0.00%，主要原因是呼图壁县人民政府办公室202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年财政未安排国有资本经营预算。</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eastAsia="zh-CN"/>
        </w:rPr>
        <w:t>上级国有资本经营预算安排的转移支付资金未安排。</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Hans"/>
        </w:rPr>
        <w:t>单位资金</w:t>
      </w:r>
      <w:r>
        <w:rPr>
          <w:rFonts w:hint="eastAsia" w:ascii="仿宋" w:hAnsi="微软雅黑" w:eastAsia="仿宋" w:cs="Times New Roman"/>
          <w:sz w:val="28"/>
          <w:szCs w:val="28"/>
          <w:highlight w:val="none"/>
          <w:lang w:val="en-US" w:eastAsia="zh-CN"/>
        </w:rPr>
        <w:t>590.00</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45.92</w:t>
      </w:r>
      <w:r>
        <w:rPr>
          <w:rFonts w:hint="eastAsia" w:ascii="仿宋" w:hAnsi="微软雅黑" w:eastAsia="仿宋" w:cs="Times New Roman"/>
          <w:sz w:val="28"/>
          <w:szCs w:val="28"/>
          <w:highlight w:val="none"/>
        </w:rPr>
        <w:t>%，比上年预算</w:t>
      </w:r>
      <w:r>
        <w:rPr>
          <w:rFonts w:hint="eastAsia" w:ascii="仿宋" w:hAnsi="微软雅黑" w:eastAsia="仿宋" w:cs="Times New Roman"/>
          <w:sz w:val="28"/>
          <w:szCs w:val="28"/>
          <w:highlight w:val="none"/>
          <w:lang w:val="en-US" w:eastAsia="zh-CN"/>
        </w:rPr>
        <w:t>减少519</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下降46.80 %，</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2024年融媒体中心实施的呼图壁县特色文化推广中心建设项目做了预算，2025年没有此项预算</w:t>
      </w:r>
      <w:r>
        <w:rPr>
          <w:rFonts w:hint="eastAsia" w:ascii="仿宋" w:hAnsi="微软雅黑" w:eastAsia="仿宋" w:cs="Times New Roman"/>
          <w:sz w:val="28"/>
          <w:szCs w:val="28"/>
          <w:highlight w:val="none"/>
          <w:lang w:eastAsia="zh-CN"/>
        </w:rPr>
        <w:t>。</w:t>
      </w:r>
    </w:p>
    <w:p>
      <w:pPr>
        <w:widowControl/>
        <w:spacing w:line="560" w:lineRule="exact"/>
        <w:ind w:firstLine="562" w:firstLineChars="200"/>
        <w:rPr>
          <w:rFonts w:hint="eastAsia" w:ascii="仿宋" w:hAnsi="微软雅黑" w:eastAsia="仿宋" w:cs="Times New Roman"/>
          <w:b/>
          <w:bCs/>
          <w:sz w:val="28"/>
          <w:szCs w:val="28"/>
          <w:highlight w:val="none"/>
        </w:rPr>
      </w:pPr>
      <w:r>
        <w:rPr>
          <w:rFonts w:hint="eastAsia" w:ascii="仿宋" w:hAnsi="微软雅黑" w:eastAsia="仿宋" w:cs="Times New Roman"/>
          <w:b/>
          <w:bCs/>
          <w:sz w:val="28"/>
          <w:szCs w:val="28"/>
          <w:highlight w:val="none"/>
        </w:rPr>
        <w:t>三、关于</w:t>
      </w:r>
      <w:r>
        <w:rPr>
          <w:rFonts w:hint="eastAsia" w:ascii="仿宋" w:hAnsi="微软雅黑" w:eastAsia="仿宋" w:cs="Times New Roman"/>
          <w:b/>
          <w:bCs/>
          <w:sz w:val="28"/>
          <w:szCs w:val="28"/>
          <w:highlight w:val="none"/>
          <w:lang w:val="en-US" w:eastAsia="zh-CN"/>
        </w:rPr>
        <w:t>中共呼图壁县委员会宣传部</w:t>
      </w:r>
      <w:r>
        <w:rPr>
          <w:rFonts w:hint="eastAsia" w:ascii="仿宋" w:hAnsi="微软雅黑" w:eastAsia="仿宋" w:cs="Times New Roman"/>
          <w:b/>
          <w:bCs/>
          <w:sz w:val="28"/>
          <w:szCs w:val="28"/>
          <w:highlight w:val="none"/>
          <w:lang w:eastAsia="zh-CN"/>
        </w:rPr>
        <w:t>202</w:t>
      </w:r>
      <w:r>
        <w:rPr>
          <w:rFonts w:hint="eastAsia" w:ascii="仿宋" w:hAnsi="微软雅黑" w:eastAsia="仿宋" w:cs="Times New Roman"/>
          <w:b/>
          <w:bCs/>
          <w:sz w:val="28"/>
          <w:szCs w:val="28"/>
          <w:highlight w:val="none"/>
          <w:lang w:val="en-US" w:eastAsia="zh-CN"/>
        </w:rPr>
        <w:t>5</w:t>
      </w:r>
      <w:r>
        <w:rPr>
          <w:rFonts w:hint="eastAsia" w:ascii="仿宋" w:hAnsi="微软雅黑" w:eastAsia="仿宋" w:cs="Times New Roman"/>
          <w:b/>
          <w:bCs/>
          <w:sz w:val="28"/>
          <w:szCs w:val="28"/>
          <w:highlight w:val="none"/>
          <w:lang w:eastAsia="zh-CN"/>
        </w:rPr>
        <w:t>年</w:t>
      </w:r>
      <w:r>
        <w:rPr>
          <w:rFonts w:hint="eastAsia" w:ascii="仿宋" w:hAnsi="微软雅黑" w:eastAsia="仿宋" w:cs="Times New Roman"/>
          <w:b/>
          <w:bCs/>
          <w:sz w:val="28"/>
          <w:szCs w:val="28"/>
          <w:highlight w:val="none"/>
        </w:rPr>
        <w:t>支出预算情况说明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中共呼图壁县委员会宣传部</w:t>
      </w:r>
      <w:r>
        <w:rPr>
          <w:rFonts w:hint="eastAsia" w:ascii="仿宋" w:hAnsi="微软雅黑" w:eastAsia="仿宋" w:cs="Times New Roman"/>
          <w:sz w:val="28"/>
          <w:szCs w:val="28"/>
          <w:highlight w:val="none"/>
          <w:lang w:eastAsia="zh-CN"/>
        </w:rPr>
        <w:t>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w:t>
      </w:r>
      <w:r>
        <w:rPr>
          <w:rFonts w:hint="eastAsia" w:ascii="仿宋" w:hAnsi="微软雅黑" w:eastAsia="仿宋" w:cs="Times New Roman"/>
          <w:sz w:val="28"/>
          <w:szCs w:val="28"/>
          <w:highlight w:val="none"/>
        </w:rPr>
        <w:t>支出预算</w:t>
      </w:r>
      <w:r>
        <w:rPr>
          <w:rFonts w:hint="eastAsia" w:ascii="仿宋" w:hAnsi="微软雅黑" w:eastAsia="仿宋" w:cs="Times New Roman"/>
          <w:sz w:val="28"/>
          <w:szCs w:val="28"/>
          <w:highlight w:val="none"/>
          <w:lang w:val="en-US" w:eastAsia="zh-CN"/>
        </w:rPr>
        <w:t>1284.83</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基本支出</w:t>
      </w:r>
      <w:r>
        <w:rPr>
          <w:rFonts w:hint="eastAsia" w:ascii="仿宋" w:hAnsi="微软雅黑" w:eastAsia="仿宋" w:cs="Times New Roman"/>
          <w:sz w:val="28"/>
          <w:szCs w:val="28"/>
          <w:lang w:val="en-US" w:eastAsia="zh-CN"/>
        </w:rPr>
        <w:t>573.58</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44.64</w:t>
      </w:r>
      <w:r>
        <w:rPr>
          <w:rFonts w:hint="eastAsia" w:ascii="仿宋" w:hAnsi="微软雅黑" w:eastAsia="仿宋" w:cs="Times New Roman"/>
          <w:sz w:val="28"/>
          <w:szCs w:val="28"/>
        </w:rPr>
        <w:t>%，比上年预算</w:t>
      </w:r>
      <w:r>
        <w:rPr>
          <w:rFonts w:hint="eastAsia" w:ascii="仿宋" w:hAnsi="微软雅黑" w:eastAsia="仿宋" w:cs="Times New Roman"/>
          <w:sz w:val="28"/>
          <w:szCs w:val="28"/>
          <w:lang w:val="en-US" w:eastAsia="zh-CN"/>
        </w:rPr>
        <w:t>减少547.40</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下降48.83%，</w:t>
      </w:r>
      <w:r>
        <w:rPr>
          <w:rFonts w:hint="eastAsia" w:ascii="仿宋" w:hAnsi="微软雅黑" w:eastAsia="仿宋" w:cs="Times New Roman"/>
          <w:sz w:val="28"/>
          <w:szCs w:val="28"/>
        </w:rPr>
        <w:t>主要原因</w:t>
      </w:r>
      <w:r>
        <w:rPr>
          <w:rFonts w:hint="eastAsia" w:ascii="仿宋" w:hAnsi="微软雅黑" w:eastAsia="仿宋" w:cs="Times New Roman"/>
          <w:sz w:val="28"/>
          <w:szCs w:val="28"/>
          <w:lang w:val="en-US" w:eastAsia="zh-CN"/>
        </w:rPr>
        <w:t>是：2024年融媒体中心实施的呼图壁县特色文化推广中心建设项目做了预算，2025年没有此项预算，行政人员减少2名，事业人员减少1名</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项目支出</w:t>
      </w:r>
      <w:r>
        <w:rPr>
          <w:rFonts w:hint="eastAsia" w:ascii="仿宋" w:hAnsi="微软雅黑" w:eastAsia="仿宋" w:cs="Times New Roman"/>
          <w:sz w:val="28"/>
          <w:szCs w:val="28"/>
          <w:lang w:val="en-US" w:eastAsia="zh-CN"/>
        </w:rPr>
        <w:t>711.24</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55.36</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156.24</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28.15%，</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增加了2026年党报党刊的征订</w:t>
      </w:r>
      <w:r>
        <w:rPr>
          <w:rFonts w:hint="eastAsia" w:ascii="仿宋" w:hAnsi="微软雅黑" w:eastAsia="仿宋" w:cs="Times New Roman"/>
          <w:sz w:val="28"/>
          <w:szCs w:val="28"/>
        </w:rPr>
        <w:t>。</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rPr>
        <w:t>四、关于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财政拨款收支预算情况的总体说明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财政拨款收支总预算</w:t>
      </w:r>
      <w:r>
        <w:rPr>
          <w:rFonts w:hint="eastAsia" w:ascii="仿宋" w:hAnsi="微软雅黑" w:eastAsia="仿宋" w:cs="Times New Roman"/>
          <w:sz w:val="28"/>
          <w:szCs w:val="28"/>
          <w:lang w:val="en-US" w:eastAsia="zh-CN"/>
        </w:rPr>
        <w:t>688.59</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收入预算包括：一般公共预算拨款</w:t>
      </w:r>
      <w:r>
        <w:rPr>
          <w:rFonts w:hint="eastAsia" w:ascii="仿宋" w:hAnsi="微软雅黑" w:eastAsia="仿宋" w:cs="Times New Roman"/>
          <w:sz w:val="28"/>
          <w:szCs w:val="28"/>
          <w:lang w:val="en-US" w:eastAsia="zh-CN"/>
        </w:rPr>
        <w:t>688.59</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rPr>
        <w:t>一般公共预算支出包括：一般公共服务支出</w:t>
      </w:r>
      <w:r>
        <w:rPr>
          <w:rFonts w:hint="eastAsia" w:ascii="仿宋" w:hAnsi="微软雅黑" w:eastAsia="仿宋" w:cs="Times New Roman"/>
          <w:sz w:val="28"/>
          <w:szCs w:val="28"/>
          <w:lang w:val="en-US" w:eastAsia="zh-CN"/>
        </w:rPr>
        <w:t>561.90</w:t>
      </w:r>
      <w:r>
        <w:rPr>
          <w:rFonts w:hint="eastAsia" w:ascii="仿宋" w:hAnsi="微软雅黑" w:eastAsia="仿宋" w:cs="Times New Roman"/>
          <w:sz w:val="28"/>
          <w:szCs w:val="28"/>
        </w:rPr>
        <w:t>万元，主要用于</w:t>
      </w:r>
      <w:r>
        <w:rPr>
          <w:rFonts w:hint="eastAsia" w:ascii="仿宋" w:hAnsi="微软雅黑" w:eastAsia="仿宋" w:cs="Times New Roman"/>
          <w:sz w:val="28"/>
          <w:szCs w:val="28"/>
          <w:lang w:val="en-US" w:eastAsia="zh-CN"/>
        </w:rPr>
        <w:t>员工工资、公用经费等</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rPr>
        <w:t>文化旅游体育与传媒支出</w:t>
      </w:r>
      <w:r>
        <w:rPr>
          <w:rFonts w:hint="eastAsia" w:ascii="仿宋" w:hAnsi="微软雅黑" w:eastAsia="仿宋" w:cs="Times New Roman"/>
          <w:sz w:val="28"/>
          <w:szCs w:val="28"/>
          <w:lang w:val="en-US" w:eastAsia="zh-CN"/>
        </w:rPr>
        <w:t>5.00万元，主要用于SM项目；</w:t>
      </w:r>
      <w:r>
        <w:rPr>
          <w:rFonts w:hint="eastAsia" w:ascii="仿宋" w:hAnsi="微软雅黑" w:eastAsia="仿宋" w:cs="Times New Roman"/>
          <w:sz w:val="28"/>
          <w:szCs w:val="28"/>
        </w:rPr>
        <w:t>社会保障和就业支出</w:t>
      </w:r>
      <w:r>
        <w:rPr>
          <w:rFonts w:hint="eastAsia" w:ascii="仿宋" w:hAnsi="微软雅黑" w:eastAsia="仿宋" w:cs="Times New Roman"/>
          <w:sz w:val="28"/>
          <w:szCs w:val="28"/>
          <w:lang w:val="en-US" w:eastAsia="zh-CN"/>
        </w:rPr>
        <w:t>47.64万元，主要用于在职养老保险；</w:t>
      </w:r>
      <w:r>
        <w:rPr>
          <w:rFonts w:hint="eastAsia" w:ascii="仿宋" w:hAnsi="微软雅黑" w:eastAsia="仿宋" w:cs="Times New Roman"/>
          <w:sz w:val="28"/>
          <w:szCs w:val="28"/>
        </w:rPr>
        <w:t>卫生健康支出</w:t>
      </w:r>
      <w:r>
        <w:rPr>
          <w:rFonts w:hint="eastAsia" w:ascii="仿宋" w:hAnsi="微软雅黑" w:eastAsia="仿宋" w:cs="Times New Roman"/>
          <w:sz w:val="28"/>
          <w:szCs w:val="28"/>
          <w:lang w:val="en-US" w:eastAsia="zh-CN"/>
        </w:rPr>
        <w:t>38.13万元，主要用于在职医疗保险；</w:t>
      </w:r>
      <w:r>
        <w:rPr>
          <w:rFonts w:hint="eastAsia" w:ascii="仿宋" w:hAnsi="微软雅黑" w:eastAsia="仿宋" w:cs="Times New Roman"/>
          <w:sz w:val="28"/>
          <w:szCs w:val="28"/>
        </w:rPr>
        <w:t>住房保障支出</w:t>
      </w:r>
      <w:r>
        <w:rPr>
          <w:rFonts w:hint="eastAsia" w:ascii="仿宋" w:hAnsi="微软雅黑" w:eastAsia="仿宋" w:cs="Times New Roman"/>
          <w:sz w:val="28"/>
          <w:szCs w:val="28"/>
          <w:lang w:val="en-US" w:eastAsia="zh-CN"/>
        </w:rPr>
        <w:t>35.92万元，主要用于在职公积金</w:t>
      </w:r>
      <w:r>
        <w:rPr>
          <w:rFonts w:hint="eastAsia" w:ascii="仿宋" w:hAnsi="微软雅黑" w:eastAsia="仿宋" w:cs="Times New Roman"/>
          <w:sz w:val="28"/>
          <w:szCs w:val="28"/>
        </w:rPr>
        <w:t>。</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rPr>
        <w:t>五、关于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一般公共预算当年拨款情况说明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一般公共预算拨款合计</w:t>
      </w:r>
      <w:r>
        <w:rPr>
          <w:rFonts w:hint="eastAsia" w:ascii="仿宋" w:hAnsi="微软雅黑" w:eastAsia="仿宋" w:cs="Times New Roman"/>
          <w:sz w:val="28"/>
          <w:szCs w:val="28"/>
          <w:lang w:val="en-US" w:eastAsia="zh-CN"/>
        </w:rPr>
        <w:t>688.59</w:t>
      </w:r>
      <w:r>
        <w:rPr>
          <w:rFonts w:hint="eastAsia" w:ascii="仿宋" w:hAnsi="微软雅黑" w:eastAsia="仿宋" w:cs="Times New Roman"/>
          <w:sz w:val="28"/>
          <w:szCs w:val="28"/>
        </w:rPr>
        <w:t>万元，其中：</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基本支出</w:t>
      </w:r>
      <w:r>
        <w:rPr>
          <w:rFonts w:hint="eastAsia" w:ascii="仿宋" w:hAnsi="微软雅黑" w:eastAsia="仿宋" w:cs="Times New Roman"/>
          <w:sz w:val="28"/>
          <w:szCs w:val="28"/>
          <w:lang w:val="en-US" w:eastAsia="zh-CN"/>
        </w:rPr>
        <w:t>473.58</w:t>
      </w:r>
      <w:r>
        <w:rPr>
          <w:rFonts w:hint="eastAsia" w:ascii="仿宋" w:hAnsi="微软雅黑" w:eastAsia="仿宋" w:cs="Times New Roman"/>
          <w:sz w:val="28"/>
          <w:szCs w:val="28"/>
        </w:rPr>
        <w:t>万元，比上年预算</w:t>
      </w:r>
      <w:r>
        <w:rPr>
          <w:rFonts w:hint="eastAsia" w:ascii="仿宋" w:hAnsi="微软雅黑" w:eastAsia="仿宋" w:cs="Times New Roman"/>
          <w:sz w:val="28"/>
          <w:szCs w:val="28"/>
          <w:lang w:eastAsia="zh-CN"/>
        </w:rPr>
        <w:t>减少</w:t>
      </w:r>
      <w:r>
        <w:rPr>
          <w:rFonts w:hint="eastAsia" w:ascii="仿宋" w:hAnsi="微软雅黑" w:eastAsia="仿宋" w:cs="Times New Roman"/>
          <w:sz w:val="28"/>
          <w:szCs w:val="28"/>
          <w:lang w:val="en-US" w:eastAsia="zh-CN"/>
        </w:rPr>
        <w:t>43.40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8.39</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行政人员减少2人，事业人员减少1人</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项目支出</w:t>
      </w:r>
      <w:r>
        <w:rPr>
          <w:rFonts w:hint="eastAsia" w:ascii="仿宋" w:hAnsi="微软雅黑" w:eastAsia="仿宋" w:cs="Times New Roman"/>
          <w:sz w:val="28"/>
          <w:szCs w:val="28"/>
          <w:lang w:val="en-US" w:eastAsia="zh-CN"/>
        </w:rPr>
        <w:t>215.00万</w:t>
      </w:r>
      <w:r>
        <w:rPr>
          <w:rFonts w:hint="eastAsia" w:ascii="仿宋" w:hAnsi="微软雅黑" w:eastAsia="仿宋" w:cs="Times New Roman"/>
          <w:sz w:val="28"/>
          <w:szCs w:val="28"/>
        </w:rPr>
        <w:t>元，比上年预算增加</w:t>
      </w:r>
      <w:r>
        <w:rPr>
          <w:rFonts w:hint="eastAsia" w:ascii="仿宋" w:hAnsi="微软雅黑" w:eastAsia="仿宋" w:cs="Times New Roman"/>
          <w:sz w:val="28"/>
          <w:szCs w:val="28"/>
          <w:lang w:val="en-US" w:eastAsia="zh-CN"/>
        </w:rPr>
        <w:t>171.24</w:t>
      </w:r>
      <w:r>
        <w:rPr>
          <w:rFonts w:hint="eastAsia" w:ascii="仿宋" w:hAnsi="微软雅黑" w:eastAsia="仿宋" w:cs="Times New Roman"/>
          <w:sz w:val="28"/>
          <w:szCs w:val="28"/>
        </w:rPr>
        <w:t>万元，增长</w:t>
      </w:r>
      <w:r>
        <w:rPr>
          <w:rFonts w:hint="eastAsia" w:ascii="仿宋" w:hAnsi="微软雅黑" w:eastAsia="仿宋" w:cs="Times New Roman"/>
          <w:sz w:val="28"/>
          <w:szCs w:val="28"/>
          <w:lang w:val="en-US" w:eastAsia="zh-CN"/>
        </w:rPr>
        <w:t>391.32</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增加了2026年党报党刊的征订费用，正版办公软件场地授权及软件管理系统续费</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1.一般公共服务（类）</w:t>
      </w:r>
      <w:r>
        <w:rPr>
          <w:rFonts w:hint="eastAsia" w:ascii="仿宋" w:hAnsi="微软雅黑" w:eastAsia="仿宋" w:cs="Times New Roman"/>
          <w:sz w:val="28"/>
          <w:szCs w:val="28"/>
          <w:lang w:val="en-US" w:eastAsia="zh-CN"/>
        </w:rPr>
        <w:t>561.90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81.60</w:t>
      </w:r>
      <w:r>
        <w:rPr>
          <w:rFonts w:hint="eastAsia" w:ascii="仿宋" w:hAnsi="微软雅黑" w:eastAsia="仿宋" w:cs="Times New Roman"/>
          <w:sz w:val="28"/>
          <w:szCs w:val="28"/>
        </w:rPr>
        <w:t>%。</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rPr>
        <w:t>2.</w:t>
      </w:r>
      <w:r>
        <w:rPr>
          <w:rFonts w:hint="eastAsia" w:ascii="仿宋" w:hAnsi="微软雅黑" w:eastAsia="仿宋" w:cs="Times New Roman"/>
          <w:sz w:val="28"/>
          <w:szCs w:val="28"/>
          <w:lang w:val="en-US" w:eastAsia="zh-CN"/>
        </w:rPr>
        <w:t>文化旅游体育与传媒支出（类）5.00万元，占0.73%。</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3</w:t>
      </w:r>
      <w:r>
        <w:rPr>
          <w:rFonts w:hint="eastAsia" w:ascii="仿宋" w:hAnsi="微软雅黑" w:eastAsia="仿宋" w:cs="Times New Roman"/>
          <w:sz w:val="28"/>
          <w:szCs w:val="28"/>
        </w:rPr>
        <w:t>.社会保障和就业支出（类）</w:t>
      </w:r>
      <w:r>
        <w:rPr>
          <w:rFonts w:hint="eastAsia" w:ascii="仿宋" w:hAnsi="微软雅黑" w:eastAsia="仿宋" w:cs="Times New Roman"/>
          <w:sz w:val="28"/>
          <w:szCs w:val="28"/>
          <w:lang w:val="en-US" w:eastAsia="zh-CN"/>
        </w:rPr>
        <w:t>47.64</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6.92</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4.卫生健康支出（类）38.13万元，占5.54%。</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5.住房保障支出（类）35.92万元，占5.22%。</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 xml:space="preserve">（三）一般公共预算当年拨款具体使用情况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1.一般公共服务（类）</w:t>
      </w:r>
      <w:r>
        <w:rPr>
          <w:rFonts w:hint="eastAsia" w:ascii="仿宋" w:hAnsi="微软雅黑" w:eastAsia="仿宋" w:cs="Times New Roman"/>
          <w:sz w:val="28"/>
          <w:szCs w:val="28"/>
          <w:lang w:val="en-US" w:eastAsia="zh-CN"/>
        </w:rPr>
        <w:t>宣传</w:t>
      </w:r>
      <w:r>
        <w:rPr>
          <w:rFonts w:hint="eastAsia" w:ascii="仿宋" w:hAnsi="微软雅黑" w:eastAsia="仿宋" w:cs="Times New Roman"/>
          <w:sz w:val="28"/>
          <w:szCs w:val="28"/>
        </w:rPr>
        <w:t>事务（款）行政运行（项）:</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年预算数为</w:t>
      </w:r>
      <w:r>
        <w:rPr>
          <w:rFonts w:hint="eastAsia" w:ascii="仿宋" w:hAnsi="微软雅黑" w:eastAsia="仿宋" w:cs="Times New Roman"/>
          <w:sz w:val="28"/>
          <w:szCs w:val="28"/>
          <w:lang w:val="en-US" w:eastAsia="zh-CN"/>
        </w:rPr>
        <w:t>198.24</w:t>
      </w:r>
      <w:r>
        <w:rPr>
          <w:rFonts w:hint="eastAsia" w:ascii="仿宋" w:hAnsi="微软雅黑" w:eastAsia="仿宋" w:cs="Times New Roman"/>
          <w:sz w:val="28"/>
          <w:szCs w:val="28"/>
        </w:rPr>
        <w:t>万元，比上年预算</w:t>
      </w:r>
      <w:r>
        <w:rPr>
          <w:rFonts w:hint="eastAsia" w:ascii="仿宋" w:hAnsi="微软雅黑" w:eastAsia="仿宋" w:cs="Times New Roman"/>
          <w:sz w:val="28"/>
          <w:szCs w:val="28"/>
          <w:lang w:val="en-US" w:eastAsia="zh-CN"/>
        </w:rPr>
        <w:t>减少178.34</w:t>
      </w:r>
      <w:r>
        <w:rPr>
          <w:rFonts w:hint="eastAsia" w:ascii="仿宋" w:hAnsi="微软雅黑" w:eastAsia="仿宋" w:cs="Times New Roman"/>
          <w:sz w:val="28"/>
          <w:szCs w:val="28"/>
        </w:rPr>
        <w:t>万元</w:t>
      </w:r>
      <w:r>
        <w:rPr>
          <w:rFonts w:hint="eastAsia" w:ascii="仿宋" w:hAnsi="微软雅黑" w:eastAsia="仿宋" w:cs="Times New Roman"/>
          <w:sz w:val="28"/>
          <w:szCs w:val="28"/>
          <w:highlight w:val="none"/>
        </w:rPr>
        <w:t>，</w:t>
      </w:r>
      <w:r>
        <w:rPr>
          <w:rFonts w:hint="eastAsia" w:ascii="仿宋" w:hAnsi="微软雅黑" w:eastAsia="仿宋" w:cs="Times New Roman"/>
          <w:sz w:val="28"/>
          <w:szCs w:val="28"/>
          <w:highlight w:val="none"/>
          <w:lang w:val="en-US" w:eastAsia="zh-CN"/>
        </w:rPr>
        <w:t>下降47.36</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2024年融媒体中心实施的呼图壁县特色文化推广中心建设项目做了预算</w:t>
      </w:r>
      <w:r>
        <w:rPr>
          <w:rFonts w:hint="eastAsia" w:ascii="仿宋" w:hAnsi="微软雅黑" w:eastAsia="仿宋" w:cs="Times New Roman"/>
          <w:sz w:val="28"/>
          <w:szCs w:val="28"/>
          <w:lang w:val="en-US" w:eastAsia="zh-CN"/>
        </w:rPr>
        <w:t>，2025年没有此项预算，行政人员减少2名，事业人员减少1名</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 xml:space="preserve">2.一般公共服务（类）宣传事务（款）一般行政管理事务（项）:2025年预算数为210.00万元，比上年预算增加210.00万元，增长100%，主要原因是：增加文艺创作扶持奖励资金项目。 </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3.</w:t>
      </w:r>
      <w:r>
        <w:rPr>
          <w:rFonts w:hint="eastAsia" w:ascii="仿宋" w:hAnsi="微软雅黑" w:eastAsia="仿宋" w:cs="Times New Roman"/>
          <w:sz w:val="28"/>
          <w:szCs w:val="28"/>
          <w:highlight w:val="none"/>
        </w:rPr>
        <w:t>一般公共服务（类）</w:t>
      </w:r>
      <w:r>
        <w:rPr>
          <w:rFonts w:hint="eastAsia" w:ascii="仿宋" w:hAnsi="微软雅黑" w:eastAsia="仿宋" w:cs="Times New Roman"/>
          <w:sz w:val="28"/>
          <w:szCs w:val="28"/>
          <w:highlight w:val="none"/>
          <w:lang w:val="en-US" w:eastAsia="zh-CN"/>
        </w:rPr>
        <w:t>宣传</w:t>
      </w:r>
      <w:r>
        <w:rPr>
          <w:rFonts w:hint="eastAsia" w:ascii="仿宋" w:hAnsi="微软雅黑" w:eastAsia="仿宋" w:cs="Times New Roman"/>
          <w:sz w:val="28"/>
          <w:szCs w:val="28"/>
          <w:highlight w:val="none"/>
        </w:rPr>
        <w:t>事务（款）</w:t>
      </w:r>
      <w:r>
        <w:rPr>
          <w:rFonts w:hint="eastAsia" w:ascii="仿宋" w:hAnsi="微软雅黑" w:eastAsia="仿宋" w:cs="Times New Roman"/>
          <w:sz w:val="28"/>
          <w:szCs w:val="28"/>
          <w:highlight w:val="none"/>
          <w:lang w:val="en-US" w:eastAsia="zh-CN"/>
        </w:rPr>
        <w:t>事业运行</w:t>
      </w:r>
      <w:r>
        <w:rPr>
          <w:rFonts w:hint="eastAsia" w:ascii="仿宋" w:hAnsi="微软雅黑" w:eastAsia="仿宋" w:cs="Times New Roman"/>
          <w:sz w:val="28"/>
          <w:szCs w:val="28"/>
          <w:highlight w:val="none"/>
        </w:rPr>
        <w:t>（项）:</w:t>
      </w:r>
      <w:r>
        <w:rPr>
          <w:rFonts w:hint="eastAsia" w:ascii="仿宋" w:hAnsi="微软雅黑" w:eastAsia="仿宋" w:cs="Times New Roman"/>
          <w:sz w:val="28"/>
          <w:szCs w:val="28"/>
          <w:highlight w:val="none"/>
          <w:lang w:val="en-US" w:eastAsia="zh-CN"/>
        </w:rPr>
        <w:t>2025</w:t>
      </w:r>
      <w:r>
        <w:rPr>
          <w:rFonts w:hint="eastAsia" w:ascii="仿宋" w:hAnsi="微软雅黑" w:eastAsia="仿宋" w:cs="Times New Roman"/>
          <w:sz w:val="28"/>
          <w:szCs w:val="28"/>
          <w:highlight w:val="none"/>
        </w:rPr>
        <w:t>年预算数为</w:t>
      </w:r>
      <w:r>
        <w:rPr>
          <w:rFonts w:hint="eastAsia" w:ascii="仿宋" w:hAnsi="微软雅黑" w:eastAsia="仿宋" w:cs="Times New Roman"/>
          <w:sz w:val="28"/>
          <w:szCs w:val="28"/>
          <w:highlight w:val="none"/>
          <w:lang w:val="en-US" w:eastAsia="zh-CN"/>
        </w:rPr>
        <w:t>153.66</w:t>
      </w:r>
      <w:r>
        <w:rPr>
          <w:rFonts w:hint="eastAsia" w:ascii="仿宋" w:hAnsi="微软雅黑" w:eastAsia="仿宋" w:cs="Times New Roman"/>
          <w:sz w:val="28"/>
          <w:szCs w:val="28"/>
          <w:highlight w:val="none"/>
        </w:rPr>
        <w:t>万元，比上年预算增加</w:t>
      </w:r>
      <w:r>
        <w:rPr>
          <w:rFonts w:hint="eastAsia" w:ascii="仿宋" w:hAnsi="微软雅黑" w:eastAsia="仿宋" w:cs="Times New Roman"/>
          <w:sz w:val="28"/>
          <w:szCs w:val="28"/>
          <w:highlight w:val="none"/>
          <w:lang w:val="en-US" w:eastAsia="zh-CN"/>
        </w:rPr>
        <w:t>152.19</w:t>
      </w:r>
      <w:r>
        <w:rPr>
          <w:rFonts w:hint="eastAsia" w:ascii="仿宋" w:hAnsi="微软雅黑" w:eastAsia="仿宋" w:cs="Times New Roman"/>
          <w:sz w:val="28"/>
          <w:szCs w:val="28"/>
          <w:highlight w:val="none"/>
        </w:rPr>
        <w:t>万元，增长</w:t>
      </w:r>
      <w:r>
        <w:rPr>
          <w:rFonts w:hint="eastAsia" w:ascii="仿宋" w:hAnsi="微软雅黑" w:eastAsia="仿宋" w:cs="Times New Roman"/>
          <w:sz w:val="28"/>
          <w:szCs w:val="28"/>
          <w:highlight w:val="none"/>
          <w:lang w:val="en-US" w:eastAsia="zh-CN"/>
        </w:rPr>
        <w:t>10353.06</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增加了2026年党报党刊征订</w:t>
      </w:r>
      <w:r>
        <w:rPr>
          <w:rFonts w:hint="eastAsia" w:ascii="仿宋" w:hAnsi="微软雅黑" w:eastAsia="仿宋" w:cs="Times New Roman"/>
          <w:sz w:val="28"/>
          <w:szCs w:val="28"/>
          <w:highlight w:val="none"/>
        </w:rPr>
        <w:t>经费</w:t>
      </w:r>
      <w:r>
        <w:rPr>
          <w:rFonts w:hint="eastAsia" w:ascii="仿宋" w:hAnsi="微软雅黑" w:eastAsia="仿宋" w:cs="Times New Roman"/>
          <w:sz w:val="28"/>
          <w:szCs w:val="28"/>
          <w:highlight w:val="none"/>
          <w:lang w:val="en-US" w:eastAsia="zh-CN"/>
        </w:rPr>
        <w:t>。</w:t>
      </w:r>
      <w:r>
        <w:rPr>
          <w:rFonts w:hint="eastAsia" w:ascii="仿宋" w:hAnsi="微软雅黑" w:eastAsia="仿宋" w:cs="Times New Roman"/>
          <w:sz w:val="28"/>
          <w:szCs w:val="28"/>
          <w:highlight w:val="none"/>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4</w:t>
      </w:r>
      <w:r>
        <w:rPr>
          <w:rFonts w:hint="eastAsia" w:ascii="仿宋" w:hAnsi="微软雅黑" w:eastAsia="仿宋" w:cs="Times New Roman"/>
          <w:sz w:val="28"/>
          <w:szCs w:val="28"/>
        </w:rPr>
        <w:t>.</w:t>
      </w:r>
      <w:r>
        <w:rPr>
          <w:rFonts w:hint="eastAsia" w:ascii="仿宋" w:hAnsi="微软雅黑" w:eastAsia="仿宋" w:cs="Times New Roman"/>
          <w:sz w:val="28"/>
          <w:szCs w:val="28"/>
          <w:lang w:val="en-US" w:eastAsia="zh-CN"/>
        </w:rPr>
        <w:t>文化旅游体育与传媒（类）其他文化旅游体育与传媒（款）其他文化旅游体育与传媒支出（项）：2025</w:t>
      </w:r>
      <w:r>
        <w:rPr>
          <w:rFonts w:hint="eastAsia" w:ascii="仿宋" w:hAnsi="微软雅黑" w:eastAsia="仿宋" w:cs="Times New Roman"/>
          <w:sz w:val="28"/>
          <w:szCs w:val="28"/>
        </w:rPr>
        <w:t>年预算数为</w:t>
      </w:r>
      <w:r>
        <w:rPr>
          <w:rFonts w:hint="eastAsia" w:ascii="仿宋" w:hAnsi="微软雅黑" w:eastAsia="仿宋" w:cs="Times New Roman"/>
          <w:sz w:val="28"/>
          <w:szCs w:val="28"/>
          <w:lang w:val="en-US" w:eastAsia="zh-CN"/>
        </w:rPr>
        <w:t>5.00</w:t>
      </w:r>
      <w:r>
        <w:rPr>
          <w:rFonts w:hint="eastAsia" w:ascii="仿宋" w:hAnsi="微软雅黑" w:eastAsia="仿宋" w:cs="Times New Roman"/>
          <w:sz w:val="28"/>
          <w:szCs w:val="28"/>
        </w:rPr>
        <w:t>万元，比上年预算</w:t>
      </w:r>
      <w:r>
        <w:rPr>
          <w:rFonts w:hint="eastAsia" w:ascii="仿宋" w:hAnsi="微软雅黑" w:eastAsia="仿宋" w:cs="Times New Roman"/>
          <w:sz w:val="28"/>
          <w:szCs w:val="28"/>
          <w:lang w:val="en-US" w:eastAsia="zh-CN"/>
        </w:rPr>
        <w:t>增加5</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增长100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2025年增加SM专项资金，故预算金额增加。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5.社会保障和就业支出（类）行政事业单位离退休（款）行政单位离退休（项）：2025年预算数4.47万元，比上年预算增加2.49万元，</w:t>
      </w:r>
      <w:r>
        <w:rPr>
          <w:rFonts w:hint="eastAsia" w:ascii="仿宋" w:hAnsi="微软雅黑" w:eastAsia="仿宋" w:cs="Times New Roman"/>
          <w:sz w:val="28"/>
          <w:szCs w:val="28"/>
          <w:highlight w:val="none"/>
          <w:lang w:val="en-US" w:eastAsia="zh-CN"/>
        </w:rPr>
        <w:t>增长125.76%，</w:t>
      </w:r>
      <w:r>
        <w:rPr>
          <w:rFonts w:hint="eastAsia" w:ascii="仿宋" w:hAnsi="微软雅黑" w:eastAsia="仿宋" w:cs="Times New Roman"/>
          <w:sz w:val="28"/>
          <w:szCs w:val="28"/>
          <w:lang w:val="en-US" w:eastAsia="zh-CN"/>
        </w:rPr>
        <w:t>主要原因是：行政退休人员退休人员基础绩效奖，退休人员公务员补助医疗，退休大病医疗，退休人员采暖补贴在2025年预算中纳入行政事业单位离退休（项）进行核算。</w:t>
      </w:r>
    </w:p>
    <w:p>
      <w:pPr>
        <w:widowControl/>
        <w:spacing w:line="560" w:lineRule="exact"/>
        <w:ind w:firstLine="560" w:firstLineChars="200"/>
        <w:rPr>
          <w:rFonts w:hint="eastAsia" w:ascii="仿宋" w:hAnsi="微软雅黑" w:eastAsia="仿宋" w:cs="Times New Roman"/>
          <w:sz w:val="28"/>
          <w:szCs w:val="28"/>
          <w:highlight w:val="cyan"/>
          <w:lang w:val="en-US" w:eastAsia="zh-CN"/>
        </w:rPr>
      </w:pPr>
      <w:r>
        <w:rPr>
          <w:rFonts w:hint="eastAsia" w:ascii="仿宋" w:hAnsi="微软雅黑" w:eastAsia="仿宋" w:cs="Times New Roman"/>
          <w:sz w:val="28"/>
          <w:szCs w:val="28"/>
          <w:lang w:val="en-US" w:eastAsia="zh-CN"/>
        </w:rPr>
        <w:t>6.社会保障和就业支出（类）行政事业单位养老支出（款）机关事业单位基本养老保险缴费支出（项）：2025年预算数43.17万元，</w:t>
      </w:r>
      <w:r>
        <w:rPr>
          <w:rFonts w:hint="eastAsia" w:ascii="仿宋" w:hAnsi="微软雅黑" w:eastAsia="仿宋" w:cs="Times New Roman"/>
          <w:sz w:val="28"/>
          <w:szCs w:val="28"/>
          <w:highlight w:val="none"/>
          <w:lang w:val="en-US" w:eastAsia="zh-CN"/>
        </w:rPr>
        <w:t>比上年预算减少5.59万元，下降11.46%，主要原因是：行政人员减少2名，事业人员减少1名</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7.卫生健康（类）行政事业单位医疗（款）行政单位医疗（项）：2025年预算数14.25万元，比上年预算增加2.18万元，增长18.06%，主要原因是：医疗保险基数调整，故预算数比去年有所增长。</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8.卫生健康（类）行政事业单位医疗（款）事业单位医疗（项）：2025年预算数10.88万元，比上年预算减少1.43万元，下降11.62%，主要原因是：行政人员减少2名，事业人员减少1名</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9.卫生健康（类）行政事业单位医疗（款）公务员医疗补助（项）：2025年预算数12.68万元，比上年预算增加5.98万元，增加89.25%，主要原因是：医疗保险基数上调，故预算数比去年有所增长</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10.卫生健康（类）行政事业单位医疗（款）其他行政事业单位医疗（项）：2025年预算数0.32万元，比上年预算增加0.13万元，增加68.42%，主要原因是：医疗保险基数上调，故预算数比去年有所增长</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11.住房保障（类）住房改革（款）住房公积金（项）：2025年预算数35.92万元，比上年预算减少4.71万元，下降11.59%，主要原因是：行政人员减少2名，事业人员减少1名</w:t>
      </w:r>
      <w:r>
        <w:rPr>
          <w:rFonts w:hint="eastAsia" w:ascii="仿宋" w:hAnsi="微软雅黑" w:eastAsia="仿宋" w:cs="Times New Roman"/>
          <w:sz w:val="28"/>
          <w:szCs w:val="28"/>
          <w:highlight w:val="none"/>
        </w:rPr>
        <w:t>。</w:t>
      </w:r>
    </w:p>
    <w:p>
      <w:pPr>
        <w:widowControl/>
        <w:spacing w:line="560" w:lineRule="exact"/>
        <w:ind w:firstLine="562" w:firstLineChars="200"/>
        <w:rPr>
          <w:rFonts w:hint="eastAsia" w:ascii="仿宋" w:hAnsi="微软雅黑" w:eastAsia="仿宋" w:cs="Times New Roman"/>
          <w:sz w:val="28"/>
          <w:szCs w:val="28"/>
        </w:rPr>
      </w:pPr>
      <w:r>
        <w:rPr>
          <w:rFonts w:hint="eastAsia" w:ascii="仿宋" w:hAnsi="微软雅黑" w:eastAsia="仿宋" w:cs="Times New Roman"/>
          <w:b/>
          <w:bCs/>
          <w:sz w:val="28"/>
          <w:szCs w:val="28"/>
        </w:rPr>
        <w:t>六、关于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一般公共预算基本支出情况说明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中共呼图壁县委员会宣传部2025年一般公共预算基本支出 473.58万元， 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456.52万元，主要包括：基本工资、津贴补贴、奖金、绩效工资、机关事业单位基本养老保险缴费、职工基本医疗保险缴费、公务员医疗补助缴费、其他社会保障缴费、住房公积金、其他工资福利支出、退休费、生活补助、奖励金等。</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公用经费17.06万元，主要包括：办公费、印刷费、邮电费、物业管理费、差旅费、公务接待费、工会经费、公务用车运行维护费等。</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eastAsia="zh-CN"/>
        </w:rPr>
        <w:t>七、</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一般公共预算项目支出情况说明</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（一）项目名称：正版办公软件场地授权及软件管理系统续费（非定额）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设立的政策依据：昌州党宣传【2023】69号-关于做好自治区2023年推进作用正版软件核查工作的通知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预算安排规模：25.00万元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项目承担单位：中共呼图壁县委员会宣传部</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资金分配情况：全部用于正版软件核查工作办公费25万元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资金执行时间：2025年01月01日-2025年12月31日</w:t>
      </w:r>
    </w:p>
    <w:p>
      <w:pPr>
        <w:pStyle w:val="2"/>
        <w:rPr>
          <w:rFonts w:hint="eastAsia"/>
          <w:lang w:val="en-US" w:eastAsia="zh-CN"/>
        </w:rPr>
      </w:pP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（二）项目名称：呼图壁县2026年党报党刊征订费（非定额）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设立的政策依据：呼财预字【2025】8号-关于做好2025年度党报党刊发行工作严格规范报刊发行秩序的通知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预算安排规模：160.00万元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项目承担单位：中共呼图壁县委员会宣传部</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资金分配情况：全部用于党报党刊征订办公费160.00万元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资金执行时间：2025年01月01日-2025年12月31日</w:t>
      </w:r>
    </w:p>
    <w:p>
      <w:pPr>
        <w:pStyle w:val="2"/>
        <w:rPr>
          <w:rFonts w:hint="eastAsia"/>
          <w:lang w:val="en-US" w:eastAsia="zh-CN"/>
        </w:rPr>
      </w:pP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（三）项目名称：文艺创作扶持奖励资金（非定额）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设立的政策依据：呼财预字【2025】8号-文艺创作扶持奖励资金（非定额）</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预算安排规模：25.00万元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项目承担单位：中共呼图壁县委员会宣传部</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资金分配情况：全部用于奖励金25.00万元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资金执行时间：2025年01月01日-2025年12月31日</w:t>
      </w:r>
    </w:p>
    <w:p>
      <w:pPr>
        <w:pStyle w:val="2"/>
        <w:rPr>
          <w:rFonts w:hint="eastAsia"/>
          <w:lang w:val="en-US" w:eastAsia="zh-CN"/>
        </w:rPr>
      </w:pP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（四）项目名称：特定目标5410007K</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设立的政策依据：完全不予公开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预算安排规模：5.00万元</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项目承担单位：呼图壁县融媒体中心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资金分配情况：完全不予公开</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资金执行时间：完全不予公开</w:t>
      </w:r>
    </w:p>
    <w:p>
      <w:pPr>
        <w:pStyle w:val="2"/>
        <w:rPr>
          <w:rFonts w:hint="eastAsia"/>
          <w:lang w:val="en-US" w:eastAsia="zh-CN"/>
        </w:rPr>
      </w:pP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val="en-US" w:eastAsia="zh-Hans"/>
        </w:rPr>
        <w:t>八</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政府性基金预算拨款情况说明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中共呼图壁县委员会宣传部2025</w:t>
      </w:r>
      <w:r>
        <w:rPr>
          <w:rFonts w:hint="eastAsia" w:ascii="仿宋" w:hAnsi="微软雅黑" w:eastAsia="仿宋" w:cs="Times New Roman"/>
          <w:sz w:val="28"/>
          <w:szCs w:val="28"/>
        </w:rPr>
        <w:t>年没有使用政府性基金预算拨款安排的支出，政府性基金预算支出情况表为空表。</w:t>
      </w:r>
    </w:p>
    <w:p>
      <w:pPr>
        <w:widowControl/>
        <w:spacing w:line="560" w:lineRule="exact"/>
        <w:ind w:firstLine="562" w:firstLineChars="200"/>
        <w:rPr>
          <w:rFonts w:hint="eastAsia" w:ascii="仿宋" w:hAnsi="微软雅黑" w:eastAsia="仿宋" w:cs="Times New Roman"/>
          <w:sz w:val="28"/>
          <w:szCs w:val="28"/>
        </w:rPr>
      </w:pPr>
      <w:r>
        <w:rPr>
          <w:rFonts w:hint="eastAsia" w:ascii="仿宋" w:hAnsi="微软雅黑" w:eastAsia="仿宋" w:cs="Times New Roman"/>
          <w:b/>
          <w:bCs/>
          <w:sz w:val="28"/>
          <w:szCs w:val="28"/>
          <w:lang w:val="en-US" w:eastAsia="zh-Hans"/>
        </w:rPr>
        <w:t>九、</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中共呼图壁县委员会宣传部2025</w:t>
      </w:r>
      <w:r>
        <w:rPr>
          <w:rFonts w:hint="eastAsia" w:ascii="仿宋" w:hAnsi="微软雅黑" w:eastAsia="仿宋" w:cs="Times New Roman"/>
          <w:sz w:val="28"/>
          <w:szCs w:val="28"/>
        </w:rPr>
        <w:t>年没有使用国有资本经营预算拨款安排的支出，国有资本经营预算支出情况表为空表。</w:t>
      </w:r>
    </w:p>
    <w:p>
      <w:pPr>
        <w:widowControl/>
        <w:spacing w:line="560" w:lineRule="exact"/>
        <w:ind w:firstLine="562" w:firstLineChars="200"/>
        <w:rPr>
          <w:rFonts w:hint="eastAsia" w:ascii="仿宋" w:hAnsi="微软雅黑" w:eastAsia="仿宋" w:cs="Times New Roman"/>
          <w:sz w:val="28"/>
          <w:szCs w:val="28"/>
        </w:rPr>
      </w:pPr>
      <w:r>
        <w:rPr>
          <w:rFonts w:hint="eastAsia" w:ascii="仿宋" w:hAnsi="微软雅黑" w:eastAsia="仿宋" w:cs="Times New Roman"/>
          <w:b/>
          <w:bCs/>
          <w:sz w:val="28"/>
          <w:szCs w:val="28"/>
          <w:lang w:val="en-US" w:eastAsia="zh-Hans"/>
        </w:rPr>
        <w:t>十</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lang w:val="en-US" w:eastAsia="zh-Hans"/>
        </w:rPr>
        <w:t>财政拨款</w:t>
      </w:r>
      <w:r>
        <w:rPr>
          <w:rFonts w:hint="eastAsia" w:ascii="仿宋" w:hAnsi="微软雅黑" w:eastAsia="仿宋" w:cs="Times New Roman"/>
          <w:b/>
          <w:bCs/>
          <w:sz w:val="28"/>
          <w:szCs w:val="28"/>
        </w:rPr>
        <w:t>“三公”经费预算情况说明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中共呼图壁县委员会宣传部2025年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“三公”经费数为6.90万元，其中：</w:t>
      </w:r>
      <w:r>
        <w:rPr>
          <w:rFonts w:hint="eastAsia" w:ascii="仿宋" w:hAnsi="微软雅黑" w:eastAsia="仿宋" w:cs="Times New Roman"/>
          <w:sz w:val="28"/>
          <w:szCs w:val="28"/>
        </w:rPr>
        <w:t>因公出国（境）费</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万元，公务用车购置</w:t>
      </w:r>
      <w:r>
        <w:rPr>
          <w:rFonts w:hint="eastAsia" w:ascii="仿宋" w:hAnsi="微软雅黑" w:eastAsia="仿宋" w:cs="Times New Roman"/>
          <w:sz w:val="28"/>
          <w:szCs w:val="28"/>
          <w:lang w:eastAsia="zh-CN"/>
        </w:rPr>
        <w:t>费</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公务用车运行费6.40万元，公务接待费0.50万元。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“三公”经费比上年</w:t>
      </w:r>
      <w:r>
        <w:rPr>
          <w:rFonts w:hint="eastAsia" w:ascii="仿宋" w:hAnsi="微软雅黑" w:eastAsia="仿宋" w:cs="Times New Roman"/>
          <w:sz w:val="28"/>
          <w:szCs w:val="28"/>
          <w:lang w:val="en-US" w:eastAsia="zh-Hans"/>
        </w:rPr>
        <w:t>预算</w:t>
      </w:r>
      <w:r>
        <w:rPr>
          <w:rFonts w:hint="eastAsia" w:ascii="仿宋" w:hAnsi="微软雅黑" w:eastAsia="仿宋" w:cs="Times New Roman"/>
          <w:sz w:val="28"/>
          <w:szCs w:val="28"/>
          <w:lang w:val="en-US" w:eastAsia="zh-CN"/>
        </w:rPr>
        <w:t>减少0.13万元，下降1.85%，其中：因公出国（境）费增加0.00万元，增长0.00%，主要原因是2024年及2025年我单位均未安排因公出国（境）经费预算；</w:t>
      </w:r>
      <w:r>
        <w:rPr>
          <w:rFonts w:hint="eastAsia" w:ascii="仿宋" w:hAnsi="微软雅黑" w:eastAsia="仿宋" w:cs="Times New Roman"/>
          <w:sz w:val="28"/>
          <w:szCs w:val="28"/>
        </w:rPr>
        <w:t>公务用车购置费增加</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2024年及2025年我单位均未安排</w:t>
      </w:r>
      <w:r>
        <w:rPr>
          <w:rFonts w:hint="eastAsia" w:ascii="仿宋" w:hAnsi="微软雅黑" w:eastAsia="仿宋" w:cs="Times New Roman"/>
          <w:sz w:val="28"/>
          <w:szCs w:val="28"/>
        </w:rPr>
        <w:t>无公务用车购置</w:t>
      </w:r>
      <w:r>
        <w:rPr>
          <w:rFonts w:hint="eastAsia" w:ascii="仿宋" w:hAnsi="微软雅黑" w:eastAsia="仿宋" w:cs="Times New Roman"/>
          <w:sz w:val="28"/>
          <w:szCs w:val="28"/>
          <w:lang w:val="en-US" w:eastAsia="zh-CN"/>
        </w:rPr>
        <w:t>费预算</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公务用车运行费增加0.30万元，增长</w:t>
      </w:r>
      <w:r>
        <w:rPr>
          <w:rFonts w:hint="eastAsia" w:ascii="仿宋" w:hAnsi="微软雅黑" w:eastAsia="仿宋" w:cs="Times New Roman"/>
          <w:sz w:val="28"/>
          <w:szCs w:val="28"/>
          <w:highlight w:val="none"/>
          <w:lang w:val="en-US" w:eastAsia="zh-CN"/>
        </w:rPr>
        <w:t>4.92%，主要原因是2024年公务用车运行经费未按标准制定预算，2025年按照每辆1.6万元执行预算；</w:t>
      </w:r>
      <w:r>
        <w:rPr>
          <w:rFonts w:hint="eastAsia" w:ascii="仿宋" w:hAnsi="微软雅黑" w:eastAsia="仿宋" w:cs="Times New Roman"/>
          <w:sz w:val="28"/>
          <w:szCs w:val="28"/>
          <w:lang w:val="en-US" w:eastAsia="zh-CN"/>
        </w:rPr>
        <w:t>公务接待费减少0.43万元，下降46.24%，</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2025年公务接待费实际使用数减少，故预算金额减少</w:t>
      </w:r>
      <w:r>
        <w:rPr>
          <w:rFonts w:hint="eastAsia" w:ascii="仿宋" w:hAnsi="微软雅黑" w:eastAsia="仿宋" w:cs="Times New Roman"/>
          <w:sz w:val="28"/>
          <w:szCs w:val="28"/>
        </w:rPr>
        <w:t>。</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val="en-US" w:eastAsia="zh-Hans"/>
        </w:rPr>
        <w:t>十</w:t>
      </w:r>
      <w:r>
        <w:rPr>
          <w:rFonts w:hint="eastAsia" w:ascii="仿宋" w:hAnsi="微软雅黑" w:eastAsia="仿宋" w:cs="Times New Roman"/>
          <w:b/>
          <w:bCs/>
          <w:sz w:val="28"/>
          <w:szCs w:val="28"/>
          <w:lang w:val="en-US" w:eastAsia="zh-CN"/>
        </w:rPr>
        <w:t>一</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lang w:val="en-US" w:eastAsia="zh-CN"/>
        </w:rPr>
        <w:t>上年结转结余</w:t>
      </w:r>
      <w:r>
        <w:rPr>
          <w:rFonts w:hint="eastAsia" w:ascii="仿宋" w:hAnsi="微软雅黑" w:eastAsia="仿宋" w:cs="Times New Roman"/>
          <w:b/>
          <w:bCs/>
          <w:sz w:val="28"/>
          <w:szCs w:val="28"/>
        </w:rPr>
        <w:t>预算情况说明</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val="en-US" w:eastAsia="zh-CN"/>
        </w:rPr>
        <w:t>中共呼图壁县委员会宣传部2025</w:t>
      </w:r>
      <w:r>
        <w:rPr>
          <w:rFonts w:hint="eastAsia" w:ascii="仿宋" w:hAnsi="微软雅黑" w:eastAsia="仿宋" w:cs="Times New Roman"/>
          <w:sz w:val="28"/>
          <w:szCs w:val="28"/>
          <w:highlight w:val="none"/>
        </w:rPr>
        <w:t>年</w:t>
      </w:r>
      <w:r>
        <w:rPr>
          <w:rFonts w:hint="eastAsia" w:ascii="仿宋" w:hAnsi="微软雅黑" w:eastAsia="仿宋" w:cs="Times New Roman"/>
          <w:sz w:val="28"/>
          <w:szCs w:val="28"/>
          <w:highlight w:val="none"/>
          <w:lang w:val="en-US" w:eastAsia="zh-CN"/>
        </w:rPr>
        <w:t>上年结转结余</w:t>
      </w:r>
      <w:r>
        <w:rPr>
          <w:rFonts w:hint="eastAsia" w:ascii="仿宋" w:hAnsi="微软雅黑" w:eastAsia="仿宋" w:cs="Times New Roman"/>
          <w:sz w:val="28"/>
          <w:szCs w:val="28"/>
          <w:highlight w:val="none"/>
        </w:rPr>
        <w:t>预算</w:t>
      </w:r>
      <w:r>
        <w:rPr>
          <w:rFonts w:hint="eastAsia" w:ascii="仿宋" w:hAnsi="微软雅黑" w:eastAsia="仿宋" w:cs="Times New Roman"/>
          <w:sz w:val="28"/>
          <w:szCs w:val="28"/>
          <w:highlight w:val="none"/>
          <w:lang w:val="en-US" w:eastAsia="zh-CN"/>
        </w:rPr>
        <w:t>6.24万元，包括：财政拨款6.24万元</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非财政拨款0万元，</w:t>
      </w:r>
      <w:r>
        <w:rPr>
          <w:rFonts w:hint="eastAsia" w:ascii="仿宋" w:hAnsi="微软雅黑" w:eastAsia="仿宋" w:cs="Times New Roman"/>
          <w:sz w:val="28"/>
          <w:szCs w:val="28"/>
          <w:highlight w:val="none"/>
          <w:lang w:eastAsia="zh-CN"/>
        </w:rPr>
        <w:t>其中：</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1.2024年访惠聚为民办实事1.50万元，主要用于：2025年访惠聚为民办实事。</w:t>
      </w:r>
    </w:p>
    <w:p>
      <w:pPr>
        <w:widowControl/>
        <w:spacing w:line="560" w:lineRule="exact"/>
        <w:ind w:firstLine="560" w:firstLineChars="200"/>
        <w:rPr>
          <w:rFonts w:hint="default"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2.2024年中央补助地方公共文化服务体系建设补助资金4.74万元，主要用于：2025年中央补助地方公共文化服务体系建设补助项目。</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val="en-US" w:eastAsia="zh-Hans"/>
        </w:rPr>
        <w:t>十</w:t>
      </w:r>
      <w:r>
        <w:rPr>
          <w:rFonts w:hint="eastAsia" w:ascii="仿宋" w:hAnsi="微软雅黑" w:eastAsia="仿宋" w:cs="Times New Roman"/>
          <w:b/>
          <w:bCs/>
          <w:sz w:val="28"/>
          <w:szCs w:val="28"/>
          <w:lang w:val="en-US" w:eastAsia="zh-CN"/>
        </w:rPr>
        <w:t>二</w:t>
      </w:r>
      <w:r>
        <w:rPr>
          <w:rFonts w:hint="eastAsia" w:ascii="仿宋" w:hAnsi="微软雅黑" w:eastAsia="仿宋" w:cs="Times New Roman"/>
          <w:b/>
          <w:bCs/>
          <w:sz w:val="28"/>
          <w:szCs w:val="28"/>
        </w:rPr>
        <w:t>、其他重要事项的情况说明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rPr>
        <w:t>（一）</w:t>
      </w:r>
      <w:r>
        <w:rPr>
          <w:rFonts w:hint="eastAsia" w:ascii="仿宋" w:hAnsi="微软雅黑" w:eastAsia="仿宋" w:cs="Times New Roman"/>
          <w:sz w:val="28"/>
          <w:szCs w:val="28"/>
          <w:lang w:val="en-US" w:eastAsia="zh-CN"/>
        </w:rPr>
        <w:t>单位</w:t>
      </w:r>
      <w:r>
        <w:rPr>
          <w:rFonts w:hint="eastAsia" w:ascii="仿宋" w:hAnsi="微软雅黑" w:eastAsia="仿宋" w:cs="Times New Roman"/>
          <w:sz w:val="28"/>
          <w:szCs w:val="28"/>
        </w:rPr>
        <w:t>运行经费情况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的机关运行经费财政拨款预算</w:t>
      </w:r>
      <w:r>
        <w:rPr>
          <w:rFonts w:hint="eastAsia" w:ascii="仿宋" w:hAnsi="微软雅黑" w:eastAsia="仿宋" w:cs="Times New Roman"/>
          <w:sz w:val="28"/>
          <w:szCs w:val="28"/>
          <w:lang w:val="en-US" w:eastAsia="zh-CN"/>
        </w:rPr>
        <w:t>17.06</w:t>
      </w:r>
      <w:r>
        <w:rPr>
          <w:rFonts w:hint="eastAsia" w:ascii="仿宋" w:hAnsi="微软雅黑" w:eastAsia="仿宋" w:cs="Times New Roman"/>
          <w:sz w:val="28"/>
          <w:szCs w:val="28"/>
        </w:rPr>
        <w:t>万元，比上年预算增加</w:t>
      </w:r>
      <w:r>
        <w:rPr>
          <w:rFonts w:hint="eastAsia" w:ascii="仿宋" w:hAnsi="微软雅黑" w:eastAsia="仿宋" w:cs="Times New Roman"/>
          <w:sz w:val="28"/>
          <w:szCs w:val="28"/>
          <w:lang w:val="en-US" w:eastAsia="zh-CN"/>
        </w:rPr>
        <w:t>11.02</w:t>
      </w:r>
      <w:r>
        <w:rPr>
          <w:rFonts w:hint="eastAsia" w:ascii="仿宋" w:hAnsi="微软雅黑" w:eastAsia="仿宋" w:cs="Times New Roman"/>
          <w:sz w:val="28"/>
          <w:szCs w:val="28"/>
        </w:rPr>
        <w:t>万元，增长</w:t>
      </w:r>
      <w:r>
        <w:rPr>
          <w:rFonts w:hint="eastAsia" w:ascii="仿宋" w:hAnsi="微软雅黑" w:eastAsia="仿宋" w:cs="Times New Roman"/>
          <w:sz w:val="28"/>
          <w:szCs w:val="28"/>
          <w:lang w:val="en-US" w:eastAsia="zh-CN"/>
        </w:rPr>
        <w:t>182.45</w:t>
      </w:r>
      <w:r>
        <w:rPr>
          <w:rFonts w:hint="eastAsia" w:ascii="仿宋" w:hAnsi="微软雅黑" w:eastAsia="仿宋" w:cs="Times New Roman"/>
          <w:sz w:val="28"/>
          <w:szCs w:val="28"/>
        </w:rPr>
        <w:t>%。主要原因是</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援疆资金</w:t>
      </w:r>
      <w:bookmarkStart w:id="34" w:name="_GoBack"/>
      <w:bookmarkEnd w:id="34"/>
      <w:r>
        <w:rPr>
          <w:rFonts w:hint="eastAsia" w:ascii="仿宋" w:hAnsi="微软雅黑" w:eastAsia="仿宋" w:cs="Times New Roman"/>
          <w:sz w:val="28"/>
          <w:szCs w:val="28"/>
          <w:lang w:val="en-US" w:eastAsia="zh-CN"/>
        </w:rPr>
        <w:t>增加</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（二）政府采购情况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rPr>
        <w:t>年，</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rPr>
        <w:t>政府采购预算</w:t>
      </w:r>
      <w:r>
        <w:rPr>
          <w:rFonts w:hint="eastAsia" w:ascii="仿宋" w:hAnsi="微软雅黑" w:eastAsia="仿宋" w:cs="Times New Roman"/>
          <w:sz w:val="28"/>
          <w:szCs w:val="28"/>
          <w:lang w:val="en-US" w:eastAsia="zh-CN"/>
        </w:rPr>
        <w:t>423.05</w:t>
      </w:r>
      <w:r>
        <w:rPr>
          <w:rFonts w:hint="eastAsia" w:ascii="仿宋" w:hAnsi="微软雅黑" w:eastAsia="仿宋" w:cs="Times New Roman"/>
          <w:sz w:val="28"/>
          <w:szCs w:val="28"/>
        </w:rPr>
        <w:t>万元，其中：政府采购货物预算</w:t>
      </w:r>
      <w:r>
        <w:rPr>
          <w:rFonts w:hint="eastAsia" w:ascii="仿宋" w:hAnsi="微软雅黑" w:eastAsia="仿宋" w:cs="Times New Roman"/>
          <w:sz w:val="28"/>
          <w:szCs w:val="28"/>
          <w:lang w:val="en-US" w:eastAsia="zh-CN"/>
        </w:rPr>
        <w:t>102.37</w:t>
      </w:r>
      <w:r>
        <w:rPr>
          <w:rFonts w:hint="eastAsia" w:ascii="仿宋" w:hAnsi="微软雅黑" w:eastAsia="仿宋" w:cs="Times New Roman"/>
          <w:sz w:val="28"/>
          <w:szCs w:val="28"/>
        </w:rPr>
        <w:t>万元，政府采购工程预算</w:t>
      </w:r>
      <w:r>
        <w:rPr>
          <w:rFonts w:hint="eastAsia" w:ascii="仿宋" w:hAnsi="微软雅黑" w:eastAsia="仿宋" w:cs="Times New Roman"/>
          <w:sz w:val="28"/>
          <w:szCs w:val="28"/>
          <w:lang w:val="en-US" w:eastAsia="zh-CN"/>
        </w:rPr>
        <w:t>80.00</w:t>
      </w:r>
      <w:r>
        <w:rPr>
          <w:rFonts w:hint="eastAsia" w:ascii="仿宋" w:hAnsi="微软雅黑" w:eastAsia="仿宋" w:cs="Times New Roman"/>
          <w:sz w:val="28"/>
          <w:szCs w:val="28"/>
        </w:rPr>
        <w:t>万元，政府采购服务预算</w:t>
      </w:r>
      <w:r>
        <w:rPr>
          <w:rFonts w:hint="eastAsia" w:ascii="仿宋" w:hAnsi="微软雅黑" w:eastAsia="仿宋" w:cs="Times New Roman"/>
          <w:sz w:val="28"/>
          <w:szCs w:val="28"/>
          <w:lang w:val="en-US" w:eastAsia="zh-CN"/>
        </w:rPr>
        <w:t>240.68</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rPr>
        <w:t>年，</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rPr>
        <w:t>面向中小企业预留政府采购项目预算金额</w:t>
      </w:r>
      <w:r>
        <w:rPr>
          <w:rFonts w:hint="eastAsia" w:ascii="仿宋" w:hAnsi="微软雅黑" w:eastAsia="仿宋" w:cs="Times New Roman"/>
          <w:sz w:val="28"/>
          <w:szCs w:val="28"/>
          <w:lang w:val="en-US" w:eastAsia="zh-CN"/>
        </w:rPr>
        <w:t>343.05</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小微</w:t>
      </w:r>
      <w:r>
        <w:rPr>
          <w:rFonts w:hint="eastAsia" w:ascii="仿宋" w:hAnsi="微软雅黑" w:eastAsia="仿宋" w:cs="Times New Roman"/>
          <w:sz w:val="28"/>
          <w:szCs w:val="28"/>
        </w:rPr>
        <w:t>企业预留政府采购项目预算金额</w:t>
      </w:r>
      <w:r>
        <w:rPr>
          <w:rFonts w:hint="eastAsia" w:ascii="仿宋" w:hAnsi="微软雅黑" w:eastAsia="仿宋" w:cs="Times New Roman"/>
          <w:sz w:val="28"/>
          <w:szCs w:val="28"/>
          <w:lang w:val="en-US" w:eastAsia="zh-CN"/>
        </w:rPr>
        <w:t>343.05</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（三）国有资产占用使用情况</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rPr>
        <w:t>截至</w:t>
      </w:r>
      <w:r>
        <w:rPr>
          <w:rFonts w:hint="eastAsia" w:ascii="仿宋" w:hAnsi="微软雅黑" w:eastAsia="仿宋" w:cs="Times New Roman"/>
          <w:sz w:val="28"/>
          <w:szCs w:val="28"/>
          <w:lang w:val="en-US" w:eastAsia="zh-CN"/>
        </w:rPr>
        <w:t>2024</w:t>
      </w:r>
      <w:r>
        <w:rPr>
          <w:rFonts w:hint="eastAsia" w:ascii="仿宋" w:hAnsi="微软雅黑" w:eastAsia="仿宋" w:cs="Times New Roman"/>
          <w:sz w:val="28"/>
          <w:szCs w:val="28"/>
        </w:rPr>
        <w:t>年底，</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rPr>
        <w:t>占用使用国有资产总体情况为</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1.房屋</w:t>
      </w:r>
      <w:r>
        <w:rPr>
          <w:rFonts w:hint="eastAsia" w:ascii="仿宋" w:hAnsi="微软雅黑" w:eastAsia="仿宋" w:cs="Times New Roman"/>
          <w:sz w:val="28"/>
          <w:szCs w:val="28"/>
          <w:lang w:val="en-US" w:eastAsia="zh-CN"/>
        </w:rPr>
        <w:t>8208</w:t>
      </w:r>
      <w:r>
        <w:rPr>
          <w:rFonts w:hint="eastAsia" w:ascii="仿宋" w:hAnsi="微软雅黑" w:eastAsia="仿宋" w:cs="Times New Roman"/>
          <w:sz w:val="28"/>
          <w:szCs w:val="28"/>
        </w:rPr>
        <w:t>平方米，价值</w:t>
      </w:r>
      <w:r>
        <w:rPr>
          <w:rFonts w:hint="eastAsia" w:ascii="仿宋" w:hAnsi="微软雅黑" w:eastAsia="仿宋" w:cs="Times New Roman"/>
          <w:sz w:val="28"/>
          <w:szCs w:val="28"/>
          <w:lang w:val="en-US" w:eastAsia="zh-CN"/>
        </w:rPr>
        <w:t>917.34</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2.车辆</w:t>
      </w:r>
      <w:r>
        <w:rPr>
          <w:rFonts w:hint="eastAsia" w:ascii="仿宋" w:hAnsi="微软雅黑" w:eastAsia="仿宋" w:cs="Times New Roman"/>
          <w:sz w:val="28"/>
          <w:szCs w:val="28"/>
          <w:lang w:val="en-US" w:eastAsia="zh-CN"/>
        </w:rPr>
        <w:t>4</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74.47</w:t>
      </w:r>
      <w:r>
        <w:rPr>
          <w:rFonts w:hint="eastAsia" w:ascii="仿宋" w:hAnsi="微软雅黑" w:eastAsia="仿宋" w:cs="Times New Roman"/>
          <w:sz w:val="28"/>
          <w:szCs w:val="28"/>
        </w:rPr>
        <w:t>万元；其中：一般公务用车</w:t>
      </w:r>
      <w:r>
        <w:rPr>
          <w:rFonts w:hint="eastAsia" w:ascii="仿宋" w:hAnsi="微软雅黑" w:eastAsia="仿宋" w:cs="Times New Roman"/>
          <w:sz w:val="28"/>
          <w:szCs w:val="28"/>
          <w:lang w:val="en-US" w:eastAsia="zh-CN"/>
        </w:rPr>
        <w:t>3</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60.86</w:t>
      </w:r>
      <w:r>
        <w:rPr>
          <w:rFonts w:hint="eastAsia" w:ascii="仿宋" w:hAnsi="微软雅黑" w:eastAsia="仿宋" w:cs="Times New Roman"/>
          <w:sz w:val="28"/>
          <w:szCs w:val="28"/>
        </w:rPr>
        <w:t>万元；执法执勤用车</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万元；其他车辆</w:t>
      </w: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13.61</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3.办公家具价值</w:t>
      </w:r>
      <w:r>
        <w:rPr>
          <w:rFonts w:hint="eastAsia" w:ascii="仿宋" w:hAnsi="微软雅黑" w:eastAsia="仿宋" w:cs="Times New Roman"/>
          <w:sz w:val="28"/>
          <w:szCs w:val="28"/>
          <w:lang w:val="en-US" w:eastAsia="zh-CN"/>
        </w:rPr>
        <w:t>47.99</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4.其他资产价值</w:t>
      </w:r>
      <w:r>
        <w:rPr>
          <w:rFonts w:hint="eastAsia" w:ascii="仿宋" w:hAnsi="微软雅黑" w:eastAsia="仿宋" w:cs="Times New Roman"/>
          <w:sz w:val="28"/>
          <w:szCs w:val="28"/>
          <w:lang w:val="en-US" w:eastAsia="zh-CN"/>
        </w:rPr>
        <w:t>997.15</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价值50万元以上大型设备</w:t>
      </w:r>
      <w:r>
        <w:rPr>
          <w:rFonts w:hint="eastAsia" w:ascii="仿宋" w:hAnsi="微软雅黑" w:eastAsia="仿宋" w:cs="Times New Roman"/>
          <w:sz w:val="28"/>
          <w:szCs w:val="28"/>
          <w:lang w:val="en-US" w:eastAsia="zh-CN"/>
        </w:rPr>
        <w:t>3</w:t>
      </w:r>
      <w:r>
        <w:rPr>
          <w:rFonts w:hint="eastAsia" w:ascii="仿宋" w:hAnsi="微软雅黑" w:eastAsia="仿宋" w:cs="Times New Roman"/>
          <w:sz w:val="28"/>
          <w:szCs w:val="28"/>
        </w:rPr>
        <w:t>台，</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价值100万元以上大型设备</w:t>
      </w: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台。</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2024年</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预算未安排购置车辆经费，安排购置50万元以上大型设备</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台，单位价值100万元以上大型设备</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台。</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（四）</w:t>
      </w:r>
      <w:r>
        <w:rPr>
          <w:rFonts w:hint="eastAsia" w:ascii="仿宋" w:hAnsi="微软雅黑" w:eastAsia="仿宋" w:cs="Times New Roman"/>
          <w:sz w:val="28"/>
          <w:szCs w:val="28"/>
        </w:rPr>
        <w:t>预算绩效情况</w:t>
      </w:r>
    </w:p>
    <w:p>
      <w:pPr>
        <w:widowControl/>
        <w:spacing w:line="560" w:lineRule="exact"/>
        <w:ind w:firstLine="560" w:firstLineChars="200"/>
        <w:rPr>
          <w:rFonts w:hint="eastAsia" w:ascii="仿宋" w:hAnsi="微软雅黑" w:eastAsia="仿宋" w:cs="Times New Roman"/>
          <w:sz w:val="28"/>
          <w:szCs w:val="28"/>
          <w:lang w:eastAsia="zh-CN"/>
        </w:rPr>
      </w:pPr>
      <w:r>
        <w:rPr>
          <w:rFonts w:hint="default" w:ascii="仿宋" w:hAnsi="微软雅黑" w:eastAsia="仿宋" w:cs="Times New Roman"/>
          <w:sz w:val="28"/>
          <w:szCs w:val="28"/>
          <w:lang w:eastAsia="zh-CN"/>
        </w:rPr>
        <w:t>202</w:t>
      </w:r>
      <w:r>
        <w:rPr>
          <w:rFonts w:hint="default"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lang w:val="en-US" w:eastAsia="zh-CN"/>
        </w:rPr>
        <w:t>本部门</w:t>
      </w:r>
      <w:r>
        <w:rPr>
          <w:rFonts w:hint="eastAsia" w:ascii="仿宋" w:hAnsi="微软雅黑" w:eastAsia="仿宋" w:cs="Times New Roman"/>
          <w:sz w:val="28"/>
          <w:szCs w:val="28"/>
          <w:lang w:eastAsia="zh-CN"/>
        </w:rPr>
        <w:t>预算绩效管理</w:t>
      </w:r>
      <w:r>
        <w:rPr>
          <w:rFonts w:hint="eastAsia" w:ascii="仿宋" w:hAnsi="微软雅黑" w:eastAsia="仿宋" w:cs="Times New Roman"/>
          <w:sz w:val="28"/>
          <w:szCs w:val="28"/>
          <w:lang w:val="en-US" w:eastAsia="zh-CN"/>
        </w:rPr>
        <w:t>整体预算绩效目标1个，涉及预算金额1294.57万元；当年预算安排项目共3个，其中:</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eastAsia="zh-CN"/>
        </w:rPr>
        <w:t>项目</w:t>
      </w:r>
      <w:r>
        <w:rPr>
          <w:rFonts w:hint="eastAsia" w:ascii="仿宋" w:hAnsi="微软雅黑" w:eastAsia="仿宋" w:cs="Times New Roman"/>
          <w:sz w:val="28"/>
          <w:szCs w:val="28"/>
          <w:lang w:val="en-US" w:eastAsia="zh-CN"/>
        </w:rPr>
        <w:t>涉及预算金额215万元；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eastAsia="zh-CN"/>
        </w:rPr>
        <w:t>涉及预算金额</w:t>
      </w:r>
      <w:r>
        <w:rPr>
          <w:rFonts w:hint="eastAsia" w:ascii="仿宋" w:hAnsi="微软雅黑" w:eastAsia="仿宋" w:cs="Times New Roman"/>
          <w:sz w:val="28"/>
          <w:szCs w:val="28"/>
          <w:lang w:val="en-US" w:eastAsia="zh-CN"/>
        </w:rPr>
        <w:t>490</w:t>
      </w:r>
      <w:r>
        <w:rPr>
          <w:rFonts w:hint="eastAsia" w:ascii="仿宋" w:hAnsi="微软雅黑" w:eastAsia="仿宋" w:cs="Times New Roman"/>
          <w:sz w:val="28"/>
          <w:szCs w:val="28"/>
          <w:lang w:eastAsia="zh-CN"/>
        </w:rPr>
        <w:t>万元。具体情况见下表：</w:t>
      </w:r>
      <w:r>
        <w:rPr>
          <w:rFonts w:hint="eastAsia" w:ascii="仿宋" w:hAnsi="微软雅黑" w:eastAsia="仿宋" w:cs="Times New Roman"/>
          <w:sz w:val="28"/>
          <w:szCs w:val="28"/>
          <w:lang w:val="en-US" w:eastAsia="zh-CN"/>
        </w:rPr>
        <w:t xml:space="preserve">  </w:t>
      </w:r>
    </w:p>
    <w:tbl>
      <w:tblPr>
        <w:tblStyle w:val="12"/>
        <w:tblpPr w:leftFromText="180" w:rightFromText="180" w:vertAnchor="text" w:horzAnchor="page" w:tblpX="1493" w:tblpY="-1252"/>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 w:hAnsi="Calibri" w:eastAsia="仿宋" w:cs="Times New Roman"/>
                <w:b/>
                <w:sz w:val="28"/>
                <w:szCs w:val="28"/>
                <w:lang w:val="en-US" w:eastAsia="zh-CN"/>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 w:hAnsi="Calibri" w:eastAsia="仿宋" w:cs="Times New Roman"/>
                <w:sz w:val="18"/>
                <w:szCs w:val="18"/>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sz w:val="18"/>
                <w:szCs w:val="18"/>
              </w:rPr>
            </w:pPr>
            <w:r>
              <w:rPr>
                <w:rFonts w:hint="eastAsia" w:ascii="Calibri" w:hAnsi="Calibri" w:eastAsia="宋体" w:cs="Times New Roman"/>
                <w:b/>
                <w:sz w:val="18"/>
                <w:szCs w:val="18"/>
                <w:lang w:val="en-US" w:eastAsia="zh-CN"/>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Calibri" w:hAnsi="Calibri" w:eastAsia="宋体" w:cs="Times New Roman"/>
                <w:sz w:val="18"/>
                <w:szCs w:val="18"/>
                <w:lang w:val="en-US" w:eastAsia="zh-CN"/>
              </w:rPr>
              <w:t>王安东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Calibri" w:hAnsi="Calibri" w:eastAsia="宋体" w:cs="Times New Roman"/>
                <w:b/>
                <w:sz w:val="18"/>
                <w:szCs w:val="18"/>
                <w:lang w:val="en-US" w:eastAsia="zh-CN"/>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Calibri" w:hAnsi="Calibri" w:eastAsia="宋体" w:cs="Times New Roman"/>
                <w:sz w:val="18"/>
                <w:szCs w:val="18"/>
                <w:lang w:val="en-US" w:eastAsia="zh-CN"/>
              </w:rPr>
              <w:t>4502352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br w:type="textWrapping"/>
            </w:r>
            <w:r>
              <w:rPr>
                <w:rFonts w:hint="eastAsia" w:ascii="Calibri" w:hAnsi="Calibri" w:eastAsia="宋体" w:cs="Times New Roman"/>
                <w:b/>
                <w:sz w:val="18"/>
                <w:szCs w:val="18"/>
                <w:lang w:val="en-US" w:eastAsia="zh-CN"/>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Calibri" w:hAnsi="Calibri" w:eastAsia="宋体" w:cs="Times New Roman"/>
                <w:sz w:val="18"/>
                <w:szCs w:val="18"/>
                <w:lang w:val="en-US" w:eastAsia="zh-CN"/>
              </w:rPr>
              <w:t>1、指导全县理论学习、理论宣传、理论研究工作；2、负责引导社会舆论，指导、协调新闻单位紧紧围绕党的中心任务和重点工作，组织战役性宣传；3、负责提出全县宣传思想文化事业发展的指导方针，指导宣传文化系统指定有关政策、法规，协调宣传文化系统各部门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1284.83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Calibri" w:hAnsi="Calibri" w:eastAsia="宋体" w:cs="Times New Roman"/>
                <w:sz w:val="18"/>
                <w:szCs w:val="18"/>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管理效率</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开展新时代文明实践志愿服务活动数量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开展宣讲活动次数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&gt;=60场次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报送新闻线索数量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&gt;=24条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全民阅读活动场次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&gt;=4场次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学习强国活跃度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&gt;=75%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bl>
    <w:tbl>
      <w:tblPr>
        <w:tblStyle w:val="12"/>
        <w:tblpPr w:leftFromText="180" w:rightFromText="180" w:vertAnchor="text" w:horzAnchor="page" w:tblpX="1376" w:tblpY="200"/>
        <w:tblOverlap w:val="never"/>
        <w:tblW w:w="94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1"/>
        <w:gridCol w:w="984"/>
        <w:gridCol w:w="1145"/>
        <w:gridCol w:w="1016"/>
        <w:gridCol w:w="1548"/>
        <w:gridCol w:w="823"/>
        <w:gridCol w:w="806"/>
        <w:gridCol w:w="1000"/>
        <w:gridCol w:w="1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03"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 w:hAnsi="Calibri" w:eastAsia="仿宋" w:cs="Times New Roman"/>
                <w:b/>
                <w:sz w:val="28"/>
                <w:szCs w:val="28"/>
                <w:lang w:val="en-US" w:eastAsia="zh-CN"/>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03"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仿宋" w:hAnsi="Calibri" w:eastAsia="仿宋" w:cs="Times New Roman"/>
                <w:sz w:val="18"/>
                <w:szCs w:val="18"/>
                <w:lang w:val="en-US" w:eastAsia="zh-Hans"/>
              </w:rPr>
              <w:t>（</w:t>
            </w:r>
            <w:r>
              <w:rPr>
                <w:rFonts w:hint="default" w:ascii="仿宋" w:hAnsi="Calibri" w:eastAsia="仿宋" w:cs="Times New Roman"/>
                <w:sz w:val="18"/>
                <w:szCs w:val="18"/>
                <w:lang w:val="en-US" w:eastAsia="zh-Hans"/>
              </w:rPr>
              <w:t>202</w:t>
            </w:r>
            <w:r>
              <w:rPr>
                <w:rFonts w:hint="eastAsia" w:ascii="仿宋" w:hAnsi="Calibri" w:eastAsia="仿宋" w:cs="Times New Roman"/>
                <w:sz w:val="18"/>
                <w:szCs w:val="18"/>
                <w:lang w:val="en-US" w:eastAsia="zh-CN"/>
              </w:rPr>
              <w:t>5</w:t>
            </w:r>
            <w:r>
              <w:rPr>
                <w:rFonts w:hint="eastAsia" w:ascii="仿宋" w:hAnsi="Calibri" w:eastAsia="仿宋" w:cs="Times New Roman"/>
                <w:sz w:val="18"/>
                <w:szCs w:val="18"/>
                <w:lang w:val="en-US" w:eastAsia="zh-Hans"/>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预算单位</w:t>
            </w:r>
          </w:p>
        </w:tc>
        <w:tc>
          <w:tcPr>
            <w:tcW w:w="733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项目名称</w:t>
            </w:r>
          </w:p>
        </w:tc>
        <w:tc>
          <w:tcPr>
            <w:tcW w:w="370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2025年正版办公软件场地授权费</w:t>
            </w:r>
          </w:p>
        </w:tc>
        <w:tc>
          <w:tcPr>
            <w:tcW w:w="162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项目负责人</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吴晨光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项目资金（万元）</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1548" w:type="dxa"/>
            <w:tcBorders>
              <w:top w:val="single" w:color="000000" w:sz="4" w:space="0"/>
              <w:left w:val="nil"/>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其中：财政拨款</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其他资金：</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项目总体目标</w:t>
            </w:r>
          </w:p>
        </w:tc>
        <w:tc>
          <w:tcPr>
            <w:tcW w:w="7338"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安装正版软件电脑3000台，资金支付及时率100%，良好提高我县软件正版化程度，安装正版软件电脑使用年限1年。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一级指标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二级指标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指标值设置依据</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上年完成值</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指标分值权重</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指标赋分规则</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产出指标</w:t>
            </w:r>
          </w:p>
        </w:tc>
        <w:tc>
          <w:tcPr>
            <w:tcW w:w="984" w:type="dxa"/>
            <w:vMerge w:val="restart"/>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安装正版软件电脑</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3000台</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1081" w:type="dxa"/>
            <w:vMerge w:val="continue"/>
            <w:tcBorders>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vMerge w:val="continue"/>
            <w:tcBorders>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使用年限</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1年</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安装覆盖率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vMerge w:val="restart"/>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时效指标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项目完成及时率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资金支出及时率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经济成本指标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成本控制率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社会成本指标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生态成本指标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restart"/>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效益指标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经济效益指标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提高我县软件正版化程度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良好</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生态效益指标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群众满意度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tbl>
      <w:tblPr>
        <w:tblStyle w:val="12"/>
        <w:tblpPr w:leftFromText="180" w:rightFromText="180" w:vertAnchor="text" w:horzAnchor="page" w:tblpX="1112" w:tblpY="200"/>
        <w:tblOverlap w:val="never"/>
        <w:tblW w:w="98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2"/>
        <w:gridCol w:w="1258"/>
        <w:gridCol w:w="1339"/>
        <w:gridCol w:w="1097"/>
        <w:gridCol w:w="1064"/>
        <w:gridCol w:w="935"/>
        <w:gridCol w:w="917"/>
        <w:gridCol w:w="1116"/>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13"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 w:hAnsi="Calibri" w:eastAsia="仿宋" w:cs="Times New Roman"/>
                <w:b/>
                <w:sz w:val="28"/>
                <w:szCs w:val="28"/>
                <w:lang w:val="en-US" w:eastAsia="zh-CN"/>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3"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仿宋" w:hAnsi="Calibri" w:eastAsia="仿宋" w:cs="Times New Roman"/>
                <w:sz w:val="18"/>
                <w:szCs w:val="18"/>
                <w:lang w:val="en-US" w:eastAsia="zh-Hans"/>
              </w:rPr>
              <w:t>（</w:t>
            </w:r>
            <w:r>
              <w:rPr>
                <w:rFonts w:hint="default" w:ascii="仿宋" w:hAnsi="Calibri" w:eastAsia="仿宋" w:cs="Times New Roman"/>
                <w:sz w:val="18"/>
                <w:szCs w:val="18"/>
                <w:lang w:val="en-US" w:eastAsia="zh-Hans"/>
              </w:rPr>
              <w:t>202</w:t>
            </w:r>
            <w:r>
              <w:rPr>
                <w:rFonts w:hint="eastAsia" w:ascii="仿宋" w:hAnsi="Calibri" w:eastAsia="仿宋" w:cs="Times New Roman"/>
                <w:sz w:val="18"/>
                <w:szCs w:val="18"/>
                <w:lang w:val="en-US" w:eastAsia="zh-CN"/>
              </w:rPr>
              <w:t>5</w:t>
            </w:r>
            <w:r>
              <w:rPr>
                <w:rFonts w:hint="eastAsia" w:ascii="仿宋" w:hAnsi="Calibri" w:eastAsia="仿宋" w:cs="Times New Roman"/>
                <w:sz w:val="18"/>
                <w:szCs w:val="18"/>
                <w:lang w:val="en-US" w:eastAsia="zh-Hans"/>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预算单位</w:t>
            </w:r>
          </w:p>
        </w:tc>
        <w:tc>
          <w:tcPr>
            <w:tcW w:w="7533"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项目名称</w:t>
            </w:r>
          </w:p>
        </w:tc>
        <w:tc>
          <w:tcPr>
            <w:tcW w:w="35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br w:type="textWrapping"/>
            </w:r>
            <w:r>
              <w:rPr>
                <w:rFonts w:hint="eastAsia" w:ascii="Calibri" w:hAnsi="Calibri" w:eastAsia="宋体" w:cs="Times New Roman"/>
                <w:sz w:val="18"/>
                <w:szCs w:val="18"/>
                <w:lang w:val="en-US" w:eastAsia="zh-CN"/>
              </w:rPr>
              <w:t>2026年党报党刊</w:t>
            </w:r>
          </w:p>
          <w:p>
            <w:pPr>
              <w:jc w:val="center"/>
              <w:rPr>
                <w:rFonts w:hint="eastAsia" w:ascii="Calibri" w:hAnsi="Calibri" w:eastAsia="宋体" w:cs="Times New Roman"/>
                <w:sz w:val="18"/>
                <w:szCs w:val="18"/>
                <w:lang w:val="en-US" w:eastAsia="zh-CN"/>
              </w:rPr>
            </w:pPr>
          </w:p>
        </w:tc>
        <w:tc>
          <w:tcPr>
            <w:tcW w:w="185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项目负责人</w:t>
            </w:r>
          </w:p>
        </w:tc>
        <w:tc>
          <w:tcPr>
            <w:tcW w:w="218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摆新海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项目资金（万元）</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年度预算总额：</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160</w:t>
            </w:r>
          </w:p>
        </w:tc>
        <w:tc>
          <w:tcPr>
            <w:tcW w:w="1064" w:type="dxa"/>
            <w:tcBorders>
              <w:top w:val="single" w:color="000000" w:sz="4" w:space="0"/>
              <w:left w:val="nil"/>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其中：财政拨款</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其他资金：</w:t>
            </w:r>
          </w:p>
        </w:tc>
        <w:tc>
          <w:tcPr>
            <w:tcW w:w="218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项目总体目标</w:t>
            </w:r>
          </w:p>
        </w:tc>
        <w:tc>
          <w:tcPr>
            <w:tcW w:w="7533"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本项目拟投入156.42万元，用于完成机关单位、学校、乡镇党报党刊征订内容，通过项目的实施，社会效益显著，促进助力党员干部提升政治素养、增强履职能力，完善推动基层群众紧跟党的步伐；改善文化效益，营造浓厚学习氛围，弘扬主流价值观，丰富精神文化生活；长期来看，能激发干事热情，提升社会凝聚力，为经济社会高质量发展提供强大的思想动力与舆论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一级指标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二级指标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三级指标</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指标值设置依据</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指标分值权重</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指标赋分规则</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产出指标</w:t>
            </w:r>
          </w:p>
        </w:tc>
        <w:tc>
          <w:tcPr>
            <w:tcW w:w="1258"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购买党报党刊数量</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10346本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购买党报党刊质量</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时效指标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购买党报党刊及时率</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14</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22"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成本指标</w:t>
            </w:r>
          </w:p>
        </w:tc>
        <w:tc>
          <w:tcPr>
            <w:tcW w:w="1258" w:type="dxa"/>
            <w:vMerge w:val="restart"/>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经济成本指标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人民日报成本标准</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288/1本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22" w:type="dxa"/>
            <w:vMerge w:val="continue"/>
            <w:tcBorders>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求是杂志成本标准</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264元/1本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社会成本指标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生态成本指标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restart"/>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效益指标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经济效益指标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提升党员政治素养</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稳步提升</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生态效益指标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各单位满意度</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bl>
    <w:p>
      <w:pPr>
        <w:jc w:val="center"/>
        <w:rPr>
          <w:rFonts w:hint="eastAsia" w:ascii="Calibri" w:hAnsi="Calibri" w:eastAsia="宋体" w:cs="Times New Roman"/>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tbl>
      <w:tblPr>
        <w:tblStyle w:val="12"/>
        <w:tblpPr w:leftFromText="180" w:rightFromText="180" w:vertAnchor="text" w:horzAnchor="page" w:tblpX="1112" w:tblpY="200"/>
        <w:tblOverlap w:val="never"/>
        <w:tblW w:w="98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8"/>
        <w:gridCol w:w="1275"/>
        <w:gridCol w:w="2048"/>
        <w:gridCol w:w="790"/>
        <w:gridCol w:w="1049"/>
        <w:gridCol w:w="838"/>
        <w:gridCol w:w="839"/>
        <w:gridCol w:w="1000"/>
        <w:gridCol w:w="1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77"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 w:hAnsi="Calibri" w:eastAsia="仿宋" w:cs="Times New Roman"/>
                <w:b/>
                <w:sz w:val="28"/>
                <w:szCs w:val="28"/>
                <w:lang w:val="en-US" w:eastAsia="zh-CN"/>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77"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仿宋" w:hAnsi="Calibri" w:eastAsia="仿宋" w:cs="Times New Roman"/>
                <w:sz w:val="18"/>
                <w:szCs w:val="18"/>
                <w:lang w:val="en-US" w:eastAsia="zh-Hans"/>
              </w:rPr>
              <w:t>（</w:t>
            </w:r>
            <w:r>
              <w:rPr>
                <w:rFonts w:hint="default" w:ascii="仿宋" w:hAnsi="Calibri" w:eastAsia="仿宋" w:cs="Times New Roman"/>
                <w:sz w:val="18"/>
                <w:szCs w:val="18"/>
                <w:lang w:val="en-US" w:eastAsia="zh-Hans"/>
              </w:rPr>
              <w:t>202</w:t>
            </w:r>
            <w:r>
              <w:rPr>
                <w:rFonts w:hint="eastAsia" w:ascii="仿宋" w:hAnsi="Calibri" w:eastAsia="仿宋" w:cs="Times New Roman"/>
                <w:sz w:val="18"/>
                <w:szCs w:val="18"/>
                <w:lang w:val="en-US" w:eastAsia="zh-CN"/>
              </w:rPr>
              <w:t>5</w:t>
            </w:r>
            <w:r>
              <w:rPr>
                <w:rFonts w:hint="eastAsia" w:ascii="仿宋" w:hAnsi="Calibri" w:eastAsia="仿宋" w:cs="Times New Roman"/>
                <w:sz w:val="18"/>
                <w:szCs w:val="18"/>
                <w:lang w:val="en-US" w:eastAsia="zh-Hans"/>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预算单位</w:t>
            </w:r>
          </w:p>
        </w:tc>
        <w:tc>
          <w:tcPr>
            <w:tcW w:w="756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项目名称</w:t>
            </w:r>
          </w:p>
        </w:tc>
        <w:tc>
          <w:tcPr>
            <w:tcW w:w="388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br w:type="textWrapping"/>
            </w:r>
            <w:r>
              <w:rPr>
                <w:rFonts w:hint="eastAsia" w:ascii="Calibri" w:hAnsi="Calibri" w:eastAsia="宋体" w:cs="Times New Roman"/>
                <w:sz w:val="18"/>
                <w:szCs w:val="18"/>
                <w:lang w:val="en-US" w:eastAsia="zh-CN"/>
              </w:rPr>
              <w:t>文艺创作扶持奖励资金</w:t>
            </w:r>
          </w:p>
          <w:p>
            <w:pPr>
              <w:jc w:val="center"/>
              <w:rPr>
                <w:rFonts w:hint="eastAsia" w:ascii="Calibri" w:hAnsi="Calibri" w:eastAsia="宋体" w:cs="Times New Roman"/>
                <w:sz w:val="18"/>
                <w:szCs w:val="18"/>
                <w:lang w:val="en-US" w:eastAsia="zh-CN"/>
              </w:rPr>
            </w:pPr>
          </w:p>
        </w:tc>
        <w:tc>
          <w:tcPr>
            <w:tcW w:w="167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项目负责人</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摆新海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项目资金（万元）</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年度预算总额：</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1049" w:type="dxa"/>
            <w:tcBorders>
              <w:top w:val="single" w:color="000000" w:sz="4" w:space="0"/>
              <w:left w:val="nil"/>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其中：财政拨款</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其他资金：</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项目总体目标</w:t>
            </w:r>
          </w:p>
        </w:tc>
        <w:tc>
          <w:tcPr>
            <w:tcW w:w="7564"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在扶持下培育出更多具有地域特色与时代精神的文艺精品，挖掘并扶持本土文艺人才，提升本地文艺创作影响力，推动文艺事业迈向新高度，助力文化繁荣发展。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一级指标</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二级指标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三级指标</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指标值设置依据</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上年完成值</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指标分值权重</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指标赋分规则</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产出指标</w:t>
            </w:r>
          </w:p>
        </w:tc>
        <w:tc>
          <w:tcPr>
            <w:tcW w:w="1275"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文艺创作扶持奖励数量</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1个</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文艺作品达到《呼图壁县文艺创作扶持奖励办法（试行）》相关标准</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时效指标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文艺作品推广完成率</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3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成本指标</w:t>
            </w:r>
          </w:p>
        </w:tc>
        <w:tc>
          <w:tcPr>
            <w:tcW w:w="1275"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经济成本指标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文艺创作扶持奖励资金</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25万</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社会成本指标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生态成本指标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restart"/>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效益指标</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经济效益指标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trPr>
        <w:tc>
          <w:tcPr>
            <w:tcW w:w="103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优质文艺作品有所增加，文化事业快速发展</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3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生态效益指标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群众对文艺创作扶持奖励的满意度</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90%</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pStyle w:val="6"/>
        <w:numPr>
          <w:ilvl w:val="0"/>
          <w:numId w:val="0"/>
        </w:numPr>
        <w:spacing w:before="0" w:after="0" w:line="560" w:lineRule="exact"/>
        <w:rPr>
          <w:rFonts w:hint="eastAsia" w:ascii="楷体" w:eastAsia="楷体" w:cs="Times New Roman"/>
          <w:sz w:val="28"/>
          <w:szCs w:val="28"/>
        </w:rPr>
      </w:pPr>
      <w:r>
        <w:rPr>
          <w:rFonts w:hint="eastAsia" w:ascii="楷体" w:eastAsia="楷体" w:cs="Times New Roman"/>
          <w:sz w:val="28"/>
          <w:szCs w:val="28"/>
          <w:lang w:eastAsia="zh-CN"/>
        </w:rPr>
        <w:t>（</w:t>
      </w:r>
      <w:r>
        <w:rPr>
          <w:rFonts w:hint="eastAsia" w:ascii="楷体" w:eastAsia="楷体" w:cs="Times New Roman"/>
          <w:sz w:val="28"/>
          <w:szCs w:val="28"/>
          <w:lang w:val="en-US" w:eastAsia="zh-CN"/>
        </w:rPr>
        <w:t>五</w:t>
      </w:r>
      <w:r>
        <w:rPr>
          <w:rFonts w:hint="eastAsia" w:ascii="楷体" w:eastAsia="楷体" w:cs="Times New Roman"/>
          <w:sz w:val="28"/>
          <w:szCs w:val="28"/>
          <w:lang w:eastAsia="zh-CN"/>
        </w:rPr>
        <w:t>）</w:t>
      </w:r>
      <w:r>
        <w:rPr>
          <w:rFonts w:hint="eastAsia" w:ascii="楷体" w:eastAsia="楷体" w:cs="Times New Roman"/>
          <w:sz w:val="28"/>
          <w:szCs w:val="28"/>
        </w:rPr>
        <w:t>其他需说明的事项</w:t>
      </w:r>
    </w:p>
    <w:p>
      <w:pPr>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 xml:space="preserve">本部门涉及非财政拨款项目1个，涉及预算金额490万元，主要原因是用于2025年呼图壁县特色文化推广中心二期工程项目，不公开绩效目标表；当年财政拨款项目sm项目1个，涉及预算金额5万元，不公开绩效目标表。 </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一、财政拨款：</w:t>
      </w:r>
      <w:r>
        <w:rPr>
          <w:rFonts w:hint="eastAsia" w:ascii="仿宋" w:hAnsi="CIDFont+F4" w:eastAsia="仿宋" w:cs="Times New Roman"/>
          <w:b w:val="0"/>
          <w:bCs/>
          <w:color w:val="000000"/>
          <w:sz w:val="28"/>
          <w:szCs w:val="28"/>
        </w:rPr>
        <w:t>指由一般公共预算、政府性基金预算、国有资本经营预算安排的财政拨款数。</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二、一般公共预算：</w:t>
      </w:r>
      <w:r>
        <w:rPr>
          <w:rFonts w:hint="eastAsia" w:ascii="仿宋" w:hAnsi="CIDFont+F4" w:eastAsia="仿宋" w:cs="Times New Roman"/>
          <w:b w:val="0"/>
          <w:bCs/>
          <w:color w:val="000000"/>
          <w:sz w:val="28"/>
          <w:szCs w:val="28"/>
        </w:rPr>
        <w:t>包括公共财政拨款（补助）资金、专项收入。</w:t>
      </w:r>
    </w:p>
    <w:p>
      <w:pPr>
        <w:spacing w:line="560" w:lineRule="exact"/>
        <w:ind w:firstLine="562" w:firstLineChars="200"/>
        <w:rPr>
          <w:rFonts w:hint="eastAsia" w:ascii="仿宋" w:hAnsi="CIDFont+F4" w:eastAsia="仿宋" w:cs="Times New Roman"/>
          <w:b/>
          <w:color w:val="000000"/>
          <w:sz w:val="28"/>
          <w:szCs w:val="28"/>
        </w:rPr>
      </w:pPr>
      <w:r>
        <w:rPr>
          <w:rFonts w:hint="eastAsia" w:ascii="仿宋" w:hAnsi="CIDFont+F4" w:eastAsia="仿宋" w:cs="Times New Roman"/>
          <w:b/>
          <w:color w:val="000000"/>
          <w:sz w:val="28"/>
          <w:szCs w:val="28"/>
        </w:rPr>
        <w:t>三、财政专户管理资金：</w:t>
      </w:r>
      <w:r>
        <w:rPr>
          <w:rFonts w:hint="eastAsia" w:ascii="仿宋" w:hAnsi="CIDFont+F4" w:eastAsia="仿宋" w:cs="Times New Roman"/>
          <w:b w:val="0"/>
          <w:bCs/>
          <w:color w:val="000000"/>
          <w:sz w:val="28"/>
          <w:szCs w:val="28"/>
        </w:rPr>
        <w:t>包括专户管理行政事业性收费（主要是教育收费）、其他非税收入。</w:t>
      </w:r>
    </w:p>
    <w:p>
      <w:pPr>
        <w:spacing w:line="560" w:lineRule="exact"/>
        <w:ind w:firstLine="562" w:firstLineChars="200"/>
        <w:rPr>
          <w:rFonts w:hint="eastAsia" w:ascii="仿宋" w:hAnsi="CIDFont+F4" w:eastAsia="仿宋" w:cs="Times New Roman"/>
          <w:b/>
          <w:color w:val="000000"/>
          <w:sz w:val="28"/>
          <w:szCs w:val="28"/>
        </w:rPr>
      </w:pPr>
      <w:r>
        <w:rPr>
          <w:rFonts w:hint="eastAsia" w:ascii="仿宋" w:hAnsi="CIDFont+F4" w:eastAsia="仿宋" w:cs="Times New Roman"/>
          <w:b/>
          <w:color w:val="000000"/>
          <w:sz w:val="28"/>
          <w:szCs w:val="28"/>
        </w:rPr>
        <w:t>四、其他资金：</w:t>
      </w:r>
      <w:r>
        <w:rPr>
          <w:rFonts w:hint="eastAsia" w:ascii="仿宋" w:hAnsi="CIDFont+F4" w:eastAsia="仿宋" w:cs="Times New Roman"/>
          <w:b w:val="0"/>
          <w:bCs/>
          <w:color w:val="000000"/>
          <w:sz w:val="28"/>
          <w:szCs w:val="28"/>
        </w:rPr>
        <w:t>包括事业收入、事业经营收入、其他收入等。</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五、基本支出：</w:t>
      </w:r>
      <w:r>
        <w:rPr>
          <w:rFonts w:hint="eastAsia" w:ascii="仿宋" w:hAnsi="CIDFont+F4" w:eastAsia="仿宋" w:cs="Times New Roman"/>
          <w:b w:val="0"/>
          <w:bCs/>
          <w:color w:val="000000"/>
          <w:sz w:val="28"/>
          <w:szCs w:val="28"/>
        </w:rPr>
        <w:t>包括人员经费、公用经费（定额）。其中，人员经费包括工资福利支出、对个人和家庭的补助。</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六、项目支出：</w:t>
      </w:r>
      <w:r>
        <w:rPr>
          <w:rFonts w:hint="eastAsia" w:ascii="仿宋" w:hAnsi="CIDFont+F4" w:eastAsia="仿宋" w:cs="Times New Roman"/>
          <w:b w:val="0"/>
          <w:bCs/>
          <w:color w:val="000000"/>
          <w:sz w:val="28"/>
          <w:szCs w:val="28"/>
          <w:lang w:eastAsia="zh-CN"/>
        </w:rPr>
        <w:t>部门</w:t>
      </w:r>
      <w:r>
        <w:rPr>
          <w:rFonts w:hint="eastAsia" w:ascii="仿宋" w:hAnsi="CIDFont+F4" w:eastAsia="仿宋" w:cs="Times New Roman"/>
          <w:b w:val="0"/>
          <w:bCs/>
          <w:color w:val="000000"/>
          <w:sz w:val="28"/>
          <w:szCs w:val="28"/>
          <w:lang w:val="en-US" w:eastAsia="zh-CN"/>
        </w:rPr>
        <w:t>（单位）</w:t>
      </w:r>
      <w:r>
        <w:rPr>
          <w:rFonts w:hint="eastAsia" w:ascii="仿宋" w:hAnsi="CIDFont+F4" w:eastAsia="仿宋" w:cs="Times New Roman"/>
          <w:b w:val="0"/>
          <w:bCs/>
          <w:color w:val="000000"/>
          <w:sz w:val="28"/>
          <w:szCs w:val="28"/>
        </w:rPr>
        <w:t>支出预算的组成部分，是</w:t>
      </w:r>
      <w:r>
        <w:rPr>
          <w:rFonts w:hint="eastAsia" w:ascii="仿宋" w:hAnsi="CIDFont+F4" w:eastAsia="仿宋" w:cs="Times New Roman"/>
          <w:b w:val="0"/>
          <w:bCs/>
          <w:color w:val="000000"/>
          <w:sz w:val="28"/>
          <w:szCs w:val="28"/>
          <w:lang w:val="en-US" w:eastAsia="zh-Hans"/>
        </w:rPr>
        <w:t>各</w:t>
      </w:r>
      <w:r>
        <w:rPr>
          <w:rFonts w:hint="eastAsia" w:ascii="仿宋" w:hAnsi="CIDFont+F4" w:eastAsia="仿宋" w:cs="Times New Roman"/>
          <w:b w:val="0"/>
          <w:bCs/>
          <w:color w:val="000000"/>
          <w:sz w:val="28"/>
          <w:szCs w:val="28"/>
          <w:lang w:eastAsia="zh-CN"/>
        </w:rPr>
        <w:t>部门</w:t>
      </w:r>
      <w:r>
        <w:rPr>
          <w:rFonts w:hint="eastAsia" w:ascii="仿宋" w:hAnsi="CIDFont+F4" w:eastAsia="仿宋" w:cs="Times New Roman"/>
          <w:b w:val="0"/>
          <w:bCs/>
          <w:color w:val="000000"/>
          <w:sz w:val="28"/>
          <w:szCs w:val="28"/>
        </w:rPr>
        <w:t>为完成其特定的行政任务或事业发展目标，在基本支出预算之外编制的年度项目支出计划。</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七、“三公”经费：</w:t>
      </w:r>
      <w:r>
        <w:rPr>
          <w:rFonts w:hint="eastAsia" w:ascii="仿宋" w:hAnsi="CIDFont+F4" w:eastAsia="仿宋" w:cs="Times New Roman"/>
          <w:b w:val="0"/>
          <w:bCs/>
          <w:color w:val="000000"/>
          <w:sz w:val="28"/>
          <w:szCs w:val="28"/>
        </w:rPr>
        <w:t>指</w:t>
      </w:r>
      <w:r>
        <w:rPr>
          <w:rFonts w:hint="eastAsia" w:ascii="仿宋" w:hAnsi="CIDFont+F4" w:eastAsia="仿宋" w:cs="Times New Roman"/>
          <w:b w:val="0"/>
          <w:bCs/>
          <w:color w:val="000000"/>
          <w:sz w:val="28"/>
          <w:szCs w:val="28"/>
          <w:lang w:val="en-US" w:eastAsia="zh-CN"/>
        </w:rPr>
        <w:t>部门（单位）</w:t>
      </w:r>
      <w:r>
        <w:rPr>
          <w:rFonts w:hint="eastAsia" w:ascii="仿宋" w:hAnsi="CIDFont+F4" w:eastAsia="仿宋" w:cs="Times New Roman"/>
          <w:b w:val="0"/>
          <w:bCs/>
          <w:color w:val="000000"/>
          <w:sz w:val="28"/>
          <w:szCs w:val="28"/>
        </w:rPr>
        <w:t>因公出国（境）费、公务用车购置及运行维护费和公务接待费</w:t>
      </w:r>
      <w:r>
        <w:rPr>
          <w:rFonts w:hint="eastAsia" w:ascii="仿宋" w:hAnsi="CIDFont+F4" w:eastAsia="仿宋" w:cs="Times New Roman"/>
          <w:b w:val="0"/>
          <w:bCs/>
          <w:color w:val="000000"/>
          <w:sz w:val="28"/>
          <w:szCs w:val="28"/>
          <w:lang w:eastAsia="zh-CN"/>
        </w:rPr>
        <w:t>，</w:t>
      </w:r>
      <w:r>
        <w:rPr>
          <w:rFonts w:hint="eastAsia" w:ascii="仿宋" w:hAnsi="CIDFont+F4" w:eastAsia="仿宋" w:cs="Times New Roman"/>
          <w:b w:val="0"/>
          <w:bCs/>
          <w:color w:val="000000"/>
          <w:sz w:val="28"/>
          <w:szCs w:val="28"/>
        </w:rPr>
        <w:t>其中</w:t>
      </w:r>
      <w:r>
        <w:rPr>
          <w:rFonts w:hint="eastAsia" w:ascii="仿宋" w:hAnsi="CIDFont+F4" w:eastAsia="仿宋" w:cs="Times New Roman"/>
          <w:b w:val="0"/>
          <w:bCs/>
          <w:color w:val="000000"/>
          <w:sz w:val="28"/>
          <w:szCs w:val="28"/>
          <w:lang w:eastAsia="zh-CN"/>
        </w:rPr>
        <w:t>：</w:t>
      </w:r>
      <w:r>
        <w:rPr>
          <w:rFonts w:hint="eastAsia" w:ascii="仿宋" w:hAnsi="CIDFont+F4" w:eastAsia="仿宋" w:cs="Times New Roman"/>
          <w:b w:val="0"/>
          <w:bCs/>
          <w:color w:val="000000"/>
          <w:sz w:val="28"/>
          <w:szCs w:val="28"/>
        </w:rPr>
        <w:t>因公出国（境）费反映</w:t>
      </w:r>
      <w:r>
        <w:rPr>
          <w:rFonts w:hint="eastAsia" w:ascii="仿宋" w:hAnsi="CIDFont+F4" w:eastAsia="仿宋" w:cs="Times New Roman"/>
          <w:b w:val="0"/>
          <w:bCs/>
          <w:color w:val="000000"/>
          <w:sz w:val="28"/>
          <w:szCs w:val="28"/>
          <w:lang w:val="en-US" w:eastAsia="zh-CN"/>
        </w:rPr>
        <w:t>机关和参公事业单位公务出国（境）的国际旅费、国外城市间交通费、住宿费、伙食费、培训费、公杂费等支出</w:t>
      </w:r>
      <w:r>
        <w:rPr>
          <w:rFonts w:hint="eastAsia" w:ascii="仿宋" w:hAnsi="CIDFont+F4" w:eastAsia="仿宋" w:cs="Times New Roman"/>
          <w:b w:val="0"/>
          <w:bCs/>
          <w:color w:val="000000"/>
          <w:sz w:val="28"/>
          <w:szCs w:val="28"/>
        </w:rPr>
        <w:t>；</w:t>
      </w:r>
      <w:r>
        <w:rPr>
          <w:rFonts w:hint="eastAsia" w:ascii="仿宋" w:hAnsi="CIDFont+F4" w:eastAsia="仿宋" w:cs="Times New Roman"/>
          <w:b w:val="0"/>
          <w:bCs/>
          <w:color w:val="000000"/>
          <w:sz w:val="28"/>
          <w:szCs w:val="28"/>
          <w:lang w:val="en-US" w:eastAsia="zh-CN"/>
        </w:rPr>
        <w:t>公务用车购置反映机关和参公事业单位公务用车购置支出（含车辆购置税、牌照费）；</w:t>
      </w:r>
      <w:r>
        <w:rPr>
          <w:rFonts w:hint="eastAsia" w:ascii="仿宋" w:hAnsi="CIDFont+F4" w:eastAsia="仿宋" w:cs="Times New Roman"/>
          <w:b w:val="0"/>
          <w:bCs/>
          <w:color w:val="000000"/>
          <w:sz w:val="28"/>
          <w:szCs w:val="28"/>
        </w:rPr>
        <w:t>公务用车运行维护费反映</w:t>
      </w:r>
      <w:r>
        <w:rPr>
          <w:rFonts w:hint="eastAsia" w:ascii="仿宋" w:hAnsi="CIDFont+F4" w:eastAsia="仿宋" w:cs="Times New Roman"/>
          <w:b w:val="0"/>
          <w:bCs/>
          <w:color w:val="000000"/>
          <w:sz w:val="28"/>
          <w:szCs w:val="28"/>
          <w:lang w:val="en-US" w:eastAsia="zh-CN"/>
        </w:rPr>
        <w:t>机关和参公事业单位按规定保留的公务用车燃料费、新能源汽车充电费、维修费、过桥过路费、保险费、安全奖励费用等支出</w:t>
      </w:r>
      <w:r>
        <w:rPr>
          <w:rFonts w:hint="eastAsia" w:ascii="仿宋" w:hAnsi="CIDFont+F4" w:eastAsia="仿宋" w:cs="Times New Roman"/>
          <w:b w:val="0"/>
          <w:bCs/>
          <w:color w:val="000000"/>
          <w:sz w:val="28"/>
          <w:szCs w:val="28"/>
        </w:rPr>
        <w:t>；公务接待费反映</w:t>
      </w:r>
      <w:r>
        <w:rPr>
          <w:rFonts w:hint="eastAsia" w:ascii="仿宋" w:hAnsi="CIDFont+F4" w:eastAsia="仿宋" w:cs="Times New Roman"/>
          <w:b w:val="0"/>
          <w:bCs/>
          <w:color w:val="000000"/>
          <w:sz w:val="28"/>
          <w:szCs w:val="28"/>
          <w:lang w:val="en-US" w:eastAsia="zh-CN"/>
        </w:rPr>
        <w:t>机关和参公事业单位</w:t>
      </w:r>
      <w:r>
        <w:rPr>
          <w:rFonts w:hint="eastAsia" w:ascii="仿宋" w:hAnsi="CIDFont+F4" w:eastAsia="仿宋" w:cs="Times New Roman"/>
          <w:b w:val="0"/>
          <w:bCs/>
          <w:color w:val="000000"/>
          <w:sz w:val="28"/>
          <w:szCs w:val="28"/>
        </w:rPr>
        <w:t>按规定开支的各类公务接待（含外宾接待）</w:t>
      </w:r>
      <w:r>
        <w:rPr>
          <w:rFonts w:hint="eastAsia" w:ascii="仿宋" w:hAnsi="CIDFont+F4" w:eastAsia="仿宋" w:cs="Times New Roman"/>
          <w:b w:val="0"/>
          <w:bCs/>
          <w:color w:val="000000"/>
          <w:sz w:val="28"/>
          <w:szCs w:val="28"/>
          <w:lang w:val="en-US" w:eastAsia="zh-CN"/>
        </w:rPr>
        <w:t>费用</w:t>
      </w:r>
      <w:r>
        <w:rPr>
          <w:rFonts w:hint="eastAsia" w:ascii="仿宋" w:hAnsi="CIDFont+F4" w:eastAsia="仿宋" w:cs="Times New Roman"/>
          <w:b w:val="0"/>
          <w:bCs/>
          <w:color w:val="000000"/>
          <w:sz w:val="28"/>
          <w:szCs w:val="28"/>
        </w:rPr>
        <w:t>。</w:t>
      </w:r>
    </w:p>
    <w:p>
      <w:pPr>
        <w:spacing w:line="560" w:lineRule="exact"/>
        <w:ind w:firstLine="562" w:firstLineChars="200"/>
        <w:rPr>
          <w:rFonts w:hint="default" w:ascii="仿宋" w:hAnsi="CIDFont+F4" w:eastAsia="仿宋" w:cs="Times New Roman"/>
          <w:b w:val="0"/>
          <w:bCs/>
          <w:color w:val="000000"/>
          <w:sz w:val="28"/>
          <w:szCs w:val="28"/>
          <w:lang w:val="en-US" w:eastAsia="zh-CN"/>
        </w:rPr>
      </w:pPr>
      <w:r>
        <w:rPr>
          <w:rFonts w:hint="eastAsia" w:ascii="仿宋" w:hAnsi="CIDFont+F4" w:eastAsia="仿宋" w:cs="Times New Roman"/>
          <w:b/>
          <w:color w:val="000000"/>
          <w:sz w:val="28"/>
          <w:szCs w:val="28"/>
        </w:rPr>
        <w:t>八、机关运行经费：</w:t>
      </w:r>
      <w:r>
        <w:rPr>
          <w:rFonts w:hint="eastAsia" w:ascii="仿宋" w:hAnsi="CIDFont+F4" w:eastAsia="仿宋" w:cs="Times New Roman"/>
          <w:b w:val="0"/>
          <w:bCs/>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b w:val="0"/>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CIDFont+F6" w:eastAsia="仿宋" w:cs="Times New Roman"/>
          <w:color w:val="000000"/>
          <w:sz w:val="28"/>
          <w:szCs w:val="28"/>
          <w:lang w:eastAsia="zh-CN"/>
        </w:rPr>
      </w:pPr>
      <w:r>
        <w:rPr>
          <w:rFonts w:hint="eastAsia" w:ascii="仿宋_GB2312" w:hAnsi="宋体" w:eastAsia="仿宋_GB2312" w:cs="宋体"/>
          <w:kern w:val="0"/>
          <w:sz w:val="32"/>
          <w:szCs w:val="32"/>
          <w:highlight w:val="none"/>
        </w:rPr>
        <w:t xml:space="preserve">                      </w:t>
      </w:r>
      <w:r>
        <w:rPr>
          <w:rFonts w:hint="eastAsia" w:ascii="仿宋" w:hAnsi="CIDFont+F6" w:eastAsia="仿宋" w:cs="Times New Roman"/>
          <w:color w:val="000000"/>
          <w:sz w:val="28"/>
          <w:szCs w:val="28"/>
          <w:lang w:eastAsia="zh-CN"/>
        </w:rPr>
        <w:t>中共呼图壁县委员会宣传部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 w:hAnsi="CIDFont+F6" w:eastAsia="仿宋" w:cs="Times New Roman"/>
          <w:color w:val="000000"/>
          <w:sz w:val="28"/>
          <w:szCs w:val="28"/>
          <w:lang w:val="en-US" w:eastAsia="zh-CN"/>
        </w:rPr>
        <w:t>2025</w:t>
      </w:r>
      <w:r>
        <w:rPr>
          <w:rFonts w:hint="eastAsia" w:ascii="仿宋" w:hAnsi="CIDFont+F6" w:eastAsia="仿宋" w:cs="Times New Roman"/>
          <w:color w:val="000000"/>
          <w:sz w:val="28"/>
          <w:szCs w:val="28"/>
          <w:lang w:eastAsia="zh-CN"/>
        </w:rPr>
        <w:t>年</w:t>
      </w:r>
      <w:r>
        <w:rPr>
          <w:rFonts w:hint="eastAsia" w:ascii="仿宋" w:hAnsi="CIDFont+F6" w:eastAsia="仿宋" w:cs="Times New Roman"/>
          <w:color w:val="000000"/>
          <w:sz w:val="28"/>
          <w:szCs w:val="28"/>
          <w:lang w:val="en-US" w:eastAsia="zh-CN"/>
        </w:rPr>
        <w:t>2</w:t>
      </w:r>
      <w:r>
        <w:rPr>
          <w:rFonts w:hint="eastAsia" w:ascii="仿宋" w:hAnsi="CIDFont+F6" w:eastAsia="仿宋" w:cs="Times New Roman"/>
          <w:color w:val="000000"/>
          <w:sz w:val="28"/>
          <w:szCs w:val="28"/>
          <w:lang w:eastAsia="zh-CN"/>
        </w:rPr>
        <w:t>月</w:t>
      </w:r>
      <w:r>
        <w:rPr>
          <w:rFonts w:hint="eastAsia" w:ascii="仿宋" w:hAnsi="CIDFont+F6" w:eastAsia="仿宋" w:cs="Times New Roman"/>
          <w:color w:val="000000"/>
          <w:sz w:val="28"/>
          <w:szCs w:val="28"/>
          <w:lang w:val="en-US" w:eastAsia="zh-CN"/>
        </w:rPr>
        <w:t>12</w:t>
      </w:r>
      <w:r>
        <w:rPr>
          <w:rFonts w:hint="eastAsia" w:ascii="仿宋" w:hAnsi="CIDFont+F6" w:eastAsia="仿宋" w:cs="Times New Roman"/>
          <w:color w:val="000000"/>
          <w:sz w:val="28"/>
          <w:szCs w:val="28"/>
          <w:lang w:eastAsia="zh-CN"/>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E"/>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IDFont+F4">
    <w:altName w:val="Times New Roman"/>
    <w:panose1 w:val="00000000000000000000"/>
    <w:charset w:val="00"/>
    <w:family w:val="auto"/>
    <w:pitch w:val="default"/>
    <w:sig w:usb0="00000000" w:usb1="00000000" w:usb2="00000000" w:usb3="00000000" w:csb0="00000000" w:csb1="00000000"/>
  </w:font>
  <w:font w:name="CIDFont+F6">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- 1 -</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p>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p>
                  <w:p>
                    <w:pPr>
                      <w:pStyle w:val="8"/>
                    </w:pPr>
                    <w:r>
                      <w:fldChar w:fldCharType="begin"/>
                    </w:r>
                    <w:r>
                      <w:instrText xml:space="preserve"> PAGE  \* MERGEFORMAT </w:instrText>
                    </w:r>
                    <w:r>
                      <w:fldChar w:fldCharType="separate"/>
                    </w:r>
                    <w:r>
                      <w:t>4</w:t>
                    </w:r>
                    <w:r>
                      <w:fldChar w:fldCharType="end"/>
                    </w:r>
                  </w:p>
                </w:txbxContent>
              </v:textbox>
            </v:shape>
          </w:pict>
        </mc:Fallback>
      </mc:AlternateContent>
    </w:r>
  </w:p>
  <w:p>
    <w:pPr>
      <w:pStyle w:val="8"/>
      <w:jc w:val="right"/>
      <w:rPr>
        <w:rFonts w:ascii="宋体" w:hAnsi="宋体" w:eastAsia="宋体"/>
        <w:sz w:val="28"/>
        <w:szCs w:val="28"/>
      </w:rPr>
    </w:pP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732CD0"/>
    <w:rsid w:val="00E41A1F"/>
    <w:rsid w:val="017B2F92"/>
    <w:rsid w:val="01A251BB"/>
    <w:rsid w:val="020E507E"/>
    <w:rsid w:val="02732F8E"/>
    <w:rsid w:val="02B86BE2"/>
    <w:rsid w:val="02CB7F49"/>
    <w:rsid w:val="037800D1"/>
    <w:rsid w:val="038012CE"/>
    <w:rsid w:val="04267087"/>
    <w:rsid w:val="04267B2D"/>
    <w:rsid w:val="044C330C"/>
    <w:rsid w:val="04B55E47"/>
    <w:rsid w:val="04EB0842"/>
    <w:rsid w:val="05397FD9"/>
    <w:rsid w:val="057A487B"/>
    <w:rsid w:val="057A5F58"/>
    <w:rsid w:val="058948B4"/>
    <w:rsid w:val="059B3DB5"/>
    <w:rsid w:val="05CA273A"/>
    <w:rsid w:val="070E6657"/>
    <w:rsid w:val="0785151D"/>
    <w:rsid w:val="080E3E4F"/>
    <w:rsid w:val="084451C2"/>
    <w:rsid w:val="08450B28"/>
    <w:rsid w:val="08762705"/>
    <w:rsid w:val="088F5575"/>
    <w:rsid w:val="08E81855"/>
    <w:rsid w:val="09B1624A"/>
    <w:rsid w:val="09D7525B"/>
    <w:rsid w:val="0A4168EC"/>
    <w:rsid w:val="0AD672A7"/>
    <w:rsid w:val="0B247F12"/>
    <w:rsid w:val="0B46538C"/>
    <w:rsid w:val="0B7C3034"/>
    <w:rsid w:val="0B841FFD"/>
    <w:rsid w:val="0BD56A2F"/>
    <w:rsid w:val="0C0A3890"/>
    <w:rsid w:val="0C105847"/>
    <w:rsid w:val="0C3367E1"/>
    <w:rsid w:val="0CD20198"/>
    <w:rsid w:val="0CEC568C"/>
    <w:rsid w:val="0D6E5FD0"/>
    <w:rsid w:val="0E320E7D"/>
    <w:rsid w:val="0E9208E7"/>
    <w:rsid w:val="0EBD0D7F"/>
    <w:rsid w:val="0F416AE4"/>
    <w:rsid w:val="0FC3664F"/>
    <w:rsid w:val="104F2E4F"/>
    <w:rsid w:val="10587512"/>
    <w:rsid w:val="105D0E37"/>
    <w:rsid w:val="10916BDA"/>
    <w:rsid w:val="11036B00"/>
    <w:rsid w:val="1112244F"/>
    <w:rsid w:val="11301FEB"/>
    <w:rsid w:val="11B6451D"/>
    <w:rsid w:val="121E62E8"/>
    <w:rsid w:val="124E1097"/>
    <w:rsid w:val="130C4781"/>
    <w:rsid w:val="167C7BC2"/>
    <w:rsid w:val="1697741D"/>
    <w:rsid w:val="16E148EB"/>
    <w:rsid w:val="19A215AC"/>
    <w:rsid w:val="1A132B78"/>
    <w:rsid w:val="1AC437A4"/>
    <w:rsid w:val="1B153D26"/>
    <w:rsid w:val="1B2E0584"/>
    <w:rsid w:val="1BEB54C3"/>
    <w:rsid w:val="1C3C6084"/>
    <w:rsid w:val="1C872CDB"/>
    <w:rsid w:val="1C8C02F2"/>
    <w:rsid w:val="1D3E1AFE"/>
    <w:rsid w:val="1D9336EB"/>
    <w:rsid w:val="1E0B4BF0"/>
    <w:rsid w:val="1E6432D4"/>
    <w:rsid w:val="1E89232D"/>
    <w:rsid w:val="1EAD4BE7"/>
    <w:rsid w:val="1EB61656"/>
    <w:rsid w:val="1F6C3E55"/>
    <w:rsid w:val="20407429"/>
    <w:rsid w:val="20CF3CE4"/>
    <w:rsid w:val="20DD55C0"/>
    <w:rsid w:val="21365394"/>
    <w:rsid w:val="21851752"/>
    <w:rsid w:val="223728B2"/>
    <w:rsid w:val="226E6C73"/>
    <w:rsid w:val="22922CB8"/>
    <w:rsid w:val="22DB78DD"/>
    <w:rsid w:val="22E61751"/>
    <w:rsid w:val="238826AD"/>
    <w:rsid w:val="244D65B8"/>
    <w:rsid w:val="2471282D"/>
    <w:rsid w:val="2492221D"/>
    <w:rsid w:val="24B42D8E"/>
    <w:rsid w:val="250855AF"/>
    <w:rsid w:val="258B383C"/>
    <w:rsid w:val="25F35B50"/>
    <w:rsid w:val="263B7010"/>
    <w:rsid w:val="26B4291F"/>
    <w:rsid w:val="26BD282A"/>
    <w:rsid w:val="26E769FA"/>
    <w:rsid w:val="276121F0"/>
    <w:rsid w:val="286D65BC"/>
    <w:rsid w:val="288F421B"/>
    <w:rsid w:val="28D9041B"/>
    <w:rsid w:val="293B2E83"/>
    <w:rsid w:val="293D2FBC"/>
    <w:rsid w:val="2A0D6C0A"/>
    <w:rsid w:val="2A1B7225"/>
    <w:rsid w:val="2AFC4894"/>
    <w:rsid w:val="2B3A05DE"/>
    <w:rsid w:val="2B6901C6"/>
    <w:rsid w:val="2D480265"/>
    <w:rsid w:val="2D977453"/>
    <w:rsid w:val="2DC367B0"/>
    <w:rsid w:val="2E2943BA"/>
    <w:rsid w:val="2EF22236"/>
    <w:rsid w:val="2F193507"/>
    <w:rsid w:val="2F533D12"/>
    <w:rsid w:val="2FAF3347"/>
    <w:rsid w:val="2FED29FE"/>
    <w:rsid w:val="300E1D4A"/>
    <w:rsid w:val="30B05F05"/>
    <w:rsid w:val="31061FC9"/>
    <w:rsid w:val="310F3573"/>
    <w:rsid w:val="32D560F7"/>
    <w:rsid w:val="32EC3FEC"/>
    <w:rsid w:val="33A76F60"/>
    <w:rsid w:val="341E7629"/>
    <w:rsid w:val="34540805"/>
    <w:rsid w:val="35216F4D"/>
    <w:rsid w:val="35F117C8"/>
    <w:rsid w:val="3607629B"/>
    <w:rsid w:val="36461BDE"/>
    <w:rsid w:val="369110B2"/>
    <w:rsid w:val="37A45917"/>
    <w:rsid w:val="38284F1B"/>
    <w:rsid w:val="39B0409D"/>
    <w:rsid w:val="3BE45FB7"/>
    <w:rsid w:val="3BF21AC7"/>
    <w:rsid w:val="3C013037"/>
    <w:rsid w:val="3D437887"/>
    <w:rsid w:val="3D7D423E"/>
    <w:rsid w:val="3E461BCD"/>
    <w:rsid w:val="3FDF4D23"/>
    <w:rsid w:val="3FFE3893"/>
    <w:rsid w:val="400233E9"/>
    <w:rsid w:val="401D15BF"/>
    <w:rsid w:val="41083B3B"/>
    <w:rsid w:val="410D4CCD"/>
    <w:rsid w:val="41270465"/>
    <w:rsid w:val="41DB2FFE"/>
    <w:rsid w:val="428D0572"/>
    <w:rsid w:val="42F779C3"/>
    <w:rsid w:val="43502DA9"/>
    <w:rsid w:val="43C26223"/>
    <w:rsid w:val="43D8307E"/>
    <w:rsid w:val="44507CD3"/>
    <w:rsid w:val="446103F9"/>
    <w:rsid w:val="44997ADF"/>
    <w:rsid w:val="44AF5181"/>
    <w:rsid w:val="455A018C"/>
    <w:rsid w:val="4590612D"/>
    <w:rsid w:val="45B408EB"/>
    <w:rsid w:val="46B02CAB"/>
    <w:rsid w:val="46CE3131"/>
    <w:rsid w:val="47735FCE"/>
    <w:rsid w:val="47BF2105"/>
    <w:rsid w:val="48033854"/>
    <w:rsid w:val="493059DD"/>
    <w:rsid w:val="494F7907"/>
    <w:rsid w:val="4ADF73DC"/>
    <w:rsid w:val="4B1B26BD"/>
    <w:rsid w:val="4B315A3D"/>
    <w:rsid w:val="4C0055E5"/>
    <w:rsid w:val="4C1936DB"/>
    <w:rsid w:val="4C3677AE"/>
    <w:rsid w:val="4C674A76"/>
    <w:rsid w:val="4C706B3A"/>
    <w:rsid w:val="4C9121DC"/>
    <w:rsid w:val="4E3528C7"/>
    <w:rsid w:val="4F3B332E"/>
    <w:rsid w:val="4FA62177"/>
    <w:rsid w:val="51C15CED"/>
    <w:rsid w:val="52285DEB"/>
    <w:rsid w:val="525D0D9B"/>
    <w:rsid w:val="52AD62F0"/>
    <w:rsid w:val="5305229D"/>
    <w:rsid w:val="53A94D0A"/>
    <w:rsid w:val="546308FE"/>
    <w:rsid w:val="54922ECD"/>
    <w:rsid w:val="54CD74CA"/>
    <w:rsid w:val="55A044FD"/>
    <w:rsid w:val="56FE59C9"/>
    <w:rsid w:val="570D735E"/>
    <w:rsid w:val="571B2674"/>
    <w:rsid w:val="579E7148"/>
    <w:rsid w:val="589917F1"/>
    <w:rsid w:val="58C830A3"/>
    <w:rsid w:val="592145B9"/>
    <w:rsid w:val="593C45C4"/>
    <w:rsid w:val="59A60812"/>
    <w:rsid w:val="59B241EC"/>
    <w:rsid w:val="5A161CA8"/>
    <w:rsid w:val="5A5E27F6"/>
    <w:rsid w:val="5A704801"/>
    <w:rsid w:val="5A8C5E4D"/>
    <w:rsid w:val="5AED2A9A"/>
    <w:rsid w:val="5C201030"/>
    <w:rsid w:val="5D2E4F87"/>
    <w:rsid w:val="5D4D50B9"/>
    <w:rsid w:val="5D9302F4"/>
    <w:rsid w:val="5D9E1657"/>
    <w:rsid w:val="5E225DE5"/>
    <w:rsid w:val="5E257683"/>
    <w:rsid w:val="5E7802BC"/>
    <w:rsid w:val="5EB94577"/>
    <w:rsid w:val="5EE078B0"/>
    <w:rsid w:val="5F0D5523"/>
    <w:rsid w:val="5F2346ED"/>
    <w:rsid w:val="60EE661A"/>
    <w:rsid w:val="61086613"/>
    <w:rsid w:val="611A5952"/>
    <w:rsid w:val="612E0F92"/>
    <w:rsid w:val="61311D71"/>
    <w:rsid w:val="61686204"/>
    <w:rsid w:val="62917095"/>
    <w:rsid w:val="630E06E5"/>
    <w:rsid w:val="63937C6D"/>
    <w:rsid w:val="6408782B"/>
    <w:rsid w:val="65251F01"/>
    <w:rsid w:val="65322CBF"/>
    <w:rsid w:val="65B35574"/>
    <w:rsid w:val="65C658ED"/>
    <w:rsid w:val="666508AC"/>
    <w:rsid w:val="671B29F3"/>
    <w:rsid w:val="68C20303"/>
    <w:rsid w:val="68CC52CB"/>
    <w:rsid w:val="68DE4FFE"/>
    <w:rsid w:val="691B0000"/>
    <w:rsid w:val="694B58D7"/>
    <w:rsid w:val="69CE4E15"/>
    <w:rsid w:val="6AD77F57"/>
    <w:rsid w:val="6B347990"/>
    <w:rsid w:val="6B3E7E06"/>
    <w:rsid w:val="6B7F3246"/>
    <w:rsid w:val="6BF904A6"/>
    <w:rsid w:val="6C6372B5"/>
    <w:rsid w:val="6CB5251A"/>
    <w:rsid w:val="6CD429A0"/>
    <w:rsid w:val="6D8166EB"/>
    <w:rsid w:val="6EF07839"/>
    <w:rsid w:val="6F63000B"/>
    <w:rsid w:val="6FCF0C72"/>
    <w:rsid w:val="70AE0926"/>
    <w:rsid w:val="70C12509"/>
    <w:rsid w:val="71500A63"/>
    <w:rsid w:val="717C1858"/>
    <w:rsid w:val="71D05492"/>
    <w:rsid w:val="72083853"/>
    <w:rsid w:val="72B56DCF"/>
    <w:rsid w:val="72E964BC"/>
    <w:rsid w:val="735C7C42"/>
    <w:rsid w:val="73FB346A"/>
    <w:rsid w:val="74150381"/>
    <w:rsid w:val="74D07EF1"/>
    <w:rsid w:val="75B570E6"/>
    <w:rsid w:val="75BF3AC1"/>
    <w:rsid w:val="76B30C4A"/>
    <w:rsid w:val="7706409E"/>
    <w:rsid w:val="77237C27"/>
    <w:rsid w:val="7797777E"/>
    <w:rsid w:val="7801148A"/>
    <w:rsid w:val="780A1873"/>
    <w:rsid w:val="787D11B8"/>
    <w:rsid w:val="78A771BA"/>
    <w:rsid w:val="78AC6820"/>
    <w:rsid w:val="792C5912"/>
    <w:rsid w:val="795124C5"/>
    <w:rsid w:val="7AD00398"/>
    <w:rsid w:val="7CBA4FE2"/>
    <w:rsid w:val="7D06612B"/>
    <w:rsid w:val="7D8620CE"/>
    <w:rsid w:val="7E880152"/>
    <w:rsid w:val="7E8B30DA"/>
    <w:rsid w:val="7F2A4366"/>
    <w:rsid w:val="7F5C772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5">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note text"/>
    <w:basedOn w:val="1"/>
    <w:qFormat/>
    <w:uiPriority w:val="0"/>
    <w:pPr>
      <w:snapToGrid w:val="0"/>
      <w:jc w:val="left"/>
    </w:pPr>
    <w:rPr>
      <w:sz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11"/>
    <w:basedOn w:val="14"/>
    <w:qFormat/>
    <w:uiPriority w:val="0"/>
    <w:rPr>
      <w:rFonts w:hint="eastAsia" w:ascii="宋体" w:hAnsi="宋体" w:eastAsia="宋体" w:cs="宋体"/>
      <w:color w:val="000000"/>
      <w:sz w:val="24"/>
      <w:szCs w:val="24"/>
      <w:u w:val="none"/>
    </w:rPr>
  </w:style>
  <w:style w:type="character" w:customStyle="1" w:styleId="16">
    <w:name w:val="font51"/>
    <w:basedOn w:val="14"/>
    <w:qFormat/>
    <w:uiPriority w:val="0"/>
    <w:rPr>
      <w:rFonts w:hint="default" w:ascii="Times New Roman" w:hAnsi="Times New Roman" w:cs="Times New Roman"/>
      <w:color w:val="000000"/>
      <w:sz w:val="24"/>
      <w:szCs w:val="24"/>
      <w:u w:val="none"/>
    </w:rPr>
  </w:style>
  <w:style w:type="paragraph" w:customStyle="1" w:styleId="1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1610</Words>
  <Characters>1670</Characters>
  <Lines>0</Lines>
  <Paragraphs>0</Paragraphs>
  <TotalTime>0</TotalTime>
  <ScaleCrop>false</ScaleCrop>
  <LinksUpToDate>false</LinksUpToDate>
  <CharactersWithSpaces>1737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2025-05-26T05:39:20Z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BE44DDD2CF3040B4ADDCA5EDEA18CA92_13</vt:lpwstr>
  </property>
  <property fmtid="{D5CDD505-2E9C-101B-9397-08002B2CF9AE}" pid="4" name="KSOTemplateDocerSaveRecord">
    <vt:lpwstr>eyJoZGlkIjoiN2EyMTIxNTJlMjY2NjM5NjdjYmYwZjVhYjA4ZGEwODEiLCJ1c2VySWQiOiI0MjYzNjAxNTMifQ==</vt:lpwstr>
  </property>
</Properties>
</file>