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黑体" w:hAnsi="黑体" w:eastAsia="黑体"/>
          <w:color w:val="auto"/>
          <w:kern w:val="0"/>
          <w:sz w:val="36"/>
          <w:szCs w:val="32"/>
          <w:highlight w:val="none"/>
        </w:rPr>
      </w:pPr>
      <w:r>
        <w:rPr>
          <w:rFonts w:hint="eastAsia" w:ascii="方正小标宋_GBK" w:hAnsi="宋体" w:eastAsia="方正小标宋_GBK"/>
          <w:color w:val="auto"/>
          <w:kern w:val="0"/>
          <w:sz w:val="44"/>
          <w:szCs w:val="44"/>
          <w:highlight w:val="none"/>
          <w:lang w:eastAsia="zh-CN"/>
        </w:rPr>
        <w:t>呼图壁县公共就业服务中心</w:t>
      </w:r>
    </w:p>
    <w:p>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w:t>
      </w:r>
      <w:r>
        <w:rPr>
          <w:rFonts w:hint="eastAsia" w:ascii="方正小标宋_GBK" w:hAnsi="宋体" w:eastAsia="方正小标宋_GBK"/>
          <w:color w:val="auto"/>
          <w:kern w:val="0"/>
          <w:sz w:val="44"/>
          <w:szCs w:val="44"/>
          <w:highlight w:val="none"/>
        </w:rPr>
        <w:t>年</w:t>
      </w:r>
      <w:r>
        <w:rPr>
          <w:rFonts w:hint="eastAsia" w:ascii="方正小标宋_GBK" w:hAnsi="宋体" w:eastAsia="方正小标宋_GBK"/>
          <w:color w:val="auto"/>
          <w:kern w:val="0"/>
          <w:sz w:val="44"/>
          <w:szCs w:val="44"/>
          <w:highlight w:val="none"/>
          <w:lang w:val="en-US"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第一部分</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color w:val="auto"/>
          <w:kern w:val="0"/>
          <w:sz w:val="32"/>
          <w:szCs w:val="32"/>
          <w:highlight w:val="none"/>
          <w:lang w:eastAsia="zh-CN"/>
        </w:rPr>
        <w:t>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二、关于呼图壁县公共就业服务中心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三、关于呼图壁县公共就业服务中心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四、关于呼图壁县公共就业服务中心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五、关于呼图壁县公共就业服务中心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六、关于呼图壁县公共就业服务中心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七、关于呼图壁县公共就业服务中心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Hans"/>
        </w:rPr>
        <w:t>八</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Hans"/>
        </w:rPr>
        <w:t>九、</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val="en-US" w:eastAsia="zh-Hans"/>
        </w:rPr>
      </w:pPr>
      <w:r>
        <w:rPr>
          <w:rFonts w:hint="eastAsia" w:ascii="仿宋_GB2312" w:hAnsi="仿宋_GB2312" w:eastAsia="仿宋_GB2312" w:cs="仿宋_GB2312"/>
          <w:b w:val="0"/>
          <w:bCs/>
          <w:color w:val="auto"/>
          <w:kern w:val="0"/>
          <w:sz w:val="32"/>
          <w:szCs w:val="32"/>
          <w:highlight w:val="none"/>
          <w:lang w:val="en-US" w:eastAsia="zh-Hans"/>
        </w:rPr>
        <w:t>十</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w:t>
      </w:r>
      <w:r>
        <w:rPr>
          <w:rFonts w:hint="eastAsia" w:ascii="仿宋_GB2312" w:hAnsi="仿宋_GB2312" w:eastAsia="仿宋_GB2312" w:cs="仿宋_GB2312"/>
          <w:b w:val="0"/>
          <w:bCs/>
          <w:color w:val="auto"/>
          <w:kern w:val="0"/>
          <w:sz w:val="32"/>
          <w:szCs w:val="32"/>
          <w:highlight w:val="none"/>
          <w:lang w:val="en-US" w:eastAsia="zh-Hans"/>
        </w:rPr>
        <w:t>财政拨款</w:t>
      </w:r>
      <w:r>
        <w:rPr>
          <w:rFonts w:hint="eastAsia" w:ascii="仿宋_GB2312" w:hAnsi="仿宋_GB2312" w:eastAsia="仿宋_GB2312" w:cs="仿宋_GB2312"/>
          <w:b w:val="0"/>
          <w:bCs/>
          <w:color w:val="auto"/>
          <w:kern w:val="0"/>
          <w:sz w:val="32"/>
          <w:szCs w:val="32"/>
          <w:highlight w:val="none"/>
          <w:lang w:eastAsia="zh-CN"/>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十</w:t>
      </w:r>
      <w:r>
        <w:rPr>
          <w:rFonts w:hint="eastAsia" w:ascii="仿宋_GB2312" w:hAnsi="仿宋_GB2312" w:eastAsia="仿宋_GB2312" w:cs="仿宋_GB2312"/>
          <w:b w:val="0"/>
          <w:bCs/>
          <w:color w:val="auto"/>
          <w:kern w:val="0"/>
          <w:sz w:val="32"/>
          <w:szCs w:val="32"/>
          <w:highlight w:val="none"/>
          <w:lang w:val="en-US" w:eastAsia="zh-Hans"/>
        </w:rPr>
        <w:t>一</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w:t>
      </w:r>
      <w:r>
        <w:rPr>
          <w:rFonts w:hint="eastAsia" w:ascii="仿宋_GB2312" w:hAnsi="仿宋_GB2312" w:eastAsia="仿宋_GB2312" w:cs="仿宋_GB2312"/>
          <w:b w:val="0"/>
          <w:bCs/>
          <w:color w:val="auto"/>
          <w:kern w:val="0"/>
          <w:sz w:val="32"/>
          <w:szCs w:val="32"/>
          <w:highlight w:val="none"/>
          <w:lang w:val="en-US" w:eastAsia="zh-CN"/>
        </w:rPr>
        <w:t>上年结转结余</w:t>
      </w:r>
      <w:r>
        <w:rPr>
          <w:rFonts w:hint="eastAsia" w:ascii="仿宋_GB2312" w:hAnsi="仿宋_GB2312" w:eastAsia="仿宋_GB2312" w:cs="仿宋_GB2312"/>
          <w:b w:val="0"/>
          <w:bCs/>
          <w:color w:val="auto"/>
          <w:kern w:val="0"/>
          <w:sz w:val="32"/>
          <w:szCs w:val="32"/>
          <w:highlight w:val="none"/>
          <w:lang w:eastAsia="zh-CN"/>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CN"/>
        </w:rPr>
        <w:t>十二、</w:t>
      </w:r>
      <w:r>
        <w:rPr>
          <w:rFonts w:hint="eastAsia" w:ascii="仿宋_GB2312" w:hAnsi="仿宋_GB2312" w:eastAsia="仿宋_GB2312" w:cs="仿宋_GB2312"/>
          <w:b w:val="0"/>
          <w:bCs/>
          <w:color w:val="auto"/>
          <w:kern w:val="0"/>
          <w:sz w:val="32"/>
          <w:szCs w:val="32"/>
          <w:highlight w:val="none"/>
          <w:lang w:eastAsia="zh-CN"/>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 xml:space="preserve"> 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w:t>
      </w:r>
      <w:r>
        <w:rPr>
          <w:rFonts w:hint="eastAsia" w:ascii="黑体" w:hAnsi="黑体" w:eastAsia="黑体"/>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val="0"/>
          <w:bCs w:val="0"/>
          <w:sz w:val="32"/>
          <w:szCs w:val="32"/>
          <w:highlight w:val="none"/>
          <w:lang w:val="en-US" w:eastAsia="zh-CN"/>
        </w:rPr>
        <w:t>呼图壁县公共就业服务中心</w:t>
      </w:r>
      <w:r>
        <w:rPr>
          <w:rFonts w:hint="eastAsia" w:ascii="仿宋_GB2312" w:hAnsi="仿宋_GB2312" w:eastAsia="仿宋_GB2312" w:cs="仿宋_GB2312"/>
          <w:sz w:val="32"/>
          <w:szCs w:val="32"/>
          <w:highlight w:val="none"/>
          <w:lang w:val="en-US" w:eastAsia="zh-CN"/>
        </w:rPr>
        <w:t>为呼图壁县人力资源和社会保障局管理的公益一类事业单位，机构规格相当于副科级。</w:t>
      </w:r>
      <w:r>
        <w:rPr>
          <w:rFonts w:hint="eastAsia" w:ascii="仿宋_GB2312" w:hAnsi="仿宋_GB2312" w:eastAsia="仿宋_GB2312" w:cs="仿宋_GB2312"/>
          <w:b w:val="0"/>
          <w:bCs w:val="0"/>
          <w:sz w:val="32"/>
          <w:szCs w:val="32"/>
          <w:highlight w:val="none"/>
          <w:lang w:val="en-US" w:eastAsia="zh-CN"/>
        </w:rPr>
        <w:t>县公共就业服务</w:t>
      </w:r>
      <w:r>
        <w:rPr>
          <w:rFonts w:hint="eastAsia" w:ascii="仿宋_GB2312" w:hAnsi="仿宋_GB2312" w:eastAsia="仿宋_GB2312" w:cs="仿宋_GB2312"/>
          <w:sz w:val="32"/>
          <w:szCs w:val="32"/>
          <w:highlight w:val="none"/>
          <w:lang w:val="en-US" w:eastAsia="zh-CN"/>
        </w:rPr>
        <w:t>中心在县人力资源和社会保障局党组的领导下开展工作，主要职责：</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一是贯彻落实党和国家、自治区关于促进就业创业的法律法规、方针政策。</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二是承担求职登记、就业援助、职业介绍、职业指导等工作；举办各类人力资源招聘会，提供收集、发布用工信息等基本公共服务工作。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三是指导对全县公共就业服务机构的日常工作，组织开展公共就业服务活动。</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四是承担流动人员档案保管转递等服务工作。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五是承担为大中专毕业生提供就业创业服务及职业指导工作。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六是开展创业服务工作，向社会公开征集、推介发布创业项目；负责建立创业项目资源库，为创业人员提供相关创业服务。</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七是承担公共就业服务各相关数据的统计、处理和分析工作，指导全县公共就业服务信息化建设。</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八是完成县人力资源和社会保障局交办的其他任务。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321" w:firstLineChars="1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59" w:firstLineChars="206"/>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bCs/>
          <w:color w:val="auto"/>
          <w:kern w:val="0"/>
          <w:sz w:val="32"/>
          <w:szCs w:val="32"/>
          <w:highlight w:val="none"/>
        </w:rPr>
        <w:t>无下属预算单位，</w:t>
      </w:r>
      <w:r>
        <w:rPr>
          <w:rFonts w:hint="eastAsia" w:ascii="仿宋_GB2312" w:hAnsi="仿宋_GB2312" w:eastAsia="仿宋_GB2312" w:cs="仿宋_GB2312"/>
          <w:sz w:val="32"/>
          <w:szCs w:val="32"/>
          <w:highlight w:val="none"/>
          <w:lang w:val="en-US" w:eastAsia="zh-CN"/>
        </w:rPr>
        <w:t>不设内设机构，根据主要职责，实行人员岗位分工。</w:t>
      </w:r>
    </w:p>
    <w:p>
      <w:pPr>
        <w:widowControl/>
        <w:numPr>
          <w:ilvl w:val="0"/>
          <w:numId w:val="0"/>
        </w:numPr>
        <w:spacing w:line="560" w:lineRule="exact"/>
        <w:ind w:firstLine="640" w:firstLineChars="200"/>
        <w:jc w:val="left"/>
        <w:rPr>
          <w:rFonts w:ascii="仿宋_GB2312" w:hAnsi="宋体" w:eastAsia="仿宋_GB2312" w:cs="宋体"/>
          <w:kern w:val="0"/>
          <w:sz w:val="32"/>
          <w:szCs w:val="32"/>
          <w:highlight w:val="none"/>
        </w:rPr>
      </w:pP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color w:val="auto"/>
          <w:kern w:val="0"/>
          <w:sz w:val="32"/>
          <w:szCs w:val="32"/>
          <w:highlight w:val="none"/>
        </w:rPr>
        <w:t>编制数</w:t>
      </w:r>
      <w:r>
        <w:rPr>
          <w:rFonts w:hint="eastAsia" w:ascii="仿宋" w:hAnsi="仿宋" w:eastAsia="仿宋" w:cs="仿宋"/>
          <w:color w:val="auto"/>
          <w:kern w:val="0"/>
          <w:sz w:val="32"/>
          <w:szCs w:val="32"/>
          <w:highlight w:val="none"/>
          <w:lang w:val="en-US" w:eastAsia="zh-CN"/>
        </w:rPr>
        <w:t>10</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19</w:t>
      </w:r>
      <w:r>
        <w:rPr>
          <w:rFonts w:hint="eastAsia" w:ascii="仿宋" w:hAnsi="仿宋" w:eastAsia="仿宋" w:cs="仿宋"/>
          <w:color w:val="auto"/>
          <w:kern w:val="0"/>
          <w:sz w:val="32"/>
          <w:szCs w:val="32"/>
          <w:highlight w:val="none"/>
        </w:rPr>
        <w:t>人，其中：在职</w:t>
      </w:r>
      <w:r>
        <w:rPr>
          <w:rFonts w:hint="eastAsia" w:ascii="仿宋" w:hAnsi="仿宋" w:eastAsia="仿宋" w:cs="仿宋"/>
          <w:color w:val="auto"/>
          <w:kern w:val="0"/>
          <w:sz w:val="32"/>
          <w:szCs w:val="32"/>
          <w:highlight w:val="none"/>
          <w:lang w:val="en-US" w:eastAsia="zh-CN"/>
        </w:rPr>
        <w:t>8</w:t>
      </w:r>
      <w:r>
        <w:rPr>
          <w:rFonts w:hint="eastAsia" w:ascii="仿宋" w:hAnsi="仿宋" w:eastAsia="仿宋" w:cs="仿宋"/>
          <w:color w:val="auto"/>
          <w:kern w:val="0"/>
          <w:sz w:val="32"/>
          <w:szCs w:val="32"/>
          <w:highlight w:val="none"/>
        </w:rPr>
        <w:t>人，</w:t>
      </w:r>
      <w:r>
        <w:rPr>
          <w:rFonts w:hint="eastAsia" w:ascii="仿宋" w:hAnsi="仿宋" w:eastAsia="仿宋" w:cs="仿宋"/>
          <w:color w:val="auto"/>
          <w:kern w:val="0"/>
          <w:sz w:val="32"/>
          <w:szCs w:val="32"/>
          <w:highlight w:val="none"/>
          <w:lang w:val="en-US" w:eastAsia="zh-CN"/>
        </w:rPr>
        <w:t>减少2人；</w:t>
      </w:r>
      <w:r>
        <w:rPr>
          <w:rFonts w:hint="eastAsia" w:ascii="仿宋" w:hAnsi="仿宋" w:eastAsia="仿宋" w:cs="仿宋"/>
          <w:color w:val="auto"/>
          <w:kern w:val="0"/>
          <w:sz w:val="32"/>
          <w:szCs w:val="32"/>
          <w:highlight w:val="none"/>
        </w:rPr>
        <w:t xml:space="preserve"> 退休</w:t>
      </w:r>
      <w:r>
        <w:rPr>
          <w:rFonts w:hint="eastAsia" w:ascii="仿宋" w:hAnsi="仿宋" w:eastAsia="仿宋" w:cs="仿宋"/>
          <w:color w:val="auto"/>
          <w:kern w:val="0"/>
          <w:sz w:val="32"/>
          <w:szCs w:val="32"/>
          <w:highlight w:val="none"/>
          <w:lang w:val="en-US" w:eastAsia="zh-CN"/>
        </w:rPr>
        <w:t>11</w:t>
      </w:r>
      <w:r>
        <w:rPr>
          <w:rFonts w:hint="eastAsia" w:ascii="仿宋" w:hAnsi="仿宋" w:eastAsia="仿宋" w:cs="仿宋"/>
          <w:color w:val="auto"/>
          <w:kern w:val="0"/>
          <w:sz w:val="32"/>
          <w:szCs w:val="32"/>
          <w:highlight w:val="none"/>
        </w:rPr>
        <w:t>人，增加</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人；离休</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人，增</w:t>
      </w:r>
      <w:r>
        <w:rPr>
          <w:rFonts w:hint="eastAsia" w:ascii="仿宋_GB2312" w:hAnsi="仿宋_GB2312" w:eastAsia="仿宋_GB2312" w:cs="仿宋_GB2312"/>
          <w:color w:val="auto"/>
          <w:kern w:val="0"/>
          <w:sz w:val="32"/>
          <w:szCs w:val="32"/>
          <w:highlight w:val="none"/>
        </w:rPr>
        <w:t>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黑体" w:hAnsi="黑体" w:eastAsia="黑体" w:cs="Times New Roman"/>
          <w:color w:val="auto"/>
          <w:kern w:val="0"/>
          <w:sz w:val="32"/>
          <w:szCs w:val="32"/>
          <w:highlight w:val="none"/>
        </w:rPr>
        <w:t>呼图壁县</w:t>
      </w:r>
      <w:r>
        <w:rPr>
          <w:rFonts w:hint="eastAsia" w:ascii="黑体" w:hAnsi="黑体" w:eastAsia="黑体" w:cs="Times New Roman"/>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宋体" w:eastAsia="仿宋_GB2312" w:cs="Times New Roman"/>
          <w:b/>
          <w:color w:val="auto"/>
          <w:kern w:val="0"/>
          <w:sz w:val="32"/>
          <w:szCs w:val="32"/>
          <w:highlight w:val="none"/>
        </w:rPr>
        <w:t>呼图壁县</w:t>
      </w:r>
      <w:r>
        <w:rPr>
          <w:rFonts w:hint="eastAsia" w:ascii="仿宋_GB2312" w:hAnsi="宋体" w:eastAsia="仿宋_GB2312" w:cs="Times New Roman"/>
          <w:b/>
          <w:color w:val="auto"/>
          <w:kern w:val="0"/>
          <w:sz w:val="32"/>
          <w:szCs w:val="32"/>
          <w:highlight w:val="none"/>
          <w:lang w:val="en-US" w:eastAsia="zh-CN"/>
        </w:rPr>
        <w:t>公共就业服务中心</w:t>
      </w:r>
      <w:r>
        <w:rPr>
          <w:rFonts w:hint="eastAsia" w:ascii="仿宋_GB2312" w:hAnsi="宋体" w:eastAsia="仿宋_GB2312" w:cs="Times New Roman"/>
          <w:b/>
          <w:color w:val="auto"/>
          <w:kern w:val="0"/>
          <w:sz w:val="32"/>
          <w:szCs w:val="32"/>
          <w:highlight w:val="none"/>
        </w:rPr>
        <w:t>收</w:t>
      </w:r>
      <w:r>
        <w:rPr>
          <w:rFonts w:hint="eastAsia" w:ascii="仿宋_GB2312" w:hAnsi="宋体" w:eastAsia="仿宋_GB2312"/>
          <w:b/>
          <w:color w:val="auto"/>
          <w:kern w:val="0"/>
          <w:sz w:val="32"/>
          <w:szCs w:val="32"/>
          <w:highlight w:val="none"/>
        </w:rPr>
        <w:t>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呼图壁县</w:t>
      </w:r>
      <w:r>
        <w:rPr>
          <w:rFonts w:hint="eastAsia" w:ascii="仿宋_GB2312" w:hAnsi="宋体" w:eastAsia="仿宋_GB2312" w:cs="Times New Roman"/>
          <w:color w:val="auto"/>
          <w:kern w:val="0"/>
          <w:sz w:val="24"/>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单位：万元</w:t>
      </w:r>
    </w:p>
    <w:tbl>
      <w:tblPr>
        <w:tblStyle w:val="9"/>
        <w:tblW w:w="8376" w:type="dxa"/>
        <w:tblInd w:w="93" w:type="dxa"/>
        <w:tblLayout w:type="autofit"/>
        <w:tblCellMar>
          <w:top w:w="0" w:type="dxa"/>
          <w:left w:w="108" w:type="dxa"/>
          <w:bottom w:w="0" w:type="dxa"/>
          <w:right w:w="108" w:type="dxa"/>
        </w:tblCellMar>
      </w:tblPr>
      <w:tblGrid>
        <w:gridCol w:w="3165"/>
        <w:gridCol w:w="1103"/>
        <w:gridCol w:w="2878"/>
        <w:gridCol w:w="1230"/>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108"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8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3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201 一般公共服务支出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210.03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202 外交支出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194.18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203 国防支出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15.85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204 公共安全支出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lang w:eastAsia="zh-CN"/>
              </w:rPr>
            </w:pPr>
            <w:r>
              <w:rPr>
                <w:rFonts w:hint="eastAsia" w:ascii="仿宋_GB2312" w:hAnsi="宋体" w:eastAsia="仿宋_GB2312" w:cs="宋体"/>
                <w:b/>
                <w:bCs/>
                <w:color w:val="auto"/>
                <w:kern w:val="0"/>
                <w:sz w:val="21"/>
                <w:szCs w:val="21"/>
                <w:highlight w:val="none"/>
                <w:shd w:val="clear" w:color="auto" w:fill="auto"/>
              </w:rPr>
              <w:t>2.</w:t>
            </w:r>
            <w:r>
              <w:rPr>
                <w:rFonts w:hint="eastAsia" w:ascii="仿宋_GB2312" w:hAnsi="宋体" w:eastAsia="仿宋_GB2312" w:cs="宋体"/>
                <w:b/>
                <w:bCs/>
                <w:color w:val="auto"/>
                <w:kern w:val="0"/>
                <w:sz w:val="21"/>
                <w:szCs w:val="21"/>
                <w:highlight w:val="none"/>
                <w:shd w:val="clear" w:color="auto" w:fill="auto"/>
                <w:lang w:val="en-US" w:eastAsia="zh-CN"/>
              </w:rPr>
              <w:t>政府性</w:t>
            </w:r>
            <w:r>
              <w:rPr>
                <w:rFonts w:hint="eastAsia" w:ascii="仿宋_GB2312" w:hAnsi="宋体" w:eastAsia="仿宋_GB2312" w:cs="宋体"/>
                <w:b/>
                <w:bCs/>
                <w:color w:val="auto"/>
                <w:kern w:val="0"/>
                <w:sz w:val="21"/>
                <w:szCs w:val="21"/>
                <w:highlight w:val="none"/>
                <w:shd w:val="clear" w:color="auto" w:fill="auto"/>
              </w:rPr>
              <w:t>基金预算拨款</w:t>
            </w:r>
            <w:r>
              <w:rPr>
                <w:rFonts w:hint="eastAsia" w:ascii="仿宋_GB2312" w:hAnsi="宋体" w:eastAsia="仿宋_GB2312" w:cs="宋体"/>
                <w:color w:val="auto"/>
                <w:kern w:val="0"/>
                <w:sz w:val="21"/>
                <w:szCs w:val="21"/>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205 教育支出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206 科学技术支出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207 文化旅游体育与传媒支出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208 社会保障和就业支出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289.06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209 社会保险基金支出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卫生健康支出</w:t>
            </w:r>
          </w:p>
        </w:tc>
        <w:tc>
          <w:tcPr>
            <w:tcW w:w="1230" w:type="dxa"/>
            <w:tcBorders>
              <w:top w:val="nil"/>
              <w:left w:val="single" w:color="auto" w:sz="4" w:space="0"/>
              <w:bottom w:val="single" w:color="auto" w:sz="4" w:space="0"/>
              <w:right w:val="single" w:color="auto" w:sz="4" w:space="0"/>
            </w:tcBorders>
            <w:noWrap w:val="0"/>
            <w:vAlign w:val="center"/>
          </w:tcPr>
          <w:p>
            <w:pPr>
              <w:widowControl/>
              <w:tabs>
                <w:tab w:val="left" w:pos="391"/>
              </w:tabs>
              <w:spacing w:line="280" w:lineRule="exact"/>
              <w:jc w:val="both"/>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24.34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211 节能环保支出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129.00</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212 城乡社区支出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213 农林水支出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214 交通运输支出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215 资源勘探</w:t>
            </w:r>
            <w:r>
              <w:rPr>
                <w:rFonts w:hint="eastAsia" w:ascii="仿宋_GB2312" w:hAnsi="宋体" w:eastAsia="仿宋_GB2312" w:cs="宋体"/>
                <w:color w:val="auto"/>
                <w:kern w:val="0"/>
                <w:sz w:val="21"/>
                <w:szCs w:val="21"/>
                <w:highlight w:val="none"/>
                <w:lang w:val="en-US" w:eastAsia="zh-Hans"/>
              </w:rPr>
              <w:t>工业</w:t>
            </w:r>
            <w:r>
              <w:rPr>
                <w:rFonts w:hint="eastAsia" w:ascii="仿宋_GB2312" w:hAnsi="宋体" w:eastAsia="仿宋_GB2312" w:cs="宋体"/>
                <w:color w:val="auto"/>
                <w:kern w:val="0"/>
                <w:sz w:val="21"/>
                <w:szCs w:val="21"/>
                <w:highlight w:val="none"/>
              </w:rPr>
              <w:t>信息等支出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216 商业服务业等支出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129.00</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217 金融支出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219 援助其他地区支出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220 自然资源海洋气象等支出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221 住房保障支出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25.63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lang w:val="en-US" w:eastAsia="zh-CN"/>
              </w:rPr>
              <w:t>政府性</w:t>
            </w:r>
            <w:r>
              <w:rPr>
                <w:rFonts w:hint="eastAsia" w:ascii="仿宋_GB2312" w:hAnsi="宋体" w:eastAsia="仿宋_GB2312" w:cs="宋体"/>
                <w:color w:val="auto"/>
                <w:kern w:val="0"/>
                <w:sz w:val="21"/>
                <w:szCs w:val="21"/>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222 粮油物资储备支出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223 国有资本经营预算支出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224</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灾害防治及应急管理支出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227 预备费</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229 其他支出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转移性支出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231 债务还本支出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232 债务付息支出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p>
        </w:tc>
        <w:tc>
          <w:tcPr>
            <w:tcW w:w="287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 xml:space="preserve">                    </w:t>
            </w:r>
          </w:p>
        </w:tc>
        <w:tc>
          <w:tcPr>
            <w:tcW w:w="123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21"/>
                <w:szCs w:val="21"/>
                <w:highlight w:val="none"/>
                <w:lang w:bidi="ar"/>
              </w:rPr>
            </w:pPr>
          </w:p>
        </w:tc>
        <w:tc>
          <w:tcPr>
            <w:tcW w:w="123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w:t>
            </w:r>
          </w:p>
        </w:tc>
        <w:tc>
          <w:tcPr>
            <w:tcW w:w="2878"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支  出  总  计</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呼图壁县</w:t>
      </w:r>
      <w:r>
        <w:rPr>
          <w:rFonts w:hint="eastAsia" w:ascii="仿宋_GB2312" w:hAnsi="宋体" w:eastAsia="仿宋_GB2312" w:cs="Times New Roman"/>
          <w:color w:val="auto"/>
          <w:kern w:val="0"/>
          <w:sz w:val="24"/>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单位：万元</w:t>
      </w:r>
    </w:p>
    <w:tbl>
      <w:tblPr>
        <w:tblStyle w:val="9"/>
        <w:tblW w:w="14977" w:type="dxa"/>
        <w:tblInd w:w="-450" w:type="dxa"/>
        <w:tblLayout w:type="fixed"/>
        <w:tblCellMar>
          <w:top w:w="0" w:type="dxa"/>
          <w:left w:w="108" w:type="dxa"/>
          <w:bottom w:w="0" w:type="dxa"/>
          <w:right w:w="108" w:type="dxa"/>
        </w:tblCellMar>
      </w:tblPr>
      <w:tblGrid>
        <w:gridCol w:w="578"/>
        <w:gridCol w:w="465"/>
        <w:gridCol w:w="495"/>
        <w:gridCol w:w="2339"/>
        <w:gridCol w:w="900"/>
        <w:gridCol w:w="990"/>
        <w:gridCol w:w="990"/>
        <w:gridCol w:w="1020"/>
        <w:gridCol w:w="630"/>
        <w:gridCol w:w="840"/>
        <w:gridCol w:w="810"/>
        <w:gridCol w:w="945"/>
        <w:gridCol w:w="1050"/>
        <w:gridCol w:w="1050"/>
        <w:gridCol w:w="945"/>
        <w:gridCol w:w="930"/>
      </w:tblGrid>
      <w:tr>
        <w:tblPrEx>
          <w:tblCellMar>
            <w:top w:w="0" w:type="dxa"/>
            <w:left w:w="108" w:type="dxa"/>
            <w:bottom w:w="0" w:type="dxa"/>
            <w:right w:w="108" w:type="dxa"/>
          </w:tblCellMar>
        </w:tblPrEx>
        <w:trPr>
          <w:trHeight w:val="697" w:hRule="atLeast"/>
        </w:trPr>
        <w:tc>
          <w:tcPr>
            <w:tcW w:w="15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233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2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84" w:hRule="atLeast"/>
        </w:trPr>
        <w:tc>
          <w:tcPr>
            <w:tcW w:w="57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2339"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0"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7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90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289.06</w:t>
            </w:r>
          </w:p>
        </w:tc>
        <w:tc>
          <w:tcPr>
            <w:tcW w:w="9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188.06</w:t>
            </w:r>
          </w:p>
        </w:tc>
        <w:tc>
          <w:tcPr>
            <w:tcW w:w="9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172.21</w:t>
            </w:r>
          </w:p>
        </w:tc>
        <w:tc>
          <w:tcPr>
            <w:tcW w:w="10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101</w:t>
            </w:r>
          </w:p>
        </w:tc>
        <w:tc>
          <w:tcPr>
            <w:tcW w:w="9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ind w:left="0" w:leftChars="0"/>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ind w:left="0" w:leftChars="0"/>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236.59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152.59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152.59</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84</w:t>
            </w:r>
          </w:p>
        </w:tc>
        <w:tc>
          <w:tcPr>
            <w:tcW w:w="945" w:type="dxa"/>
            <w:tcBorders>
              <w:top w:val="nil"/>
              <w:left w:val="single" w:color="auto" w:sz="4" w:space="0"/>
              <w:bottom w:val="single" w:color="auto" w:sz="4" w:space="0"/>
              <w:right w:val="single" w:color="auto" w:sz="4" w:space="0"/>
            </w:tcBorders>
            <w:noWrap w:val="0"/>
            <w:vAlign w:val="center"/>
          </w:tcPr>
          <w:p>
            <w:pPr>
              <w:ind w:left="0" w:leftChars="0"/>
              <w:jc w:val="center"/>
              <w:rPr>
                <w:rFonts w:hint="eastAsia" w:ascii="仿宋_GB2312" w:eastAsia="仿宋_GB2312"/>
                <w:b/>
                <w:bCs/>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ind w:left="0" w:leftChars="0"/>
              <w:jc w:val="center"/>
              <w:rPr>
                <w:rFonts w:hint="eastAsia" w:ascii="仿宋_GB2312" w:eastAsia="仿宋_GB2312"/>
                <w:b/>
                <w:bCs/>
                <w:color w:val="auto"/>
                <w:sz w:val="21"/>
                <w:szCs w:val="21"/>
                <w:highlight w:val="none"/>
              </w:rPr>
            </w:pPr>
          </w:p>
        </w:tc>
      </w:tr>
      <w:tr>
        <w:trPr>
          <w:trHeight w:val="33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217.07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134.07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134.07</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83</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54"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一般行政管理事务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4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339"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11.52</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10.52</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10.52</w:t>
            </w:r>
          </w:p>
        </w:tc>
        <w:tc>
          <w:tcPr>
            <w:tcW w:w="102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2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36.62</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19.62</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19.62</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17</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1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rPr>
          <w:trHeight w:val="44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29.78</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12.78</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12.78</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17</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10"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就业补助</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rPr>
          <w:trHeight w:val="468"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color w:val="auto"/>
                <w:kern w:val="2"/>
                <w:sz w:val="21"/>
                <w:szCs w:val="21"/>
                <w:highlight w:val="none"/>
                <w:lang w:val="en-US" w:eastAsia="zh-CN" w:bidi="ar-SA"/>
              </w:rPr>
              <w:t>其他就业补助支出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卫生健康支出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24.34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13</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6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49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24.34</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102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13</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16.93</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6.93</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6.93</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w:t>
            </w:r>
          </w:p>
        </w:tc>
        <w:tc>
          <w:tcPr>
            <w:tcW w:w="945"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6.57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3.57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3.57</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住房保障支出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40"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02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住房改革支出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290" w:hRule="atLeast"/>
        </w:trPr>
        <w:tc>
          <w:tcPr>
            <w:tcW w:w="57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合  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339.03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210.03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194.18</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129</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呼图壁县</w:t>
      </w:r>
      <w:r>
        <w:rPr>
          <w:rFonts w:hint="eastAsia" w:ascii="仿宋_GB2312" w:hAnsi="仿宋_GB2312" w:eastAsia="仿宋_GB2312" w:cs="仿宋_GB2312"/>
          <w:b/>
          <w:bCs w:val="0"/>
          <w:color w:val="auto"/>
          <w:kern w:val="0"/>
          <w:sz w:val="32"/>
          <w:szCs w:val="32"/>
          <w:highlight w:val="none"/>
          <w:lang w:val="en-US" w:eastAsia="zh-CN"/>
        </w:rPr>
        <w:t>公共就业服务中心</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单位：万元</w:t>
      </w:r>
    </w:p>
    <w:tbl>
      <w:tblPr>
        <w:tblStyle w:val="9"/>
        <w:tblW w:w="9420" w:type="dxa"/>
        <w:tblInd w:w="-240" w:type="dxa"/>
        <w:tblLayout w:type="autofit"/>
        <w:tblCellMar>
          <w:top w:w="0" w:type="dxa"/>
          <w:left w:w="108" w:type="dxa"/>
          <w:bottom w:w="0" w:type="dxa"/>
          <w:right w:w="108" w:type="dxa"/>
        </w:tblCellMar>
      </w:tblPr>
      <w:tblGrid>
        <w:gridCol w:w="534"/>
        <w:gridCol w:w="428"/>
        <w:gridCol w:w="426"/>
        <w:gridCol w:w="2708"/>
        <w:gridCol w:w="1644"/>
        <w:gridCol w:w="2021"/>
        <w:gridCol w:w="1659"/>
      </w:tblGrid>
      <w:tr>
        <w:tblPrEx>
          <w:tblCellMar>
            <w:top w:w="0" w:type="dxa"/>
            <w:left w:w="108" w:type="dxa"/>
            <w:bottom w:w="0" w:type="dxa"/>
            <w:right w:w="108" w:type="dxa"/>
          </w:tblCellMar>
        </w:tblPrEx>
        <w:trPr>
          <w:trHeight w:val="328" w:hRule="atLeast"/>
        </w:trPr>
        <w:tc>
          <w:tcPr>
            <w:tcW w:w="405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36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73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20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73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20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289.06</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265.21</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23.85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236.59</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sz w:val="21"/>
                <w:szCs w:val="21"/>
                <w:highlight w:val="none"/>
              </w:rPr>
              <w:t>228.59</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eastAsia="zh-CN"/>
              </w:rPr>
            </w:pPr>
            <w:r>
              <w:rPr>
                <w:rFonts w:hint="eastAsia" w:ascii="仿宋" w:hAnsi="仿宋" w:eastAsia="仿宋" w:cs="仿宋"/>
                <w:b/>
                <w:bCs/>
                <w:sz w:val="21"/>
                <w:szCs w:val="21"/>
                <w:highlight w:val="none"/>
                <w:lang w:val="en-US" w:eastAsia="zh-CN"/>
              </w:rPr>
              <w:t>8</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217.07</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217.07</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 xml:space="preserve"> 一般行政管理事务</w:t>
            </w:r>
          </w:p>
        </w:tc>
        <w:tc>
          <w:tcPr>
            <w:tcW w:w="1654" w:type="dxa"/>
            <w:tcBorders>
              <w:top w:val="nil"/>
              <w:left w:val="nil"/>
              <w:bottom w:val="single" w:color="auto" w:sz="4" w:space="0"/>
              <w:right w:val="single" w:color="auto" w:sz="4" w:space="0"/>
            </w:tcBorders>
            <w:noWrap w:val="0"/>
            <w:vAlign w:val="center"/>
          </w:tcPr>
          <w:p>
            <w:pPr>
              <w:widowControl/>
              <w:shd w:val="clear" w:color="auto" w:fill="auto"/>
              <w:spacing w:line="280" w:lineRule="exact"/>
              <w:ind w:firstLine="420" w:firstLineChars="200"/>
              <w:jc w:val="left"/>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c>
          <w:tcPr>
            <w:tcW w:w="2036" w:type="dxa"/>
            <w:tcBorders>
              <w:top w:val="nil"/>
              <w:left w:val="nil"/>
              <w:bottom w:val="single" w:color="auto" w:sz="4" w:space="0"/>
              <w:right w:val="single" w:color="auto" w:sz="4" w:space="0"/>
            </w:tcBorders>
            <w:noWrap w:val="0"/>
            <w:vAlign w:val="center"/>
          </w:tcPr>
          <w:p>
            <w:pPr>
              <w:widowControl/>
              <w:shd w:val="clear" w:color="auto" w:fill="auto"/>
              <w:spacing w:line="280" w:lineRule="exact"/>
              <w:jc w:val="left"/>
              <w:rPr>
                <w:rFonts w:hint="eastAsia" w:ascii="仿宋" w:hAnsi="仿宋" w:eastAsia="仿宋" w:cs="仿宋"/>
                <w:b w:val="0"/>
                <w:bCs w:val="0"/>
                <w:kern w:val="0"/>
                <w:sz w:val="21"/>
                <w:szCs w:val="21"/>
                <w:highlight w:val="none"/>
                <w:lang w:val="en-US" w:eastAsia="zh-CN" w:bidi="ar-SA"/>
              </w:rPr>
            </w:pPr>
          </w:p>
        </w:tc>
        <w:tc>
          <w:tcPr>
            <w:tcW w:w="1671" w:type="dxa"/>
            <w:tcBorders>
              <w:top w:val="nil"/>
              <w:left w:val="nil"/>
              <w:bottom w:val="single" w:color="auto" w:sz="4" w:space="0"/>
              <w:right w:val="single" w:color="auto" w:sz="4" w:space="0"/>
            </w:tcBorders>
            <w:noWrap w:val="0"/>
            <w:vAlign w:val="center"/>
          </w:tcPr>
          <w:p>
            <w:pPr>
              <w:widowControl/>
              <w:shd w:val="clear" w:color="auto" w:fill="auto"/>
              <w:spacing w:line="280" w:lineRule="exact"/>
              <w:jc w:val="left"/>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11.52</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11.52</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　</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36.62</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36.62</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6.84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6.84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29.78</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29.78</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 xml:space="preserve"> 就业补助</w:t>
            </w:r>
          </w:p>
        </w:tc>
        <w:tc>
          <w:tcPr>
            <w:tcW w:w="1654" w:type="dxa"/>
            <w:tcBorders>
              <w:top w:val="nil"/>
              <w:left w:val="nil"/>
              <w:bottom w:val="single" w:color="auto" w:sz="4" w:space="0"/>
              <w:right w:val="single" w:color="auto" w:sz="4" w:space="0"/>
            </w:tcBorders>
            <w:shd w:val="clear" w:color="auto" w:fill="auto"/>
            <w:noWrap w:val="0"/>
            <w:vAlign w:val="top"/>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15.85</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15.85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　</w:t>
            </w:r>
          </w:p>
        </w:tc>
        <w:tc>
          <w:tcPr>
            <w:tcW w:w="2739"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color w:val="auto"/>
                <w:kern w:val="2"/>
                <w:sz w:val="21"/>
                <w:szCs w:val="21"/>
                <w:highlight w:val="none"/>
                <w:lang w:val="en-US" w:eastAsia="zh-CN" w:bidi="ar-SA"/>
              </w:rPr>
              <w:t>其他就业补助支出</w:t>
            </w:r>
          </w:p>
        </w:tc>
        <w:tc>
          <w:tcPr>
            <w:tcW w:w="1654" w:type="dxa"/>
            <w:tcBorders>
              <w:top w:val="nil"/>
              <w:left w:val="nil"/>
              <w:bottom w:val="single" w:color="auto" w:sz="4" w:space="0"/>
              <w:right w:val="single" w:color="auto" w:sz="4" w:space="0"/>
            </w:tcBorders>
            <w:shd w:val="clear" w:color="auto" w:fill="auto"/>
            <w:noWrap w:val="0"/>
            <w:vAlign w:val="top"/>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15.85</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15.85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卫生健康支出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24.34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24.34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24.34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24.34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16.93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16.93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6.57</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sz w:val="21"/>
                <w:szCs w:val="21"/>
                <w:highlight w:val="none"/>
              </w:rPr>
              <w:t>6.57</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住房保障支出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sz w:val="21"/>
                <w:szCs w:val="21"/>
                <w:highlight w:val="none"/>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住房改革支出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　</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21"/>
                <w:szCs w:val="21"/>
                <w:highlight w:val="none"/>
                <w:lang w:val="en-US" w:eastAsia="zh-CN" w:bidi="ar-SA"/>
              </w:rPr>
            </w:pPr>
            <w:r>
              <w:rPr>
                <w:rFonts w:hint="eastAsia" w:ascii="仿宋_GB2312" w:hAnsi="仿宋_GB2312" w:eastAsia="仿宋_GB2312" w:cs="仿宋_GB2312"/>
                <w:b/>
                <w:bCs/>
                <w:color w:val="auto"/>
                <w:kern w:val="0"/>
                <w:sz w:val="21"/>
                <w:szCs w:val="21"/>
                <w:highlight w:val="none"/>
              </w:rPr>
              <w:t>合  计</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339.03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315.18</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r>
        <w:tblPrEx>
          <w:tblCellMar>
            <w:top w:w="0" w:type="dxa"/>
            <w:left w:w="108" w:type="dxa"/>
            <w:bottom w:w="0" w:type="dxa"/>
            <w:right w:w="108" w:type="dxa"/>
          </w:tblCellMar>
        </w:tblPrEx>
        <w:trPr>
          <w:trHeight w:val="405" w:hRule="atLeast"/>
        </w:trPr>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2739" w:type="dxa"/>
            <w:shd w:val="clear" w:color="auto" w:fill="auto"/>
            <w:vAlign w:val="center"/>
          </w:tcPr>
          <w:p>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bidi="ar-SA"/>
              </w:rPr>
            </w:pPr>
          </w:p>
        </w:tc>
        <w:tc>
          <w:tcPr>
            <w:tcW w:w="1654" w:type="dxa"/>
          </w:tcPr>
          <w:p>
            <w:pPr>
              <w:widowControl/>
              <w:spacing w:line="280" w:lineRule="exact"/>
              <w:jc w:val="left"/>
              <w:rPr>
                <w:rFonts w:ascii="宋体" w:hAnsi="宋体" w:cs="宋体"/>
                <w:color w:val="auto"/>
                <w:kern w:val="0"/>
                <w:sz w:val="24"/>
                <w:highlight w:val="none"/>
              </w:rPr>
            </w:pPr>
          </w:p>
        </w:tc>
        <w:tc>
          <w:tcPr>
            <w:tcW w:w="2036" w:type="dxa"/>
          </w:tcPr>
          <w:p>
            <w:pPr>
              <w:widowControl/>
              <w:spacing w:line="280" w:lineRule="exact"/>
              <w:jc w:val="left"/>
              <w:rPr>
                <w:rFonts w:ascii="宋体" w:hAnsi="宋体" w:cs="宋体"/>
                <w:color w:val="auto"/>
                <w:kern w:val="0"/>
                <w:sz w:val="24"/>
                <w:highlight w:val="none"/>
              </w:rPr>
            </w:pPr>
          </w:p>
        </w:tc>
        <w:tc>
          <w:tcPr>
            <w:tcW w:w="1671" w:type="dxa"/>
          </w:tcPr>
          <w:p>
            <w:pPr>
              <w:widowControl/>
              <w:spacing w:line="280" w:lineRule="exact"/>
              <w:jc w:val="left"/>
              <w:rPr>
                <w:rFonts w:ascii="宋体" w:hAnsi="宋体" w:cs="宋体"/>
                <w:color w:val="auto"/>
                <w:kern w:val="0"/>
                <w:sz w:val="24"/>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呼图壁县公共就业服务中心</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Hans"/>
              </w:rPr>
              <w:t>一、</w:t>
            </w:r>
            <w:r>
              <w:rPr>
                <w:rFonts w:hint="eastAsia" w:ascii="仿宋_GB2312" w:hAnsi="宋体" w:eastAsia="仿宋_GB2312" w:cs="宋体"/>
                <w:b/>
                <w:bCs/>
                <w:color w:val="auto"/>
                <w:kern w:val="0"/>
                <w:sz w:val="21"/>
                <w:szCs w:val="21"/>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210.03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10" w:firstLineChars="100"/>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210.03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188.06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188.06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11.34</w:t>
            </w: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11.34</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11.34</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215 资源勘探</w:t>
            </w:r>
            <w:r>
              <w:rPr>
                <w:rFonts w:hint="eastAsia" w:ascii="仿宋_GB2312" w:hAnsi="宋体" w:eastAsia="仿宋_GB2312" w:cs="宋体"/>
                <w:b w:val="0"/>
                <w:bCs w:val="0"/>
                <w:color w:val="auto"/>
                <w:kern w:val="0"/>
                <w:sz w:val="21"/>
                <w:szCs w:val="21"/>
                <w:highlight w:val="none"/>
                <w:lang w:val="en-US" w:eastAsia="zh-Hans"/>
              </w:rPr>
              <w:t>工业</w:t>
            </w:r>
            <w:r>
              <w:rPr>
                <w:rFonts w:hint="eastAsia" w:ascii="仿宋_GB2312" w:hAnsi="宋体" w:eastAsia="仿宋_GB2312" w:cs="宋体"/>
                <w:b w:val="0"/>
                <w:bCs w:val="0"/>
                <w:color w:val="auto"/>
                <w:kern w:val="0"/>
                <w:sz w:val="21"/>
                <w:szCs w:val="21"/>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10.63</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10.63</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224</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210.03</w:t>
            </w:r>
            <w:r>
              <w:rPr>
                <w:rFonts w:hint="eastAsia" w:ascii="仿宋_GB2312" w:hAnsi="宋体" w:eastAsia="仿宋_GB2312" w:cs="宋体"/>
                <w:b/>
                <w:bCs/>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210.03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210.03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34"/>
        <w:gridCol w:w="497"/>
        <w:gridCol w:w="501"/>
        <w:gridCol w:w="2706"/>
        <w:gridCol w:w="435"/>
        <w:gridCol w:w="1017"/>
        <w:gridCol w:w="215"/>
        <w:gridCol w:w="1615"/>
        <w:gridCol w:w="1694"/>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1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呼图壁县公共就业服务中心</w:t>
            </w:r>
          </w:p>
        </w:tc>
        <w:tc>
          <w:tcPr>
            <w:tcW w:w="43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3" w:type="dxa"/>
            <w:gridSpan w:val="2"/>
            <w:tcBorders>
              <w:top w:val="nil"/>
              <w:left w:val="nil"/>
              <w:bottom w:val="nil"/>
              <w:right w:val="nil"/>
            </w:tcBorders>
            <w:noWrap w:val="0"/>
            <w:vAlign w:val="center"/>
          </w:tcPr>
          <w:p>
            <w:pPr>
              <w:widowControl/>
              <w:ind w:firstLine="1440" w:firstLineChars="6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1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9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3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3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289.06</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265.21</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236.59</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228.59</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8</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217.07</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217.07</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 xml:space="preserve"> 一般行政管理事务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ind w:firstLine="420" w:firstLineChars="200"/>
              <w:jc w:val="center"/>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 w:hAnsi="仿宋" w:eastAsia="仿宋" w:cs="仿宋"/>
                <w:b w:val="0"/>
                <w:bCs w:val="0"/>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11.52</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11.52</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　</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36.62</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36.62</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6.84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6.84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29.78</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29.78</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就业补助</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15.85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15.85</w:t>
            </w:r>
          </w:p>
        </w:tc>
      </w:tr>
      <w:tr>
        <w:tblPrEx>
          <w:tblCellMar>
            <w:top w:w="0" w:type="dxa"/>
            <w:left w:w="108" w:type="dxa"/>
            <w:bottom w:w="0" w:type="dxa"/>
            <w:right w:w="108" w:type="dxa"/>
          </w:tblCellMar>
        </w:tblPrEx>
        <w:trPr>
          <w:trHeight w:val="459"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　</w:t>
            </w:r>
          </w:p>
        </w:tc>
        <w:tc>
          <w:tcPr>
            <w:tcW w:w="2730" w:type="dxa"/>
            <w:tcBorders>
              <w:top w:val="nil"/>
              <w:left w:val="nil"/>
              <w:bottom w:val="single" w:color="auto" w:sz="4" w:space="0"/>
              <w:right w:val="single" w:color="auto" w:sz="4" w:space="0"/>
            </w:tcBorders>
            <w:shd w:val="clear" w:color="auto" w:fill="auto"/>
            <w:noWrap w:val="0"/>
            <w:vAlign w:val="top"/>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其他就业补助支出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15.85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15.85</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卫生健康支出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16.93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16.93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6.57</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sz w:val="21"/>
                <w:szCs w:val="21"/>
                <w:highlight w:val="none"/>
                <w:lang w:val="en-US" w:eastAsia="zh-CN"/>
              </w:rPr>
              <w:t>6</w:t>
            </w:r>
            <w:r>
              <w:rPr>
                <w:rFonts w:hint="eastAsia" w:ascii="仿宋" w:hAnsi="仿宋" w:eastAsia="仿宋" w:cs="仿宋"/>
                <w:b w:val="0"/>
                <w:bCs w:val="0"/>
                <w:sz w:val="21"/>
                <w:szCs w:val="21"/>
                <w:highlight w:val="none"/>
              </w:rPr>
              <w:t>.57</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住房保障支出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住房改革支出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　</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21"/>
                <w:szCs w:val="21"/>
                <w:highlight w:val="none"/>
                <w:lang w:val="en-US" w:eastAsia="zh-CN" w:bidi="ar-SA"/>
              </w:rPr>
            </w:pPr>
            <w:r>
              <w:rPr>
                <w:rFonts w:hint="eastAsia" w:ascii="仿宋_GB2312" w:hAnsi="仿宋_GB2312" w:eastAsia="仿宋_GB2312" w:cs="仿宋_GB2312"/>
                <w:b/>
                <w:bCs/>
                <w:color w:val="auto"/>
                <w:kern w:val="0"/>
                <w:sz w:val="21"/>
                <w:szCs w:val="21"/>
                <w:highlight w:val="none"/>
              </w:rPr>
              <w:t>合  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339.03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315.18</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呼图壁县公共就业服务中心</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173.50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173.50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基本工资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31.66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31.66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津贴补贴</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ind w:right="147" w:rightChars="7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28.61</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28.61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03</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奖金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w:t>
            </w:r>
            <w:r>
              <w:rPr>
                <w:rFonts w:hint="eastAsia" w:ascii="仿宋" w:hAnsi="仿宋" w:eastAsia="仿宋" w:cs="仿宋"/>
                <w:b w:val="0"/>
                <w:bCs w:val="0"/>
                <w:color w:val="000000"/>
                <w:kern w:val="0"/>
                <w:sz w:val="21"/>
                <w:szCs w:val="21"/>
                <w:highlight w:val="none"/>
                <w:lang w:val="en-US" w:eastAsia="zh-CN"/>
              </w:rPr>
              <w:t>7</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绩效工资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2.43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17"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08</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机关事业单位基本养老保险</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12.78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12.78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10</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职工基本医疗保险</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7.68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7.68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公务员医疗补助缴费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3.57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其他社会保障缴费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0.45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0.45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13</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住房公积金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10.63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99</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其他工资福利支出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49.79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49.79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06</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0.55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07</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11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28</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1.54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1.54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7.93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7.93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6.84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6.84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09</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186.16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181.43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pPr w:leftFromText="180" w:rightFromText="180" w:vertAnchor="text" w:horzAnchor="page" w:tblpX="1568" w:tblpY="321"/>
        <w:tblOverlap w:val="never"/>
        <w:tblW w:w="13920" w:type="dxa"/>
        <w:tblInd w:w="0" w:type="dxa"/>
        <w:tblLayout w:type="fixed"/>
        <w:tblCellMar>
          <w:top w:w="0" w:type="dxa"/>
          <w:left w:w="108" w:type="dxa"/>
          <w:bottom w:w="0" w:type="dxa"/>
          <w:right w:w="108" w:type="dxa"/>
        </w:tblCellMar>
      </w:tblPr>
      <w:tblGrid>
        <w:gridCol w:w="118"/>
        <w:gridCol w:w="437"/>
        <w:gridCol w:w="510"/>
        <w:gridCol w:w="480"/>
        <w:gridCol w:w="900"/>
        <w:gridCol w:w="2085"/>
        <w:gridCol w:w="780"/>
        <w:gridCol w:w="630"/>
        <w:gridCol w:w="810"/>
        <w:gridCol w:w="930"/>
        <w:gridCol w:w="1080"/>
        <w:gridCol w:w="855"/>
        <w:gridCol w:w="720"/>
        <w:gridCol w:w="975"/>
        <w:gridCol w:w="705"/>
        <w:gridCol w:w="1056"/>
        <w:gridCol w:w="849"/>
      </w:tblGrid>
      <w:tr>
        <w:tblPrEx>
          <w:tblCellMar>
            <w:top w:w="0" w:type="dxa"/>
            <w:left w:w="108" w:type="dxa"/>
            <w:bottom w:w="0" w:type="dxa"/>
            <w:right w:w="108" w:type="dxa"/>
          </w:tblCellMar>
        </w:tblPrEx>
        <w:trPr>
          <w:gridBefore w:val="1"/>
          <w:gridAfter w:val="5"/>
          <w:wBefore w:w="118" w:type="dxa"/>
          <w:wAfter w:w="4305" w:type="dxa"/>
          <w:trHeight w:val="375" w:hRule="atLeast"/>
        </w:trPr>
        <w:tc>
          <w:tcPr>
            <w:tcW w:w="9497" w:type="dxa"/>
            <w:gridSpan w:val="11"/>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 xml:space="preserve">                     </w:t>
            </w: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5"/>
          <w:wBefore w:w="118" w:type="dxa"/>
          <w:wAfter w:w="4305" w:type="dxa"/>
          <w:trHeight w:val="405" w:hRule="atLeast"/>
        </w:trPr>
        <w:tc>
          <w:tcPr>
            <w:tcW w:w="4412" w:type="dxa"/>
            <w:gridSpan w:val="5"/>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呼图壁县公共就业服务中心</w:t>
            </w:r>
          </w:p>
        </w:tc>
        <w:tc>
          <w:tcPr>
            <w:tcW w:w="222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93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1935" w:type="dxa"/>
            <w:gridSpan w:val="2"/>
            <w:tcBorders>
              <w:top w:val="nil"/>
              <w:left w:val="nil"/>
              <w:bottom w:val="nil"/>
              <w:right w:val="nil"/>
            </w:tcBorders>
            <w:noWrap w:val="0"/>
            <w:vAlign w:val="center"/>
          </w:tcPr>
          <w:p>
            <w:pPr>
              <w:widowControl/>
              <w:ind w:firstLine="240" w:firstLineChars="1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4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0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8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9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10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9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10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8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5"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1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8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0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0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01</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一般行政管理事务</w:t>
            </w: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流动人员（高校毕业生）人事档案信息化建设经费（非定额）</w:t>
            </w:r>
          </w:p>
        </w:tc>
        <w:tc>
          <w:tcPr>
            <w:tcW w:w="78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8</w:t>
            </w: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6</w:t>
            </w: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w:t>
            </w: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07</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5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72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55" w:type="dxa"/>
            <w:gridSpan w:val="2"/>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其他就业补助支出</w:t>
            </w:r>
          </w:p>
        </w:tc>
        <w:tc>
          <w:tcPr>
            <w:tcW w:w="208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2025年自治区财政就业补助资金</w:t>
            </w:r>
          </w:p>
        </w:tc>
        <w:tc>
          <w:tcPr>
            <w:tcW w:w="7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15.85</w:t>
            </w:r>
          </w:p>
        </w:tc>
        <w:tc>
          <w:tcPr>
            <w:tcW w:w="6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10.85</w:t>
            </w:r>
          </w:p>
        </w:tc>
        <w:tc>
          <w:tcPr>
            <w:tcW w:w="9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5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72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5</w:t>
            </w: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55" w:type="dxa"/>
            <w:gridSpan w:val="2"/>
            <w:noWrap w:val="0"/>
            <w:vAlign w:val="center"/>
          </w:tcPr>
          <w:p>
            <w:pPr>
              <w:widowControl/>
              <w:jc w:val="center"/>
              <w:outlineLvl w:val="1"/>
              <w:rPr>
                <w:rFonts w:ascii="仿宋_GB2312" w:hAnsi="宋体" w:eastAsia="仿宋_GB2312"/>
                <w:color w:val="auto"/>
                <w:kern w:val="0"/>
                <w:sz w:val="21"/>
                <w:szCs w:val="21"/>
                <w:highlight w:val="none"/>
              </w:rPr>
            </w:pPr>
          </w:p>
        </w:tc>
        <w:tc>
          <w:tcPr>
            <w:tcW w:w="51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48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90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2085" w:type="dxa"/>
            <w:noWrap w:val="0"/>
            <w:vAlign w:val="center"/>
          </w:tcPr>
          <w:p>
            <w:pPr>
              <w:widowControl/>
              <w:jc w:val="center"/>
              <w:outlineLvl w:val="1"/>
              <w:rPr>
                <w:rFonts w:ascii="仿宋_GB2312" w:hAnsi="宋体" w:eastAsia="仿宋_GB2312"/>
                <w:b/>
                <w:bCs/>
                <w:color w:val="auto"/>
                <w:kern w:val="0"/>
                <w:sz w:val="21"/>
                <w:szCs w:val="21"/>
                <w:highlight w:val="none"/>
              </w:rPr>
            </w:pPr>
            <w:r>
              <w:rPr>
                <w:rFonts w:hint="eastAsia" w:ascii="仿宋_GB2312" w:hAnsi="宋体" w:eastAsia="仿宋_GB2312"/>
                <w:b/>
                <w:bCs/>
                <w:color w:val="auto"/>
                <w:kern w:val="0"/>
                <w:sz w:val="21"/>
                <w:szCs w:val="21"/>
                <w:highlight w:val="none"/>
              </w:rPr>
              <w:t>合 计</w:t>
            </w:r>
          </w:p>
        </w:tc>
        <w:tc>
          <w:tcPr>
            <w:tcW w:w="78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23.85</w:t>
            </w:r>
          </w:p>
        </w:tc>
        <w:tc>
          <w:tcPr>
            <w:tcW w:w="630"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16.85</w:t>
            </w:r>
          </w:p>
        </w:tc>
        <w:tc>
          <w:tcPr>
            <w:tcW w:w="930"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1080" w:type="dxa"/>
            <w:noWrap w:val="0"/>
            <w:vAlign w:val="center"/>
          </w:tcPr>
          <w:p>
            <w:pPr>
              <w:widowControl/>
              <w:jc w:val="center"/>
              <w:outlineLvl w:val="1"/>
              <w:rPr>
                <w:rFonts w:ascii="仿宋_GB2312" w:hAnsi="宋体" w:eastAsia="仿宋_GB2312"/>
                <w:b/>
                <w:bCs/>
                <w:color w:val="auto"/>
                <w:kern w:val="0"/>
                <w:sz w:val="21"/>
                <w:szCs w:val="21"/>
                <w:highlight w:val="none"/>
              </w:rPr>
            </w:pPr>
          </w:p>
        </w:tc>
        <w:tc>
          <w:tcPr>
            <w:tcW w:w="855" w:type="dxa"/>
            <w:noWrap w:val="0"/>
            <w:vAlign w:val="center"/>
          </w:tcPr>
          <w:p>
            <w:pPr>
              <w:widowControl/>
              <w:jc w:val="center"/>
              <w:outlineLvl w:val="1"/>
              <w:rPr>
                <w:rFonts w:ascii="仿宋_GB2312" w:hAnsi="宋体" w:eastAsia="仿宋_GB2312"/>
                <w:b/>
                <w:bCs/>
                <w:color w:val="auto"/>
                <w:kern w:val="0"/>
                <w:sz w:val="21"/>
                <w:szCs w:val="21"/>
                <w:highlight w:val="none"/>
              </w:rPr>
            </w:pPr>
          </w:p>
        </w:tc>
        <w:tc>
          <w:tcPr>
            <w:tcW w:w="72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w:t>
            </w:r>
          </w:p>
        </w:tc>
        <w:tc>
          <w:tcPr>
            <w:tcW w:w="975"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5</w:t>
            </w:r>
          </w:p>
        </w:tc>
        <w:tc>
          <w:tcPr>
            <w:tcW w:w="1056"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849" w:type="dxa"/>
            <w:noWrap w:val="0"/>
            <w:vAlign w:val="center"/>
          </w:tcPr>
          <w:p>
            <w:pPr>
              <w:widowControl/>
              <w:jc w:val="center"/>
              <w:outlineLvl w:val="1"/>
              <w:rPr>
                <w:rFonts w:ascii="仿宋_GB2312" w:hAnsi="宋体" w:eastAsia="仿宋_GB2312"/>
                <w:color w:val="auto"/>
                <w:kern w:val="0"/>
                <w:sz w:val="21"/>
                <w:szCs w:val="21"/>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呼图壁县公共就业服务中心2025年未安排政府性基金预算支出预算，此表没有数据。</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bCs w:val="0"/>
          <w:color w:val="auto"/>
          <w:sz w:val="28"/>
          <w:szCs w:val="28"/>
          <w:highlight w:val="none"/>
          <w:lang w:val="en-US" w:eastAsia="zh-CN"/>
        </w:rPr>
      </w:pPr>
      <w:r>
        <w:rPr>
          <w:rFonts w:hint="eastAsia" w:ascii="仿宋_GB2312" w:hAnsi="宋体" w:eastAsia="仿宋_GB2312"/>
          <w:b/>
          <w:bCs w:val="0"/>
          <w:color w:val="auto"/>
          <w:kern w:val="0"/>
          <w:sz w:val="28"/>
          <w:szCs w:val="32"/>
          <w:highlight w:val="none"/>
          <w:lang w:val="en-US" w:eastAsia="zh-CN"/>
        </w:rPr>
        <w:t>呼图壁县公共就业服务中心2025年未安排国有资本经营预算支出预算，此表没有数据。</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color w:val="auto"/>
          <w:sz w:val="28"/>
          <w:szCs w:val="28"/>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default" w:ascii="仿宋_GB2312" w:hAnsi="宋体" w:eastAsia="仿宋_GB2312" w:cs="Times New Roman"/>
          <w:color w:val="auto"/>
          <w:kern w:val="0"/>
          <w:sz w:val="24"/>
          <w:highlight w:val="none"/>
          <w:lang w:val="en-US" w:eastAsia="zh-CN"/>
        </w:rPr>
      </w:pPr>
      <w:r>
        <w:rPr>
          <w:rFonts w:hint="eastAsia" w:ascii="仿宋_GB2312" w:hAnsi="宋体" w:eastAsia="仿宋_GB2312" w:cs="Times New Roman"/>
          <w:color w:val="auto"/>
          <w:kern w:val="0"/>
          <w:sz w:val="24"/>
          <w:highlight w:val="none"/>
          <w:lang w:val="en-US" w:eastAsia="zh-CN"/>
        </w:rPr>
        <w:t>表</w:t>
      </w:r>
      <w:r>
        <w:rPr>
          <w:rFonts w:hint="default" w:ascii="仿宋_GB2312" w:hAnsi="宋体" w:eastAsia="仿宋_GB2312" w:cs="Times New Roman"/>
          <w:color w:val="auto"/>
          <w:kern w:val="0"/>
          <w:sz w:val="24"/>
          <w:highlight w:val="none"/>
          <w:lang w:val="en-US" w:eastAsia="zh-CN"/>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10"/>
        <w:tblW w:w="9225" w:type="dxa"/>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1065"/>
        <w:gridCol w:w="1260"/>
        <w:gridCol w:w="1005"/>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vMerge w:val="restart"/>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lang w:eastAsia="zh-CN"/>
              </w:rPr>
              <w:t>“</w:t>
            </w:r>
            <w:r>
              <w:rPr>
                <w:rFonts w:hint="eastAsia" w:ascii="仿宋_GB2312" w:hAnsi="宋体" w:eastAsia="仿宋_GB2312"/>
                <w:b/>
                <w:color w:val="auto"/>
                <w:kern w:val="0"/>
                <w:sz w:val="21"/>
                <w:szCs w:val="21"/>
                <w:highlight w:val="none"/>
                <w:vertAlign w:val="baseline"/>
              </w:rPr>
              <w:t>三公</w:t>
            </w:r>
            <w:r>
              <w:rPr>
                <w:rFonts w:hint="eastAsia" w:ascii="仿宋_GB2312" w:hAnsi="宋体" w:eastAsia="仿宋_GB2312"/>
                <w:b/>
                <w:color w:val="auto"/>
                <w:kern w:val="0"/>
                <w:sz w:val="21"/>
                <w:szCs w:val="21"/>
                <w:highlight w:val="none"/>
                <w:vertAlign w:val="baseline"/>
                <w:lang w:eastAsia="zh-CN"/>
              </w:rPr>
              <w:t>”</w:t>
            </w:r>
            <w:r>
              <w:rPr>
                <w:rFonts w:hint="eastAsia" w:ascii="仿宋_GB2312" w:hAnsi="宋体" w:eastAsia="仿宋_GB2312"/>
                <w:b/>
                <w:color w:val="auto"/>
                <w:kern w:val="0"/>
                <w:sz w:val="21"/>
                <w:szCs w:val="21"/>
                <w:highlight w:val="none"/>
                <w:vertAlign w:val="baseline"/>
                <w:lang w:val="en-US" w:eastAsia="zh-CN"/>
              </w:rPr>
              <w:t>经费</w:t>
            </w:r>
            <w:r>
              <w:rPr>
                <w:rFonts w:hint="eastAsia" w:ascii="仿宋_GB2312" w:hAnsi="宋体" w:eastAsia="仿宋_GB2312"/>
                <w:b/>
                <w:color w:val="auto"/>
                <w:kern w:val="0"/>
                <w:sz w:val="21"/>
                <w:szCs w:val="21"/>
                <w:highlight w:val="none"/>
                <w:vertAlign w:val="baseline"/>
              </w:rPr>
              <w:t>支出内容</w:t>
            </w:r>
          </w:p>
        </w:tc>
        <w:tc>
          <w:tcPr>
            <w:tcW w:w="1065" w:type="dxa"/>
            <w:vMerge w:val="restart"/>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合计</w:t>
            </w:r>
          </w:p>
        </w:tc>
        <w:tc>
          <w:tcPr>
            <w:tcW w:w="4372" w:type="dxa"/>
            <w:gridSpan w:val="3"/>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vMerge w:val="continue"/>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065" w:type="dxa"/>
            <w:vMerge w:val="continue"/>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260"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一般公共预算</w:t>
            </w:r>
          </w:p>
        </w:tc>
        <w:tc>
          <w:tcPr>
            <w:tcW w:w="1005"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政府性基金</w:t>
            </w:r>
          </w:p>
        </w:tc>
        <w:tc>
          <w:tcPr>
            <w:tcW w:w="2107"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合计</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eastAsia"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065" w:type="dxa"/>
            <w:shd w:val="clear" w:color="auto" w:fill="auto"/>
            <w:noWrap w:val="0"/>
            <w:vAlign w:val="top"/>
          </w:tcPr>
          <w:p>
            <w:pPr>
              <w:widowControl/>
              <w:jc w:val="center"/>
              <w:rPr>
                <w:rFonts w:hint="eastAsia"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eastAsia"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065" w:type="dxa"/>
            <w:shd w:val="clear" w:color="auto" w:fill="auto"/>
            <w:noWrap w:val="0"/>
            <w:vAlign w:val="top"/>
          </w:tcPr>
          <w:p>
            <w:pPr>
              <w:widowControl/>
              <w:jc w:val="center"/>
              <w:rPr>
                <w:rFonts w:hint="eastAsia"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eastAsia"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公务用车购置及运行费（小计）</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top"/>
          </w:tcPr>
          <w:p>
            <w:pPr>
              <w:widowControl/>
              <w:ind w:firstLine="210" w:firstLineChars="100"/>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065" w:type="dxa"/>
            <w:shd w:val="clear" w:color="auto" w:fill="auto"/>
            <w:noWrap w:val="0"/>
            <w:vAlign w:val="top"/>
          </w:tcPr>
          <w:p>
            <w:pPr>
              <w:widowControl/>
              <w:jc w:val="center"/>
              <w:rPr>
                <w:rFonts w:hint="default"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default"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top"/>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公务用车运行费</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8"/>
        <w:rPr>
          <w:rFonts w:hint="eastAsia"/>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480" w:tblpY="190"/>
        <w:tblOverlap w:val="never"/>
        <w:tblW w:w="8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9"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5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b/>
          <w:bCs/>
          <w:color w:val="auto"/>
          <w:kern w:val="0"/>
          <w:sz w:val="28"/>
          <w:szCs w:val="28"/>
          <w:highlight w:val="none"/>
          <w:lang w:eastAsia="zh-CN"/>
        </w:rPr>
        <w:t>呼图壁县公共就业服务中心202</w:t>
      </w:r>
      <w:r>
        <w:rPr>
          <w:rFonts w:hint="eastAsia" w:ascii="仿宋_GB2312" w:hAnsi="仿宋_GB2312" w:eastAsia="仿宋_GB2312" w:cs="仿宋_GB2312"/>
          <w:b/>
          <w:bCs/>
          <w:color w:val="auto"/>
          <w:kern w:val="0"/>
          <w:sz w:val="28"/>
          <w:szCs w:val="28"/>
          <w:highlight w:val="none"/>
          <w:lang w:val="en-US" w:eastAsia="zh-CN"/>
        </w:rPr>
        <w:t>5</w:t>
      </w:r>
      <w:r>
        <w:rPr>
          <w:rFonts w:hint="eastAsia" w:ascii="仿宋_GB2312" w:hAnsi="仿宋_GB2312" w:eastAsia="仿宋_GB2312" w:cs="仿宋_GB2312"/>
          <w:b/>
          <w:bCs/>
          <w:color w:val="auto"/>
          <w:kern w:val="0"/>
          <w:sz w:val="28"/>
          <w:szCs w:val="28"/>
          <w:highlight w:val="none"/>
          <w:lang w:eastAsia="zh-CN"/>
        </w:rPr>
        <w:t>年</w:t>
      </w:r>
      <w:r>
        <w:rPr>
          <w:rFonts w:hint="eastAsia" w:ascii="仿宋_GB2312" w:hAnsi="仿宋_GB2312" w:eastAsia="仿宋_GB2312" w:cs="仿宋_GB2312"/>
          <w:b/>
          <w:bCs/>
          <w:color w:val="auto"/>
          <w:kern w:val="0"/>
          <w:sz w:val="28"/>
          <w:szCs w:val="28"/>
          <w:highlight w:val="none"/>
          <w:lang w:val="en-US" w:eastAsia="zh-CN"/>
        </w:rPr>
        <w:t>无上年结转结余</w:t>
      </w:r>
      <w:r>
        <w:rPr>
          <w:rFonts w:hint="eastAsia" w:ascii="仿宋_GB2312" w:hAnsi="仿宋_GB2312" w:eastAsia="仿宋_GB2312" w:cs="仿宋_GB2312"/>
          <w:b/>
          <w:bCs/>
          <w:color w:val="auto"/>
          <w:kern w:val="0"/>
          <w:sz w:val="28"/>
          <w:szCs w:val="28"/>
          <w:highlight w:val="none"/>
        </w:rPr>
        <w:t>预算的支出，</w:t>
      </w:r>
      <w:r>
        <w:rPr>
          <w:rFonts w:hint="eastAsia" w:ascii="仿宋_GB2312" w:hAnsi="仿宋_GB2312" w:eastAsia="仿宋_GB2312" w:cs="仿宋_GB2312"/>
          <w:b/>
          <w:bCs/>
          <w:color w:val="auto"/>
          <w:kern w:val="0"/>
          <w:sz w:val="28"/>
          <w:szCs w:val="28"/>
          <w:highlight w:val="none"/>
          <w:lang w:val="en-US" w:eastAsia="zh-CN"/>
        </w:rPr>
        <w:t>结转结余</w:t>
      </w:r>
      <w:r>
        <w:rPr>
          <w:rFonts w:hint="eastAsia" w:ascii="仿宋_GB2312" w:hAnsi="仿宋_GB2312" w:eastAsia="仿宋_GB2312" w:cs="仿宋_GB2312"/>
          <w:b/>
          <w:bCs/>
          <w:color w:val="auto"/>
          <w:kern w:val="0"/>
          <w:sz w:val="28"/>
          <w:szCs w:val="28"/>
          <w:highlight w:val="none"/>
        </w:rPr>
        <w:t>预算支出情况表为空表。</w:t>
      </w:r>
    </w:p>
    <w:p>
      <w:pPr>
        <w:widowControl/>
        <w:outlineLvl w:val="1"/>
        <w:rPr>
          <w:rFonts w:ascii="仿宋_GB2312" w:hAnsi="宋体" w:eastAsia="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w:t>
      </w:r>
      <w:r>
        <w:rPr>
          <w:rFonts w:hint="eastAsia" w:ascii="黑体" w:hAnsi="黑体" w:eastAsia="黑体" w:cs="Times New Roman"/>
          <w:color w:val="auto"/>
          <w:kern w:val="0"/>
          <w:sz w:val="32"/>
          <w:szCs w:val="32"/>
          <w:highlight w:val="none"/>
          <w:lang w:eastAsia="zh-CN"/>
        </w:rPr>
        <w:t>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w:t>
      </w:r>
      <w:r>
        <w:rPr>
          <w:rFonts w:hint="eastAsia" w:ascii="黑体" w:hAnsi="黑体" w:eastAsia="黑体" w:cs="Times New Roman"/>
          <w:color w:val="auto"/>
          <w:kern w:val="0"/>
          <w:sz w:val="32"/>
          <w:szCs w:val="32"/>
          <w:highlight w:val="none"/>
          <w:lang w:val="en-US" w:eastAsia="zh-CN"/>
        </w:rPr>
        <w:t>公共就业服务中心</w:t>
      </w:r>
      <w:r>
        <w:rPr>
          <w:rFonts w:hint="eastAsia" w:ascii="黑体" w:hAnsi="黑体" w:eastAsia="黑体" w:cs="Times New Roman"/>
          <w:color w:val="auto"/>
          <w:kern w:val="0"/>
          <w:sz w:val="32"/>
          <w:szCs w:val="32"/>
          <w:highlight w:val="none"/>
        </w:rPr>
        <w:t>预算</w:t>
      </w: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呼图壁县公共就业服务中心2024年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194.18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57.28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减少公务员两人，人员减少相应支出降低</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15.85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以前年度该资金纳入呼图壁县人力资源和社会保障局核算，本年度纳入我中心核算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38.05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本年度人员较上年度减少因此单位资金较上年有所降低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 xml:space="preserve">支出支出预算    </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315.18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92.97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34.14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本年度减少公务员2人，人员减少相应经费降低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23.85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上年度以上项目支出资金纳入呼图壁县人力资源和社会保险局核算，本年度纳入我中心进行核算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210.03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210.03</w:t>
      </w:r>
      <w:r>
        <w:rPr>
          <w:rFonts w:hint="eastAsia" w:ascii="仿宋_GB2312" w:hAnsi="宋体" w:eastAsia="仿宋_GB2312" w:cs="宋体"/>
          <w:color w:val="auto"/>
          <w:kern w:val="0"/>
          <w:sz w:val="32"/>
          <w:szCs w:val="32"/>
          <w:highlight w:val="none"/>
        </w:rPr>
        <w:t>万元。</w:t>
      </w:r>
    </w:p>
    <w:p>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 w:eastAsia="仿宋_GB2312" w:cs="仿宋"/>
          <w:color w:val="auto"/>
          <w:sz w:val="32"/>
          <w:szCs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188.06</w:t>
      </w:r>
      <w:r>
        <w:rPr>
          <w:rFonts w:hint="eastAsia" w:ascii="仿宋_GB2312" w:hAnsi="仿宋" w:eastAsia="仿宋_GB2312" w:cs="仿宋"/>
          <w:color w:val="auto"/>
          <w:sz w:val="32"/>
          <w:szCs w:val="32"/>
          <w:highlight w:val="none"/>
          <w:lang w:val="en-US" w:eastAsia="zh-CN"/>
        </w:rPr>
        <w:t>万元，</w:t>
      </w:r>
      <w:r>
        <w:rPr>
          <w:rFonts w:hint="eastAsia" w:ascii="仿宋_GB2312" w:hAnsi="仿宋" w:eastAsia="仿宋_GB2312"/>
          <w:color w:val="auto"/>
          <w:sz w:val="32"/>
          <w:highlight w:val="none"/>
          <w:lang w:val="en-US" w:eastAsia="zh-CN"/>
        </w:rPr>
        <w:t>主要用于在职职工社会保险缴费及</w:t>
      </w:r>
      <w:r>
        <w:rPr>
          <w:rFonts w:hint="eastAsia" w:ascii="仿宋_GB2312" w:hAnsi="宋体" w:eastAsia="仿宋_GB2312" w:cs="宋体"/>
          <w:kern w:val="0"/>
          <w:sz w:val="32"/>
          <w:szCs w:val="32"/>
          <w:highlight w:val="none"/>
          <w:lang w:val="en-US" w:eastAsia="zh-CN"/>
        </w:rPr>
        <w:t>支付人员经费及办公经费，</w:t>
      </w:r>
      <w:r>
        <w:rPr>
          <w:rFonts w:hint="eastAsia" w:ascii="仿宋_GB2312" w:hAnsi="宋体" w:eastAsia="仿宋_GB2312" w:cs="宋体"/>
          <w:kern w:val="0"/>
          <w:sz w:val="32"/>
          <w:szCs w:val="32"/>
          <w:highlight w:val="none"/>
        </w:rPr>
        <w:t>医疗卫生健康支出</w:t>
      </w:r>
      <w:r>
        <w:rPr>
          <w:rFonts w:hint="eastAsia" w:ascii="仿宋_GB2312" w:hAnsi="仿宋" w:eastAsia="仿宋_GB2312" w:cs="仿宋"/>
          <w:color w:val="auto"/>
          <w:sz w:val="32"/>
          <w:szCs w:val="32"/>
          <w:highlight w:val="none"/>
          <w:lang w:val="en-US" w:eastAsia="zh-CN"/>
        </w:rPr>
        <w:t>11.34万元，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医疗保险支出；</w:t>
      </w:r>
      <w:r>
        <w:rPr>
          <w:rFonts w:hint="eastAsia" w:ascii="仿宋_GB2312" w:hAnsi="仿宋" w:eastAsia="仿宋_GB2312" w:cs="仿宋"/>
          <w:color w:val="auto"/>
          <w:sz w:val="32"/>
          <w:szCs w:val="32"/>
          <w:highlight w:val="none"/>
          <w:lang w:val="en-US" w:eastAsia="zh-CN"/>
        </w:rPr>
        <w:t>住房保障支出10.63万元，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职工住房公积金缴费支出。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210.03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194.18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22.14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10.23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减少公务员两人，人员减少相应支出降低。</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15.85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上年度以上项目支出资金纳入呼图壁县人力资源和社会保险局核算，本年度纳入我中心进行核算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hint="eastAsia" w:ascii="仿宋_GB2312" w:hAnsi="仿宋" w:eastAsia="仿宋_GB2312" w:cs="仿宋"/>
          <w:color w:val="auto"/>
          <w:sz w:val="32"/>
          <w:szCs w:val="32"/>
          <w:highlight w:val="none"/>
          <w:lang w:eastAsia="zh-CN"/>
        </w:rPr>
        <w:t>社会保障和就业支出（类）</w:t>
      </w:r>
      <w:r>
        <w:rPr>
          <w:rFonts w:hint="eastAsia" w:ascii="仿宋_GB2312" w:hAnsi="仿宋" w:eastAsia="仿宋_GB2312" w:cs="仿宋"/>
          <w:color w:val="auto"/>
          <w:sz w:val="32"/>
          <w:szCs w:val="32"/>
          <w:highlight w:val="none"/>
          <w:lang w:val="en-US" w:eastAsia="zh-CN"/>
        </w:rPr>
        <w:t>188.06</w:t>
      </w:r>
      <w:r>
        <w:rPr>
          <w:rFonts w:hint="eastAsia" w:ascii="仿宋_GB2312" w:hAnsi="仿宋" w:eastAsia="仿宋_GB2312" w:cs="仿宋"/>
          <w:color w:val="auto"/>
          <w:sz w:val="32"/>
          <w:szCs w:val="32"/>
          <w:highlight w:val="none"/>
        </w:rPr>
        <w:t>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89.54%</w:t>
      </w:r>
      <w:r>
        <w:rPr>
          <w:rFonts w:hint="eastAsia" w:ascii="仿宋_GB2312" w:hAnsi="仿宋_GB2312" w:eastAsia="仿宋_GB2312" w:cs="仿宋_GB2312"/>
          <w:sz w:val="32"/>
          <w:szCs w:val="32"/>
          <w:highlight w:val="none"/>
          <w:lang w:val="en-US"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卫生健康支出（类）</w:t>
      </w:r>
      <w:r>
        <w:rPr>
          <w:rFonts w:hint="eastAsia" w:ascii="仿宋_GB2312" w:hAnsi="仿宋" w:eastAsia="仿宋_GB2312" w:cs="仿宋"/>
          <w:color w:val="auto"/>
          <w:sz w:val="32"/>
          <w:szCs w:val="32"/>
          <w:highlight w:val="none"/>
          <w:lang w:val="en-US" w:eastAsia="zh-CN"/>
        </w:rPr>
        <w:t>11.34万元，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5.4%。</w:t>
      </w:r>
    </w:p>
    <w:p>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仿宋" w:eastAsia="仿宋_GB2312" w:cs="仿宋"/>
          <w:color w:val="auto"/>
          <w:sz w:val="32"/>
          <w:szCs w:val="32"/>
          <w:highlight w:val="none"/>
          <w:lang w:val="en-US" w:eastAsia="zh-CN"/>
        </w:rPr>
        <w:t>3.住房保障支出（类）10.63万元，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5.06%</w:t>
      </w:r>
      <w:r>
        <w:rPr>
          <w:rFonts w:hint="eastAsia" w:ascii="仿宋_GB2312" w:hAnsi="仿宋_GB2312" w:eastAsia="仿宋_GB2312" w:cs="仿宋_GB2312"/>
          <w:b w:val="0"/>
          <w:bCs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行政运行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预算数为217.17</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数减少</w:t>
      </w:r>
      <w:r>
        <w:rPr>
          <w:rFonts w:hint="eastAsia" w:ascii="仿宋_GB2312" w:hAnsi="仿宋" w:eastAsia="仿宋_GB2312" w:cs="仿宋"/>
          <w:color w:val="auto"/>
          <w:sz w:val="32"/>
          <w:szCs w:val="32"/>
          <w:highlight w:val="none"/>
          <w:lang w:val="en-US" w:eastAsia="zh-CN"/>
        </w:rPr>
        <w:t>23.54</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下降14.94%</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主要原因是减少公务员2人，相应工资、社保、公积金支出减少，人员支出减少相应经费降低。</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一般行政管理事务</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预算数为8</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8万</w:t>
      </w:r>
      <w:r>
        <w:rPr>
          <w:rFonts w:hint="eastAsia" w:ascii="仿宋_GB2312" w:hAnsi="仿宋" w:eastAsia="仿宋_GB2312" w:cs="仿宋"/>
          <w:color w:val="auto"/>
          <w:sz w:val="32"/>
          <w:szCs w:val="32"/>
          <w:highlight w:val="none"/>
          <w:lang w:eastAsia="zh-CN"/>
        </w:rPr>
        <w:t>元，增长</w:t>
      </w:r>
      <w:r>
        <w:rPr>
          <w:rFonts w:hint="eastAsia" w:ascii="仿宋_GB2312" w:hAnsi="仿宋" w:eastAsia="仿宋_GB2312" w:cs="仿宋"/>
          <w:color w:val="auto"/>
          <w:sz w:val="32"/>
          <w:szCs w:val="32"/>
          <w:highlight w:val="none"/>
          <w:lang w:val="en-US" w:eastAsia="zh-CN"/>
        </w:rPr>
        <w:t>100%</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主要原因是本年度增加高校毕业生流动档案信息化建设经费支出8万元，因此非定额经费增加。</w:t>
      </w:r>
    </w:p>
    <w:p>
      <w:pPr>
        <w:widowControl w:val="0"/>
        <w:spacing w:line="560" w:lineRule="exact"/>
        <w:ind w:firstLine="640" w:firstLineChars="200"/>
        <w:jc w:val="both"/>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3.</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事业运行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预算数为11.52万元</w:t>
      </w:r>
      <w:r>
        <w:rPr>
          <w:rFonts w:hint="eastAsia" w:ascii="仿宋_GB2312" w:hAnsi="仿宋" w:eastAsia="仿宋_GB2312" w:cs="仿宋"/>
          <w:color w:val="auto"/>
          <w:sz w:val="32"/>
          <w:szCs w:val="32"/>
          <w:highlight w:val="none"/>
        </w:rPr>
        <w:t>，主要用于事业单位</w:t>
      </w:r>
      <w:r>
        <w:rPr>
          <w:rFonts w:hint="eastAsia" w:ascii="仿宋_GB2312" w:hAnsi="仿宋" w:eastAsia="仿宋_GB2312" w:cs="仿宋"/>
          <w:color w:val="auto"/>
          <w:sz w:val="32"/>
          <w:szCs w:val="32"/>
          <w:highlight w:val="none"/>
          <w:lang w:val="en-US" w:eastAsia="zh-CN"/>
        </w:rPr>
        <w:t>人员工资性</w:t>
      </w:r>
      <w:r>
        <w:rPr>
          <w:rFonts w:hint="eastAsia" w:ascii="仿宋_GB2312" w:hAnsi="仿宋" w:eastAsia="仿宋_GB2312" w:cs="仿宋"/>
          <w:color w:val="auto"/>
          <w:sz w:val="32"/>
          <w:szCs w:val="32"/>
          <w:highlight w:val="none"/>
        </w:rPr>
        <w:t>缴费</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0.1</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增长0.96%。</w:t>
      </w:r>
      <w:r>
        <w:rPr>
          <w:rFonts w:hint="eastAsia" w:ascii="仿宋_GB2312" w:hAnsi="仿宋_GB2312" w:eastAsia="仿宋_GB2312" w:cs="仿宋_GB2312"/>
          <w:sz w:val="32"/>
          <w:szCs w:val="32"/>
          <w:highlight w:val="none"/>
          <w:lang w:val="en-US" w:eastAsia="zh-CN"/>
        </w:rPr>
        <w:t>主要原因是本年度事业编人员工资调整相应社保、公积金等支出增加</w:t>
      </w:r>
      <w:r>
        <w:rPr>
          <w:rFonts w:hint="eastAsia" w:ascii="仿宋_GB2312" w:hAnsi="仿宋" w:eastAsia="仿宋_GB2312" w:cs="仿宋"/>
          <w:color w:val="auto"/>
          <w:sz w:val="32"/>
          <w:szCs w:val="32"/>
          <w:highlight w:val="none"/>
          <w:lang w:eastAsia="zh-CN"/>
        </w:rPr>
        <w:t>，所以事业运行经费增加。</w:t>
      </w:r>
    </w:p>
    <w:p>
      <w:pPr>
        <w:spacing w:after="0" w:line="560" w:lineRule="exact"/>
        <w:ind w:left="0" w:firstLine="640" w:firstLineChars="200"/>
        <w:rPr>
          <w:rFonts w:hint="eastAsia" w:ascii="仿宋_GB2312" w:hAnsi="仿宋" w:eastAsia="仿宋_GB2312" w:cs="仿宋"/>
          <w:b/>
          <w:bCs/>
          <w:color w:val="auto"/>
          <w:sz w:val="32"/>
          <w:szCs w:val="32"/>
          <w:highlight w:val="none"/>
          <w:lang w:eastAsia="zh-CN"/>
        </w:rPr>
      </w:pPr>
      <w:r>
        <w:rPr>
          <w:rFonts w:hint="eastAsia" w:ascii="仿宋_GB2312" w:hAnsi="仿宋" w:eastAsia="仿宋_GB2312" w:cs="仿宋"/>
          <w:b w:val="0"/>
          <w:bCs w:val="0"/>
          <w:color w:val="auto"/>
          <w:sz w:val="32"/>
          <w:szCs w:val="32"/>
          <w:highlight w:val="none"/>
          <w:lang w:val="en-US" w:eastAsia="zh-CN"/>
        </w:rPr>
        <w:t>4.</w:t>
      </w:r>
      <w:r>
        <w:rPr>
          <w:rFonts w:hint="eastAsia" w:ascii="仿宋_GB2312" w:hAnsi="仿宋" w:eastAsia="仿宋_GB2312" w:cs="仿宋"/>
          <w:b w:val="0"/>
          <w:bCs w:val="0"/>
          <w:color w:val="auto"/>
          <w:sz w:val="32"/>
          <w:szCs w:val="32"/>
          <w:highlight w:val="none"/>
          <w:lang w:eastAsia="zh-CN"/>
        </w:rPr>
        <w:t>社会保障和就业支出（类）行政事业单位养老支出（款）</w:t>
      </w:r>
      <w:r>
        <w:rPr>
          <w:rFonts w:hint="eastAsia" w:ascii="仿宋_GB2312" w:hAnsi="仿宋" w:eastAsia="仿宋_GB2312" w:cs="仿宋"/>
          <w:b w:val="0"/>
          <w:bCs w:val="0"/>
          <w:color w:val="auto"/>
          <w:sz w:val="32"/>
          <w:szCs w:val="32"/>
          <w:highlight w:val="none"/>
          <w:lang w:val="en-US" w:eastAsia="zh-CN"/>
        </w:rPr>
        <w:t>行政单位离退休（项）预算数为6.84</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减少0.17</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2.43%</w:t>
      </w:r>
      <w:r>
        <w:rPr>
          <w:rFonts w:hint="eastAsia" w:ascii="仿宋_GB2312" w:hAnsi="仿宋" w:eastAsia="仿宋_GB2312" w:cs="仿宋"/>
          <w:b w:val="0"/>
          <w:bCs w:val="0"/>
          <w:color w:val="auto"/>
          <w:sz w:val="32"/>
          <w:szCs w:val="32"/>
          <w:highlight w:val="none"/>
          <w:lang w:eastAsia="zh-CN"/>
        </w:rPr>
        <w:t>、主要原因是本年度退休人员公务员医疗补助等医疗保险单位不再承担，支出减少相应经费降低。</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5.</w:t>
      </w:r>
      <w:r>
        <w:rPr>
          <w:rFonts w:hint="eastAsia" w:ascii="仿宋_GB2312" w:hAnsi="仿宋" w:eastAsia="仿宋_GB2312" w:cs="仿宋"/>
          <w:b w:val="0"/>
          <w:bCs w:val="0"/>
          <w:color w:val="auto"/>
          <w:sz w:val="32"/>
          <w:szCs w:val="32"/>
          <w:highlight w:val="none"/>
          <w:lang w:eastAsia="zh-CN"/>
        </w:rPr>
        <w:t>社会保障和就业支出（类）行政事业单位养老支出（款）</w:t>
      </w:r>
      <w:r>
        <w:rPr>
          <w:rFonts w:hint="eastAsia" w:ascii="仿宋_GB2312" w:hAnsi="仿宋" w:eastAsia="仿宋_GB2312" w:cs="仿宋"/>
          <w:b w:val="0"/>
          <w:bCs w:val="0"/>
          <w:color w:val="auto"/>
          <w:sz w:val="32"/>
          <w:szCs w:val="32"/>
          <w:highlight w:val="none"/>
          <w:lang w:val="en-US" w:eastAsia="zh-CN"/>
        </w:rPr>
        <w:t>机关事业单位基本养老保险缴费支出（项）预算数为29.78</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预算数减少3.59</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21.93%</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主要原因是减少公务员2人，相应工资、社保、公积金支出减少，人员支出减少相应经费降低。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 w:eastAsia="仿宋_GB2312" w:cs="仿宋"/>
          <w:b w:val="0"/>
          <w:bCs w:val="0"/>
          <w:color w:val="auto"/>
          <w:sz w:val="32"/>
          <w:szCs w:val="32"/>
          <w:highlight w:val="none"/>
          <w:lang w:val="en-US" w:eastAsia="zh-CN"/>
        </w:rPr>
        <w:t>6.</w:t>
      </w:r>
      <w:r>
        <w:rPr>
          <w:rFonts w:hint="eastAsia" w:ascii="仿宋_GB2312" w:hAnsi="仿宋" w:eastAsia="仿宋_GB2312" w:cs="仿宋"/>
          <w:b w:val="0"/>
          <w:bCs w:val="0"/>
          <w:color w:val="auto"/>
          <w:sz w:val="32"/>
          <w:szCs w:val="32"/>
          <w:highlight w:val="none"/>
          <w:lang w:eastAsia="zh-CN"/>
        </w:rPr>
        <w:t>社会保障和就业支出（类）行就业补助（款）</w:t>
      </w:r>
      <w:r>
        <w:rPr>
          <w:rFonts w:hint="eastAsia" w:ascii="仿宋_GB2312" w:hAnsi="仿宋" w:eastAsia="仿宋_GB2312" w:cs="仿宋"/>
          <w:b w:val="0"/>
          <w:bCs w:val="0"/>
          <w:color w:val="auto"/>
          <w:sz w:val="32"/>
          <w:szCs w:val="32"/>
          <w:highlight w:val="none"/>
          <w:lang w:val="en-US" w:eastAsia="zh-CN"/>
        </w:rPr>
        <w:t>其他就业补助支出（项）预算数为15.85</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预算数增加15.85</w:t>
      </w:r>
      <w:r>
        <w:rPr>
          <w:rFonts w:hint="eastAsia" w:ascii="仿宋_GB2312" w:hAnsi="仿宋" w:eastAsia="仿宋_GB2312" w:cs="仿宋"/>
          <w:b w:val="0"/>
          <w:bCs w:val="0"/>
          <w:color w:val="auto"/>
          <w:sz w:val="32"/>
          <w:szCs w:val="32"/>
          <w:highlight w:val="none"/>
          <w:lang w:eastAsia="zh-CN"/>
        </w:rPr>
        <w:t>万元，增</w:t>
      </w:r>
      <w:r>
        <w:rPr>
          <w:rFonts w:hint="eastAsia" w:ascii="仿宋_GB2312" w:hAnsi="仿宋" w:eastAsia="仿宋_GB2312" w:cs="仿宋"/>
          <w:b w:val="0"/>
          <w:bCs w:val="0"/>
          <w:color w:val="auto"/>
          <w:sz w:val="32"/>
          <w:szCs w:val="32"/>
          <w:highlight w:val="none"/>
          <w:lang w:val="en-US" w:eastAsia="zh-CN"/>
        </w:rPr>
        <w:t>长100%</w:t>
      </w:r>
      <w:r>
        <w:rPr>
          <w:rFonts w:hint="eastAsia" w:ascii="仿宋_GB2312" w:hAnsi="仿宋" w:eastAsia="仿宋_GB2312" w:cs="仿宋"/>
          <w:b w:val="0"/>
          <w:bCs w:val="0"/>
          <w:color w:val="auto"/>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上年度以上项目支出资金纳入呼图壁县人力资源和社会保险局核算，本年度纳入我中心进行核算</w:t>
      </w:r>
      <w:r>
        <w:rPr>
          <w:rFonts w:hint="eastAsia" w:ascii="仿宋_GB2312" w:hAnsi="宋体" w:eastAsia="仿宋_GB2312" w:cs="宋体"/>
          <w:color w:val="auto"/>
          <w:kern w:val="0"/>
          <w:sz w:val="32"/>
          <w:szCs w:val="32"/>
          <w:highlight w:val="none"/>
        </w:rPr>
        <w:t>。</w:t>
      </w:r>
    </w:p>
    <w:p>
      <w:pPr>
        <w:pStyle w:val="8"/>
        <w:ind w:left="0" w:leftChars="0" w:firstLine="640" w:firstLineChars="200"/>
        <w:rPr>
          <w:rFonts w:hint="eastAsia" w:ascii="仿宋_GB2312" w:hAnsi="宋体" w:eastAsia="仿宋_GB2312" w:cs="宋体"/>
          <w:b/>
          <w:bCs/>
          <w:color w:val="auto"/>
          <w:kern w:val="0"/>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7.</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行政单位医疗</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预算数为16.93万元，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医疗保险支出；比上年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减少0.52</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下降6.98%</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主要原因是减少公务员2人，相应医疗保险支出减少经费降低。</w:t>
      </w:r>
    </w:p>
    <w:p>
      <w:pPr>
        <w:pStyle w:val="8"/>
        <w:ind w:left="0" w:leftChars="0" w:firstLine="640" w:firstLineChars="200"/>
        <w:rPr>
          <w:rFonts w:hint="eastAsia" w:ascii="仿宋_GB2312" w:hAnsi="宋体" w:eastAsia="仿宋_GB2312" w:cs="宋体"/>
          <w:b/>
          <w:bCs/>
          <w:color w:val="auto"/>
          <w:kern w:val="0"/>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8.</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事业单位医疗</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预算数为0.75万元，</w:t>
      </w:r>
      <w:r>
        <w:rPr>
          <w:rFonts w:hint="eastAsia" w:ascii="仿宋_GB2312" w:hAnsi="仿宋" w:eastAsia="仿宋_GB2312" w:cs="仿宋"/>
          <w:b w:val="0"/>
          <w:bCs w:val="0"/>
          <w:color w:val="auto"/>
          <w:sz w:val="32"/>
          <w:szCs w:val="32"/>
          <w:highlight w:val="none"/>
        </w:rPr>
        <w:t>主要用于事业单位</w:t>
      </w:r>
      <w:r>
        <w:rPr>
          <w:rFonts w:hint="eastAsia" w:ascii="仿宋_GB2312" w:hAnsi="仿宋" w:eastAsia="仿宋_GB2312" w:cs="仿宋"/>
          <w:b w:val="0"/>
          <w:bCs w:val="0"/>
          <w:color w:val="auto"/>
          <w:sz w:val="32"/>
          <w:szCs w:val="32"/>
          <w:highlight w:val="none"/>
          <w:lang w:eastAsia="zh-CN"/>
        </w:rPr>
        <w:t>医疗保险支出；比上年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增加0.01</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增长1.33%</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主要原因是本年度事业编人员工资调整相应医疗保险支出增加</w:t>
      </w:r>
      <w:r>
        <w:rPr>
          <w:rFonts w:hint="eastAsia" w:ascii="仿宋_GB2312" w:hAnsi="仿宋" w:eastAsia="仿宋_GB2312" w:cs="仿宋"/>
          <w:b w:val="0"/>
          <w:bCs w:val="0"/>
          <w:color w:val="auto"/>
          <w:sz w:val="32"/>
          <w:szCs w:val="32"/>
          <w:highlight w:val="none"/>
          <w:lang w:eastAsia="zh-CN"/>
        </w:rPr>
        <w:t>，所以事业单位医疗保险经费增</w:t>
      </w:r>
      <w:r>
        <w:rPr>
          <w:rFonts w:hint="eastAsia" w:ascii="仿宋_GB2312" w:hAnsi="仿宋" w:eastAsia="仿宋_GB2312" w:cs="仿宋"/>
          <w:color w:val="auto"/>
          <w:sz w:val="32"/>
          <w:szCs w:val="32"/>
          <w:highlight w:val="none"/>
          <w:lang w:eastAsia="zh-CN"/>
        </w:rPr>
        <w:t>加。</w:t>
      </w:r>
    </w:p>
    <w:p>
      <w:pPr>
        <w:widowControl w:val="0"/>
        <w:spacing w:line="560" w:lineRule="exact"/>
        <w:ind w:firstLine="640" w:firstLineChars="200"/>
        <w:jc w:val="both"/>
        <w:rPr>
          <w:rFonts w:ascii="仿宋_GB2312" w:hAnsi="仿宋" w:eastAsia="仿宋_GB2312" w:cs="仿宋"/>
          <w:b/>
          <w:bCs/>
          <w:color w:val="auto"/>
          <w:sz w:val="32"/>
          <w:szCs w:val="32"/>
          <w:highlight w:val="none"/>
        </w:rPr>
      </w:pPr>
      <w:r>
        <w:rPr>
          <w:rFonts w:hint="eastAsia" w:ascii="仿宋_GB2312" w:hAnsi="仿宋" w:eastAsia="仿宋_GB2312" w:cs="仿宋"/>
          <w:b w:val="0"/>
          <w:bCs w:val="0"/>
          <w:color w:val="auto"/>
          <w:sz w:val="32"/>
          <w:szCs w:val="32"/>
          <w:highlight w:val="none"/>
          <w:lang w:val="en-US" w:eastAsia="zh-CN"/>
        </w:rPr>
        <w:t>9.</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公务员医疗补助</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预算数为6.57万元，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公务员医疗补助支出；比上年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增加1.32</w:t>
      </w:r>
      <w:r>
        <w:rPr>
          <w:rFonts w:hint="eastAsia" w:ascii="仿宋_GB2312" w:hAnsi="仿宋" w:eastAsia="仿宋_GB2312" w:cs="仿宋"/>
          <w:b w:val="0"/>
          <w:bCs w:val="0"/>
          <w:color w:val="auto"/>
          <w:sz w:val="32"/>
          <w:szCs w:val="32"/>
          <w:highlight w:val="none"/>
          <w:lang w:eastAsia="zh-CN"/>
        </w:rPr>
        <w:t>万元，增</w:t>
      </w:r>
      <w:r>
        <w:rPr>
          <w:rFonts w:hint="eastAsia" w:ascii="仿宋_GB2312" w:hAnsi="仿宋" w:eastAsia="仿宋_GB2312" w:cs="仿宋"/>
          <w:b w:val="0"/>
          <w:bCs w:val="0"/>
          <w:color w:val="auto"/>
          <w:sz w:val="32"/>
          <w:szCs w:val="32"/>
          <w:highlight w:val="none"/>
          <w:lang w:val="en-US" w:eastAsia="zh-CN"/>
        </w:rPr>
        <w:t>长58.67%</w:t>
      </w:r>
      <w:r>
        <w:rPr>
          <w:rFonts w:hint="eastAsia" w:ascii="仿宋_GB2312" w:hAnsi="仿宋" w:eastAsia="仿宋_GB2312" w:cs="仿宋"/>
          <w:b w:val="0"/>
          <w:bCs w:val="0"/>
          <w:color w:val="auto"/>
          <w:sz w:val="32"/>
          <w:szCs w:val="32"/>
          <w:highlight w:val="none"/>
          <w:lang w:eastAsia="zh-CN"/>
        </w:rPr>
        <w:t>、主要原因是</w:t>
      </w:r>
      <w:r>
        <w:rPr>
          <w:rFonts w:hint="eastAsia" w:ascii="仿宋_GB2312" w:hAnsi="仿宋_GB2312" w:eastAsia="仿宋_GB2312" w:cs="仿宋_GB2312"/>
          <w:b w:val="0"/>
          <w:bCs w:val="0"/>
          <w:sz w:val="32"/>
          <w:szCs w:val="32"/>
          <w:highlight w:val="none"/>
          <w:lang w:val="en-US" w:eastAsia="zh-CN"/>
        </w:rPr>
        <w:t>本年度公务员医疗补助缴费比例由2.2%调整到4%，支出增加相应医疗补助经费增加</w:t>
      </w:r>
      <w:r>
        <w:rPr>
          <w:rFonts w:hint="eastAsia" w:ascii="仿宋_GB2312" w:hAnsi="仿宋" w:eastAsia="仿宋_GB2312" w:cs="仿宋"/>
          <w:b w:val="0"/>
          <w:bCs w:val="0"/>
          <w:color w:val="auto"/>
          <w:sz w:val="32"/>
          <w:szCs w:val="32"/>
          <w:highlight w:val="none"/>
          <w:lang w:eastAsia="zh-CN"/>
        </w:rPr>
        <w:t>。</w:t>
      </w:r>
    </w:p>
    <w:p>
      <w:pPr>
        <w:spacing w:line="560" w:lineRule="exact"/>
        <w:ind w:firstLine="640"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医疗（款）其他行政事业单位医疗支出（</w:t>
      </w:r>
      <w:r>
        <w:rPr>
          <w:rFonts w:hint="eastAsia" w:ascii="仿宋_GB2312" w:hAnsi="仿宋" w:eastAsia="仿宋_GB2312" w:cs="仿宋"/>
          <w:b w:val="0"/>
          <w:bCs w:val="0"/>
          <w:color w:val="auto"/>
          <w:sz w:val="32"/>
          <w:szCs w:val="32"/>
          <w:highlight w:val="none"/>
          <w:lang w:val="en-US" w:eastAsia="zh-CN"/>
        </w:rPr>
        <w:t>项</w:t>
      </w:r>
      <w:r>
        <w:rPr>
          <w:rFonts w:hint="eastAsia" w:ascii="仿宋_GB2312" w:hAnsi="仿宋" w:eastAsia="仿宋_GB2312" w:cs="仿宋"/>
          <w:b w:val="0"/>
          <w:bCs w:val="0"/>
          <w:color w:val="auto"/>
          <w:sz w:val="32"/>
          <w:szCs w:val="32"/>
          <w:highlight w:val="none"/>
          <w:lang w:eastAsia="zh-CN"/>
        </w:rPr>
        <w:t>）</w:t>
      </w:r>
      <w:r>
        <w:rPr>
          <w:rFonts w:hint="eastAsia" w:ascii="仿宋_GB2312" w:hAnsi="仿宋" w:eastAsia="仿宋_GB2312" w:cs="仿宋"/>
          <w:b w:val="0"/>
          <w:bCs w:val="0"/>
          <w:color w:val="auto"/>
          <w:sz w:val="32"/>
          <w:szCs w:val="32"/>
          <w:highlight w:val="none"/>
          <w:lang w:val="en-US" w:eastAsia="zh-CN"/>
        </w:rPr>
        <w:t>预算数为0.09万元，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大病医疗保险支出</w:t>
      </w:r>
      <w:r>
        <w:rPr>
          <w:rFonts w:hint="eastAsia" w:ascii="仿宋_GB2312" w:hAnsi="仿宋" w:eastAsia="仿宋_GB2312" w:cs="仿宋"/>
          <w:b w:val="0"/>
          <w:bCs w:val="0"/>
          <w:color w:val="auto"/>
          <w:sz w:val="32"/>
          <w:szCs w:val="32"/>
          <w:highlight w:val="none"/>
          <w:lang w:val="en-US" w:eastAsia="zh-CN"/>
        </w:rPr>
        <w:t xml:space="preserve"> </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数增加</w:t>
      </w:r>
      <w:r>
        <w:rPr>
          <w:rFonts w:hint="eastAsia" w:ascii="仿宋_GB2312" w:hAnsi="仿宋" w:eastAsia="仿宋_GB2312" w:cs="仿宋"/>
          <w:b w:val="0"/>
          <w:bCs w:val="0"/>
          <w:color w:val="auto"/>
          <w:sz w:val="32"/>
          <w:szCs w:val="32"/>
          <w:highlight w:val="none"/>
          <w:lang w:val="en-US" w:eastAsia="zh-CN"/>
        </w:rPr>
        <w:t>0.03</w:t>
      </w:r>
      <w:r>
        <w:rPr>
          <w:rFonts w:hint="eastAsia" w:ascii="仿宋_GB2312" w:hAnsi="仿宋" w:eastAsia="仿宋_GB2312" w:cs="仿宋"/>
          <w:b w:val="0"/>
          <w:bCs w:val="0"/>
          <w:color w:val="auto"/>
          <w:sz w:val="32"/>
          <w:szCs w:val="32"/>
          <w:highlight w:val="none"/>
          <w:lang w:eastAsia="zh-CN"/>
        </w:rPr>
        <w:t>万元，增长</w:t>
      </w:r>
      <w:r>
        <w:rPr>
          <w:rFonts w:hint="eastAsia" w:ascii="仿宋_GB2312" w:hAnsi="仿宋" w:eastAsia="仿宋_GB2312" w:cs="仿宋"/>
          <w:b w:val="0"/>
          <w:bCs w:val="0"/>
          <w:color w:val="auto"/>
          <w:sz w:val="32"/>
          <w:szCs w:val="32"/>
          <w:highlight w:val="none"/>
          <w:lang w:val="en-US" w:eastAsia="zh-CN"/>
        </w:rPr>
        <w:t>50%</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主要原因是大病医疗由每人每月5元增加到按工资比例缴费，支出增加相应经费增加。</w:t>
      </w:r>
    </w:p>
    <w:p>
      <w:pPr>
        <w:spacing w:line="560" w:lineRule="exact"/>
        <w:ind w:firstLine="640" w:firstLineChars="200"/>
        <w:rPr>
          <w:rFonts w:hint="eastAsia" w:ascii="仿宋_GB2312" w:hAnsi="宋体" w:eastAsia="仿宋_GB2312" w:cs="宋体"/>
          <w:b/>
          <w:bCs/>
          <w:kern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11.</w:t>
      </w:r>
      <w:r>
        <w:rPr>
          <w:rFonts w:hint="eastAsia" w:ascii="仿宋_GB2312" w:hAnsi="仿宋" w:eastAsia="仿宋_GB2312" w:cs="仿宋"/>
          <w:b w:val="0"/>
          <w:bCs w:val="0"/>
          <w:color w:val="auto"/>
          <w:sz w:val="32"/>
          <w:szCs w:val="32"/>
          <w:highlight w:val="none"/>
          <w:lang w:val="en-US" w:eastAsia="zh-CN"/>
        </w:rPr>
        <w:t>住房保障支出（类）住房改革支出（款）住房公积金支出（项）预算数为25.63万元，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数降低</w:t>
      </w:r>
      <w:r>
        <w:rPr>
          <w:rFonts w:hint="eastAsia" w:ascii="仿宋_GB2312" w:hAnsi="仿宋" w:eastAsia="仿宋_GB2312" w:cs="仿宋"/>
          <w:b w:val="0"/>
          <w:bCs w:val="0"/>
          <w:color w:val="auto"/>
          <w:sz w:val="32"/>
          <w:szCs w:val="32"/>
          <w:highlight w:val="none"/>
          <w:lang w:val="en-US" w:eastAsia="zh-CN"/>
        </w:rPr>
        <w:t>2.96</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21.78%</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主要原因是减少公务员2人，相应住房公积金支出减少，经费降低。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186.16</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181.43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31.66</w:t>
      </w:r>
      <w:r>
        <w:rPr>
          <w:rFonts w:hint="eastAsia" w:ascii="仿宋_GB2312" w:hAnsi="宋体" w:eastAsia="仿宋_GB2312" w:cs="宋体"/>
          <w:color w:val="auto"/>
          <w:kern w:val="0"/>
          <w:sz w:val="32"/>
          <w:szCs w:val="32"/>
          <w:highlight w:val="none"/>
        </w:rPr>
        <w:t>、津贴补贴、奖金、绩效工资、机关事业单位基本养老保险缴费、职工基本医疗保险缴费、公务员医疗补助缴费、其他社会保障缴费、住房公积金、其他工资福利支出、退休费</w:t>
      </w:r>
      <w:r>
        <w:rPr>
          <w:rFonts w:hint="eastAsia" w:ascii="仿宋_GB2312" w:hAnsi="宋体" w:eastAsia="仿宋_GB2312" w:cs="宋体"/>
          <w:color w:val="auto"/>
          <w:kern w:val="0"/>
          <w:sz w:val="32"/>
          <w:szCs w:val="32"/>
          <w:highlight w:val="none"/>
          <w:lang w:val="en-US" w:eastAsia="zh-CN"/>
        </w:rPr>
        <w:t>6.84</w:t>
      </w:r>
      <w:r>
        <w:rPr>
          <w:rFonts w:hint="eastAsia" w:ascii="仿宋_GB2312" w:hAnsi="宋体" w:eastAsia="仿宋_GB2312" w:cs="宋体"/>
          <w:color w:val="auto"/>
          <w:kern w:val="0"/>
          <w:sz w:val="32"/>
          <w:szCs w:val="32"/>
          <w:highlight w:val="none"/>
        </w:rPr>
        <w:t>、奖励金。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4.73</w:t>
      </w:r>
      <w:r>
        <w:rPr>
          <w:rFonts w:hint="eastAsia" w:ascii="仿宋_GB2312" w:hAnsi="宋体" w:eastAsia="仿宋_GB2312" w:cs="宋体"/>
          <w:color w:val="auto"/>
          <w:kern w:val="0"/>
          <w:sz w:val="32"/>
          <w:szCs w:val="32"/>
          <w:highlight w:val="none"/>
        </w:rPr>
        <w:t>万元，主要包括：办公费、电费、邮电费、差旅费、工会经费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公务用车运行维护费。</w:t>
      </w:r>
    </w:p>
    <w:p>
      <w:pPr>
        <w:pStyle w:val="7"/>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流动人员（高校毕业生）人事档案信息化建设经费（非定额）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新人社发【2021】12号</w:t>
      </w:r>
      <w:r>
        <w:rPr>
          <w:rFonts w:hint="eastAsia" w:ascii="仿宋_GB2312" w:hAnsi="宋体" w:eastAsia="仿宋_GB2312" w:cs="宋体"/>
          <w:color w:val="auto"/>
          <w:kern w:val="0"/>
          <w:sz w:val="32"/>
          <w:szCs w:val="32"/>
          <w:highlight w:val="none"/>
          <w:lang w:val="en-US" w:eastAsia="zh-CN"/>
        </w:rPr>
        <w:t>自治区人力资源和社会保障厅关于推进流动人员人事档案信息化建设的实施意见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流动档案设备采购2万元，流动档案电子信息化建设费6万元。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2025年自治区财政就业补助资金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昌州财社【2024】121号</w:t>
      </w:r>
      <w:r>
        <w:rPr>
          <w:rFonts w:hint="eastAsia" w:ascii="仿宋_GB2312" w:hAnsi="宋体" w:eastAsia="仿宋_GB2312" w:cs="宋体"/>
          <w:color w:val="auto"/>
          <w:kern w:val="0"/>
          <w:sz w:val="32"/>
          <w:szCs w:val="32"/>
          <w:highlight w:val="none"/>
          <w:lang w:val="en-US" w:eastAsia="zh-CN"/>
        </w:rPr>
        <w:t>关于提前下达2025年自治区财政就业补助资金预算的通知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15.85万元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农村劳动力以奖代补资金</w:t>
      </w:r>
      <w:r>
        <w:rPr>
          <w:rFonts w:hint="eastAsia" w:ascii="仿宋_GB2312" w:hAnsi="黑体" w:eastAsia="仿宋_GB2312"/>
          <w:color w:val="auto"/>
          <w:sz w:val="32"/>
          <w:szCs w:val="32"/>
          <w:highlight w:val="none"/>
          <w:lang w:val="en-US" w:eastAsia="zh-CN"/>
        </w:rPr>
        <w:t>5万元，创业圆梦培训4万元，创业服务活动补贴0.5万元，开展职业指导政策宣讲、简历优化、权益保障、模拟面试等活动0.6万元，技工院校就业公共服务站活动经费0.5万元，全区公共就业服务活动开展补助5.25万元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增加0万元，增长0%，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0 %，2024年-2025年均未安排此项经费；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0%，2024年-2025年均为安排此项经费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主要原因是按照上级关于政府部门过紧日子相关部署及预算资金只减不增相关要求，严格控制车辆运行费用；公务接待费增加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w:t>
      </w:r>
      <w:r>
        <w:rPr>
          <w:rFonts w:hint="eastAsia" w:ascii="仿宋_GB2312" w:hAnsi="仿宋_GB2312" w:eastAsia="仿宋_GB2312" w:cs="仿宋_GB2312"/>
          <w:color w:val="auto"/>
          <w:kern w:val="0"/>
          <w:sz w:val="32"/>
          <w:szCs w:val="32"/>
          <w:highlight w:val="none"/>
          <w:lang w:eastAsia="zh-CN"/>
        </w:rPr>
        <w:t>降</w:t>
      </w:r>
      <w:r>
        <w:rPr>
          <w:rFonts w:hint="eastAsia" w:ascii="仿宋_GB2312" w:hAnsi="仿宋_GB2312" w:eastAsia="仿宋_GB2312" w:cs="仿宋_GB2312"/>
          <w:color w:val="auto"/>
          <w:kern w:val="0"/>
          <w:sz w:val="32"/>
          <w:szCs w:val="32"/>
          <w:highlight w:val="none"/>
          <w:lang w:val="en-US" w:eastAsia="zh-CN"/>
        </w:rPr>
        <w:t>15.08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减少公务员2人，经费减少</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20.05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18.05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5.198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32.2706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整体预算绩效目标1个，涉及预算金额339.03万元；当年预算安排项目共2个，其中: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涉及预算金额23.85万元；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3043"/>
        <w:gridCol w:w="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郭艳</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13899660772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扎实开展42场次公共就业、创业服务专项活动，持续发挥好昌吉州就业网、“创业呼图壁”抖音直播带岗、“码”上有工作二维码、居民微信群组、节庆活动宣传用工信息、创业就业政策，联合乡镇、人社局、技工学校深入企业开展用工需求摸排规范管理零工市场，优化就业服务，构建一站式公共就业服务平台，持续开展高校毕业生“圆梦计划”创业培训，对登记未就业高校毕业生动态跟踪，“一对一”全覆盖落实精准就业服务，拓宽农村劳动力就地就近就业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开展专场招聘活动次数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lang w:val="en-US" w:eastAsia="zh-CN"/>
              </w:rPr>
              <w:t>20场次</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发布用工快讯次数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41次</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19200人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新增创业人数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新增创业带动就业人数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1550人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区属应届普通高校毕业生毕业去向落实率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开展专场招聘活动的及时率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eastAsia="宋体" w:cs="宋体"/>
                <w:i w:val="0"/>
                <w:iCs w:val="0"/>
                <w:color w:val="000000"/>
                <w:sz w:val="20"/>
                <w:szCs w:val="20"/>
                <w:highlight w:val="none"/>
                <w:u w:val="none"/>
                <w:lang w:eastAsia="zh-CN"/>
              </w:rPr>
              <w:t>&gt;=90%</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058"/>
        <w:gridCol w:w="765"/>
        <w:gridCol w:w="810"/>
        <w:gridCol w:w="1740"/>
        <w:gridCol w:w="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2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2025年自治区财政就业补助资金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15.85</w:t>
            </w:r>
          </w:p>
        </w:tc>
        <w:tc>
          <w:tcPr>
            <w:tcW w:w="105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开展公共就业创业服务活动， 举办现场招聘会、开展圆梦计划创业培训、提高高校毕业生创业能力，激发创业意愿，提高全县创业活力，开展创业服务活动，开展职业指导，简历优化、模拟面试活动，开展技工院校服务站活动，按期完成高校毕业生圆梦计划创业培训，有效提高高校毕业生就业创业能力。多渠道扎实推进就业创业工作，持续做好各类就业困难人员的就业帮扶工作，加强就业创业政策宣传，发挥创业带动就业倍增效应，做好经费保障工作，推动农村劳动力外出务工就业再上新台阶。实现高质量充分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农村劳动力外出务工人次</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≤19200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举办招聘会（场次）</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24</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高校毕业生圆梦计划培训补贴</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32</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创业服务活动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6</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职业指导、政策宣传、简历优化、权益保障、模拟面试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外出务工转移完成率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各项活动完成率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招聘会按期举办率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高校毕业生圆梦计划培训完成率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外出务工转移完成率</w:t>
            </w:r>
          </w:p>
        </w:tc>
        <w:tc>
          <w:tcPr>
            <w:tcW w:w="861"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项目成本控制额</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15.85</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效益指</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促进社会就业，维护社会稳定</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文字描述</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有效促进</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auto"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服务对象满意度指标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90%</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5"/>
        <w:gridCol w:w="1089"/>
        <w:gridCol w:w="1638"/>
        <w:gridCol w:w="765"/>
        <w:gridCol w:w="1140"/>
        <w:gridCol w:w="615"/>
        <w:gridCol w:w="690"/>
        <w:gridCol w:w="1725"/>
        <w:gridCol w:w="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4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流动人员（高校毕业生）人事档案信息化建设经费（非定额）</w:t>
            </w:r>
          </w:p>
        </w:tc>
        <w:tc>
          <w:tcPr>
            <w:tcW w:w="13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14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36"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在2025年底建立省级集中的档案数字化信息库，全面提升档案服务和管理支撑能力，对照区、州此项工作要求，我单位于2025年底完成高校毕业生电子档案信息化建设全覆盖</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93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8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3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935" w:type="dxa"/>
            <w:vMerge w:val="restart"/>
            <w:tcBorders>
              <w:top w:val="single" w:color="auto" w:sz="4" w:space="0"/>
              <w:left w:val="single" w:color="auto" w:sz="4" w:space="0"/>
              <w:bottom w:val="single" w:color="000000" w:sz="4" w:space="0"/>
              <w:right w:val="single" w:color="000000" w:sz="4" w:space="0"/>
            </w:tcBorders>
            <w:noWrap w:val="0"/>
            <w:vAlign w:val="center"/>
          </w:tcPr>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ind w:left="0" w:leftChars="0" w:firstLine="0" w:firstLineChars="0"/>
              <w:jc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产出</w:t>
            </w:r>
          </w:p>
          <w:p>
            <w:pPr>
              <w:pStyle w:val="8"/>
              <w:ind w:left="0" w:leftChars="0" w:firstLine="0" w:firstLineChars="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指标</w:t>
            </w: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38" w:type="dxa"/>
            <w:tcBorders>
              <w:top w:val="single" w:color="auto"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流动档案设备采购</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≤1套</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935"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流动档案电子信息化</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1200本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935"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流动档案设备采购完成率</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流动档案完成合格率</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按时完成档案信息化建设</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12月</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38"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项目成本控制额</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7" w:hRule="atLeast"/>
        </w:trPr>
        <w:tc>
          <w:tcPr>
            <w:tcW w:w="935" w:type="dxa"/>
            <w:vMerge w:val="continue"/>
            <w:tcBorders>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sz w:val="18"/>
                <w:szCs w:val="18"/>
                <w:highlight w:val="none"/>
                <w:u w:val="none"/>
              </w:rPr>
              <w:t>社会效益指标</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实现高校毕业生调取查阅档案方便快捷，便于档案管理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35"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满意度指标</w:t>
            </w:r>
          </w:p>
        </w:tc>
        <w:tc>
          <w:tcPr>
            <w:tcW w:w="1089"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1638"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val="en-US" w:eastAsia="zh-CN" w:bidi="ar-SA"/>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tabs>
          <w:tab w:val="left" w:pos="1378"/>
        </w:tabs>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ab/>
      </w:r>
      <w:r>
        <w:rPr>
          <w:rFonts w:hint="eastAsia" w:ascii="楷体_GB2312" w:hAnsi="宋体" w:eastAsia="楷体_GB2312" w:cs="宋体"/>
          <w:b w:val="0"/>
          <w:bCs/>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2560" w:firstLineChars="800"/>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hAnsi="Times New Roman" w:eastAsia="仿宋_GB2312" w:cs="Times New Roman"/>
          <w:sz w:val="32"/>
          <w:szCs w:val="32"/>
          <w:highlight w:val="none"/>
          <w:lang w:val="en-US" w:eastAsia="zh-CN"/>
        </w:rPr>
        <w:t>呼图壁县公共就业服务中心支出预算</w:t>
      </w:r>
      <w:r>
        <w:rPr>
          <w:rFonts w:hint="eastAsia" w:ascii="仿宋_GB2312" w:eastAsia="仿宋_GB2312"/>
          <w:color w:val="auto"/>
          <w:sz w:val="32"/>
          <w:szCs w:val="32"/>
          <w:highlight w:val="none"/>
        </w:rPr>
        <w:t>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hAnsi="Times New Roman" w:eastAsia="仿宋_GB2312" w:cs="Times New Roman"/>
          <w:sz w:val="32"/>
          <w:szCs w:val="32"/>
          <w:highlight w:val="none"/>
          <w:lang w:val="en-US" w:eastAsia="zh-CN"/>
        </w:rPr>
        <w:t>呼图壁县公共就业服务中心因</w:t>
      </w:r>
      <w:r>
        <w:rPr>
          <w:rFonts w:hint="eastAsia" w:ascii="仿宋_GB2312" w:eastAsia="仿宋_GB2312"/>
          <w:sz w:val="32"/>
          <w:szCs w:val="32"/>
          <w:highlight w:val="none"/>
        </w:rPr>
        <w:t>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sz w:val="32"/>
          <w:szCs w:val="32"/>
          <w:highlight w:val="none"/>
          <w:lang w:val="en-US"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bookmarkStart w:id="1" w:name="_GoBack"/>
      <w:bookmarkEnd w:id="1"/>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BB3BF0"/>
    <w:rsid w:val="00E41A1F"/>
    <w:rsid w:val="012255EF"/>
    <w:rsid w:val="017B2F92"/>
    <w:rsid w:val="01F86CD9"/>
    <w:rsid w:val="020E507E"/>
    <w:rsid w:val="02574D4B"/>
    <w:rsid w:val="02732F8E"/>
    <w:rsid w:val="0295405B"/>
    <w:rsid w:val="029C7664"/>
    <w:rsid w:val="02CB7F49"/>
    <w:rsid w:val="030C78DB"/>
    <w:rsid w:val="03630182"/>
    <w:rsid w:val="037800D1"/>
    <w:rsid w:val="04267087"/>
    <w:rsid w:val="04267B2D"/>
    <w:rsid w:val="044C330C"/>
    <w:rsid w:val="049D4061"/>
    <w:rsid w:val="05397FD9"/>
    <w:rsid w:val="057A5F58"/>
    <w:rsid w:val="05CA273A"/>
    <w:rsid w:val="064F2C3F"/>
    <w:rsid w:val="070E6657"/>
    <w:rsid w:val="07E4040B"/>
    <w:rsid w:val="080E3E4F"/>
    <w:rsid w:val="084451C2"/>
    <w:rsid w:val="08450B28"/>
    <w:rsid w:val="08762705"/>
    <w:rsid w:val="088F5575"/>
    <w:rsid w:val="08E81855"/>
    <w:rsid w:val="0975219B"/>
    <w:rsid w:val="0A4168EC"/>
    <w:rsid w:val="0A9338E0"/>
    <w:rsid w:val="0AD672A7"/>
    <w:rsid w:val="0AFD217E"/>
    <w:rsid w:val="0B247F12"/>
    <w:rsid w:val="0B7C3034"/>
    <w:rsid w:val="0B841FFD"/>
    <w:rsid w:val="0BD56A2F"/>
    <w:rsid w:val="0C020FC2"/>
    <w:rsid w:val="0C0A3890"/>
    <w:rsid w:val="0CD20198"/>
    <w:rsid w:val="0CEC568C"/>
    <w:rsid w:val="0D6E5FD0"/>
    <w:rsid w:val="0E320E7D"/>
    <w:rsid w:val="0E9208E7"/>
    <w:rsid w:val="0FB0474F"/>
    <w:rsid w:val="10473E68"/>
    <w:rsid w:val="10587512"/>
    <w:rsid w:val="105D0E37"/>
    <w:rsid w:val="10916BDA"/>
    <w:rsid w:val="11036B00"/>
    <w:rsid w:val="11301FEB"/>
    <w:rsid w:val="117C21F3"/>
    <w:rsid w:val="11B6451D"/>
    <w:rsid w:val="121E62E8"/>
    <w:rsid w:val="13BE52BB"/>
    <w:rsid w:val="1531554E"/>
    <w:rsid w:val="1697741D"/>
    <w:rsid w:val="16C759ED"/>
    <w:rsid w:val="18651D77"/>
    <w:rsid w:val="19A215AC"/>
    <w:rsid w:val="19A45614"/>
    <w:rsid w:val="1A132B78"/>
    <w:rsid w:val="1A1B6432"/>
    <w:rsid w:val="1AC437A4"/>
    <w:rsid w:val="1B153D26"/>
    <w:rsid w:val="1B535A41"/>
    <w:rsid w:val="1BAE5763"/>
    <w:rsid w:val="1BEB54C3"/>
    <w:rsid w:val="1C3C6084"/>
    <w:rsid w:val="1C8C02F2"/>
    <w:rsid w:val="1CA97497"/>
    <w:rsid w:val="1D3E1AFE"/>
    <w:rsid w:val="1D8F2E8D"/>
    <w:rsid w:val="1DDC032E"/>
    <w:rsid w:val="1E2A7432"/>
    <w:rsid w:val="1E6432D4"/>
    <w:rsid w:val="1E89232D"/>
    <w:rsid w:val="1E8E20FF"/>
    <w:rsid w:val="1EB61656"/>
    <w:rsid w:val="1ED972A9"/>
    <w:rsid w:val="1F4D40E8"/>
    <w:rsid w:val="1F9736F1"/>
    <w:rsid w:val="1FB742A8"/>
    <w:rsid w:val="1FB75686"/>
    <w:rsid w:val="20407429"/>
    <w:rsid w:val="207B2E3B"/>
    <w:rsid w:val="208E5B03"/>
    <w:rsid w:val="20CF3CE4"/>
    <w:rsid w:val="20DD55C0"/>
    <w:rsid w:val="21AF6A69"/>
    <w:rsid w:val="22922CB8"/>
    <w:rsid w:val="22DB78DD"/>
    <w:rsid w:val="2323331B"/>
    <w:rsid w:val="23691BCC"/>
    <w:rsid w:val="2428729B"/>
    <w:rsid w:val="242C3F47"/>
    <w:rsid w:val="244809C4"/>
    <w:rsid w:val="244D65B8"/>
    <w:rsid w:val="2492221D"/>
    <w:rsid w:val="24B42D8E"/>
    <w:rsid w:val="24C646F7"/>
    <w:rsid w:val="24E71347"/>
    <w:rsid w:val="250855AF"/>
    <w:rsid w:val="258B383C"/>
    <w:rsid w:val="263643C0"/>
    <w:rsid w:val="263B7010"/>
    <w:rsid w:val="26B4291F"/>
    <w:rsid w:val="26BD282A"/>
    <w:rsid w:val="26E769FA"/>
    <w:rsid w:val="286D65BC"/>
    <w:rsid w:val="28D9041B"/>
    <w:rsid w:val="28E1166E"/>
    <w:rsid w:val="293B2E83"/>
    <w:rsid w:val="2A713A65"/>
    <w:rsid w:val="2AFC4894"/>
    <w:rsid w:val="2B3A05DE"/>
    <w:rsid w:val="2B6901C6"/>
    <w:rsid w:val="2D480265"/>
    <w:rsid w:val="2D977453"/>
    <w:rsid w:val="2DE64EBA"/>
    <w:rsid w:val="2E2943BA"/>
    <w:rsid w:val="2E796DB5"/>
    <w:rsid w:val="2EF22236"/>
    <w:rsid w:val="2F1922E2"/>
    <w:rsid w:val="2FED29FE"/>
    <w:rsid w:val="300E1D4A"/>
    <w:rsid w:val="30B05F05"/>
    <w:rsid w:val="310F3573"/>
    <w:rsid w:val="3140197F"/>
    <w:rsid w:val="32D560F7"/>
    <w:rsid w:val="32DE7765"/>
    <w:rsid w:val="33A76F60"/>
    <w:rsid w:val="34046632"/>
    <w:rsid w:val="341E7629"/>
    <w:rsid w:val="35F117C8"/>
    <w:rsid w:val="3671314B"/>
    <w:rsid w:val="368C1C01"/>
    <w:rsid w:val="36CA3BBB"/>
    <w:rsid w:val="37C156A9"/>
    <w:rsid w:val="38284F1B"/>
    <w:rsid w:val="38784D81"/>
    <w:rsid w:val="39B0409D"/>
    <w:rsid w:val="3AE50EA1"/>
    <w:rsid w:val="3B506066"/>
    <w:rsid w:val="3BE45FB7"/>
    <w:rsid w:val="3BF21AC7"/>
    <w:rsid w:val="3C013037"/>
    <w:rsid w:val="3CB054DF"/>
    <w:rsid w:val="3D015B19"/>
    <w:rsid w:val="3FDF4D23"/>
    <w:rsid w:val="41083B3B"/>
    <w:rsid w:val="41270465"/>
    <w:rsid w:val="41DB2FFE"/>
    <w:rsid w:val="42BB60EA"/>
    <w:rsid w:val="42F779C3"/>
    <w:rsid w:val="43142007"/>
    <w:rsid w:val="43502DA9"/>
    <w:rsid w:val="4352770B"/>
    <w:rsid w:val="43C26223"/>
    <w:rsid w:val="43D8307E"/>
    <w:rsid w:val="44507CD3"/>
    <w:rsid w:val="44AF5181"/>
    <w:rsid w:val="44FD328B"/>
    <w:rsid w:val="455A018C"/>
    <w:rsid w:val="46755D63"/>
    <w:rsid w:val="46B02CAB"/>
    <w:rsid w:val="46CE3131"/>
    <w:rsid w:val="48D33E6E"/>
    <w:rsid w:val="493059DD"/>
    <w:rsid w:val="494F7907"/>
    <w:rsid w:val="4ADF73DC"/>
    <w:rsid w:val="4B1B26BD"/>
    <w:rsid w:val="4B315A3D"/>
    <w:rsid w:val="4B53235D"/>
    <w:rsid w:val="4C0055E5"/>
    <w:rsid w:val="4C3677AE"/>
    <w:rsid w:val="4C706B3A"/>
    <w:rsid w:val="4D023A66"/>
    <w:rsid w:val="4EF11FDE"/>
    <w:rsid w:val="4F3B332E"/>
    <w:rsid w:val="4F3D7FCE"/>
    <w:rsid w:val="4FAB2261"/>
    <w:rsid w:val="4FDC68BF"/>
    <w:rsid w:val="503046CF"/>
    <w:rsid w:val="51C15CED"/>
    <w:rsid w:val="52285DEB"/>
    <w:rsid w:val="52AD62F0"/>
    <w:rsid w:val="53A94D0A"/>
    <w:rsid w:val="546308FE"/>
    <w:rsid w:val="54DA1980"/>
    <w:rsid w:val="563A3A5F"/>
    <w:rsid w:val="56FE59C9"/>
    <w:rsid w:val="570D735E"/>
    <w:rsid w:val="571B2674"/>
    <w:rsid w:val="58853704"/>
    <w:rsid w:val="589917F1"/>
    <w:rsid w:val="58C03626"/>
    <w:rsid w:val="597C685E"/>
    <w:rsid w:val="59B241EC"/>
    <w:rsid w:val="59C108F0"/>
    <w:rsid w:val="5A5E27F6"/>
    <w:rsid w:val="5A704801"/>
    <w:rsid w:val="5A8C5E4D"/>
    <w:rsid w:val="5AED2A9A"/>
    <w:rsid w:val="5BCC3C8B"/>
    <w:rsid w:val="5C8956D8"/>
    <w:rsid w:val="5D9E1657"/>
    <w:rsid w:val="5D9E581E"/>
    <w:rsid w:val="5E225DE5"/>
    <w:rsid w:val="5E257683"/>
    <w:rsid w:val="5E7802BC"/>
    <w:rsid w:val="5EE078B0"/>
    <w:rsid w:val="5F0D5523"/>
    <w:rsid w:val="5F2346ED"/>
    <w:rsid w:val="60FD2E3F"/>
    <w:rsid w:val="61086613"/>
    <w:rsid w:val="61686204"/>
    <w:rsid w:val="62917095"/>
    <w:rsid w:val="630E06E5"/>
    <w:rsid w:val="63455D0C"/>
    <w:rsid w:val="6408782B"/>
    <w:rsid w:val="65322CBF"/>
    <w:rsid w:val="65B35574"/>
    <w:rsid w:val="65C658ED"/>
    <w:rsid w:val="6635242D"/>
    <w:rsid w:val="67014431"/>
    <w:rsid w:val="68CC52CB"/>
    <w:rsid w:val="68DE4FFE"/>
    <w:rsid w:val="691B0000"/>
    <w:rsid w:val="694B58D7"/>
    <w:rsid w:val="69CE4E15"/>
    <w:rsid w:val="6A2260F8"/>
    <w:rsid w:val="6B3E7E06"/>
    <w:rsid w:val="6B7F3246"/>
    <w:rsid w:val="6BD85E70"/>
    <w:rsid w:val="6BF904A6"/>
    <w:rsid w:val="6CB5251A"/>
    <w:rsid w:val="6CD429A0"/>
    <w:rsid w:val="6ED9331A"/>
    <w:rsid w:val="6EF07839"/>
    <w:rsid w:val="6F63000B"/>
    <w:rsid w:val="6FCF0C72"/>
    <w:rsid w:val="71500A63"/>
    <w:rsid w:val="717C1858"/>
    <w:rsid w:val="727E484F"/>
    <w:rsid w:val="72B56DCF"/>
    <w:rsid w:val="72E964BC"/>
    <w:rsid w:val="735C7C42"/>
    <w:rsid w:val="74D07EF1"/>
    <w:rsid w:val="75B570E6"/>
    <w:rsid w:val="75BF3AC1"/>
    <w:rsid w:val="764C7B3D"/>
    <w:rsid w:val="76B13746"/>
    <w:rsid w:val="7706409E"/>
    <w:rsid w:val="7797777E"/>
    <w:rsid w:val="77AB7C34"/>
    <w:rsid w:val="780A1873"/>
    <w:rsid w:val="787D11B8"/>
    <w:rsid w:val="78A771BA"/>
    <w:rsid w:val="78AC6820"/>
    <w:rsid w:val="792C5912"/>
    <w:rsid w:val="7A9419C0"/>
    <w:rsid w:val="7C83492B"/>
    <w:rsid w:val="7CBA4FE2"/>
    <w:rsid w:val="7D06612B"/>
    <w:rsid w:val="7D366EEC"/>
    <w:rsid w:val="7D380D29"/>
    <w:rsid w:val="7D9B7DD6"/>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2191</Words>
  <Characters>2660</Characters>
  <Lines>0</Lines>
  <Paragraphs>0</Paragraphs>
  <TotalTime>94</TotalTime>
  <ScaleCrop>false</ScaleCrop>
  <LinksUpToDate>false</LinksUpToDate>
  <CharactersWithSpaces>2948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2025-05-30T08:47:22Z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E7217A9B963E4D7BB3C1C716CF8D9CB8_13</vt:lpwstr>
  </property>
  <property fmtid="{D5CDD505-2E9C-101B-9397-08002B2CF9AE}" pid="4" name="KSOTemplateDocerSaveRecord">
    <vt:lpwstr>eyJoZGlkIjoiMDljYzUzMWQ4OWI0YzBkYjYzMDRhZTY5ZjZkYmFmYTgiLCJ1c2VySWQiOiI1ODMzMjMyMTIifQ==</vt:lpwstr>
  </property>
</Properties>
</file>