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呼图壁县发展和改革委员会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2025年呼图壁县发展和改革委员会部门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一、关于呼图壁县发展和改革委员会2025年收支预算情况的总体说明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二、关于呼图壁县发展和改革委员会2025年收入预算情况说明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三、关于呼图壁县发展和改革委员会2025年支出预算情况说明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、关于呼图壁县发展和改革委员会2025年政府性基金预算拨款情况说明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关于呼图壁县发展和改革委员会2025年国有资本经营预算拨款情况说明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、关于呼图壁县发展和改革委员会2025年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、关于呼图壁县发展和改革委员会2025年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2025年呼图壁县发展和改革委员会</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发展和改革委员会是综合研究拟定县国民经济和社会发展战略、发展规划和政策，进行总量平衡、结构调整、指导县总体经济体制改革工作、主管固定资产投资立项、强化粮食流通监督检查和商品价格监控的宏观调控单位。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呼图壁县发展和改革委员会无下属预算单位，</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个</w:t>
      </w:r>
      <w:r>
        <w:rPr>
          <w:rFonts w:hint="eastAsia" w:ascii="仿宋_GB2312" w:hAnsi="仿宋_GB2312" w:eastAsia="仿宋_GB2312" w:cs="仿宋_GB2312"/>
          <w:kern w:val="0"/>
          <w:sz w:val="32"/>
          <w:szCs w:val="32"/>
          <w:highlight w:val="none"/>
          <w:lang w:eastAsia="zh-CN"/>
        </w:rPr>
        <w:t>科</w:t>
      </w:r>
      <w:r>
        <w:rPr>
          <w:rFonts w:hint="eastAsia" w:ascii="仿宋_GB2312" w:hAnsi="仿宋_GB2312" w:eastAsia="仿宋_GB2312" w:cs="仿宋_GB2312"/>
          <w:kern w:val="0"/>
          <w:sz w:val="32"/>
          <w:szCs w:val="32"/>
          <w:highlight w:val="none"/>
        </w:rPr>
        <w:t>室，分别是：办公室、</w:t>
      </w:r>
      <w:r>
        <w:rPr>
          <w:rFonts w:hint="eastAsia" w:ascii="仿宋_GB2312" w:hAnsi="仿宋_GB2312" w:eastAsia="仿宋_GB2312" w:cs="仿宋_GB2312"/>
          <w:kern w:val="0"/>
          <w:sz w:val="32"/>
          <w:szCs w:val="32"/>
          <w:highlight w:val="none"/>
          <w:lang w:eastAsia="zh-CN"/>
        </w:rPr>
        <w:t>重点项目科（基建投资科）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粮食物资储备科（价格收费管理科）、工业能源科、综合业务科（法制科）</w:t>
      </w:r>
      <w:r>
        <w:rPr>
          <w:rFonts w:hint="eastAsia" w:ascii="仿宋_GB2312" w:hAnsi="仿宋_GB2312" w:eastAsia="仿宋_GB2312" w:cs="仿宋_GB2312"/>
          <w:kern w:val="0"/>
          <w:sz w:val="32"/>
          <w:szCs w:val="32"/>
          <w:highlight w:val="none"/>
        </w:rPr>
        <w:t>。</w:t>
      </w:r>
    </w:p>
    <w:p>
      <w:pPr>
        <w:widowControl/>
        <w:spacing w:line="560" w:lineRule="exact"/>
        <w:ind w:firstLine="64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呼图壁县发展和改革委员会</w:t>
      </w:r>
      <w:r>
        <w:rPr>
          <w:rFonts w:hint="eastAsia" w:ascii="仿宋_GB2312" w:hAnsi="仿宋_GB2312" w:eastAsia="仿宋_GB2312" w:cs="仿宋_GB2312"/>
          <w:kern w:val="0"/>
          <w:sz w:val="32"/>
          <w:szCs w:val="32"/>
          <w:highlight w:val="none"/>
        </w:rPr>
        <w:t>编制数</w:t>
      </w:r>
      <w:r>
        <w:rPr>
          <w:rFonts w:hint="eastAsia" w:ascii="仿宋_GB2312" w:hAnsi="仿宋_GB2312" w:eastAsia="仿宋_GB2312" w:cs="仿宋_GB2312"/>
          <w:kern w:val="0"/>
          <w:sz w:val="32"/>
          <w:szCs w:val="32"/>
          <w:highlight w:val="none"/>
          <w:lang w:val="en-US" w:eastAsia="zh-CN"/>
        </w:rPr>
        <w:t>37</w:t>
      </w:r>
      <w:r>
        <w:rPr>
          <w:rFonts w:hint="eastAsia" w:ascii="仿宋_GB2312" w:hAnsi="仿宋_GB2312" w:eastAsia="仿宋_GB2312" w:cs="仿宋_GB2312"/>
          <w:kern w:val="0"/>
          <w:sz w:val="32"/>
          <w:szCs w:val="32"/>
          <w:highlight w:val="none"/>
        </w:rPr>
        <w:t>，实有人数</w:t>
      </w:r>
      <w:r>
        <w:rPr>
          <w:rFonts w:hint="eastAsia" w:ascii="仿宋_GB2312" w:hAnsi="仿宋_GB2312" w:eastAsia="仿宋_GB2312" w:cs="仿宋_GB2312"/>
          <w:kern w:val="0"/>
          <w:sz w:val="32"/>
          <w:szCs w:val="32"/>
          <w:highlight w:val="none"/>
          <w:lang w:val="en-US" w:eastAsia="zh-CN"/>
        </w:rPr>
        <w:t>65</w:t>
      </w:r>
      <w:r>
        <w:rPr>
          <w:rFonts w:hint="eastAsia" w:ascii="仿宋_GB2312" w:hAnsi="仿宋_GB2312" w:eastAsia="仿宋_GB2312" w:cs="仿宋_GB2312"/>
          <w:kern w:val="0"/>
          <w:sz w:val="32"/>
          <w:szCs w:val="32"/>
          <w:highlight w:val="none"/>
        </w:rPr>
        <w:t>，其中：在职</w:t>
      </w:r>
      <w:r>
        <w:rPr>
          <w:rFonts w:hint="eastAsia" w:ascii="仿宋_GB2312" w:hAnsi="仿宋_GB2312" w:eastAsia="仿宋_GB2312" w:cs="仿宋_GB2312"/>
          <w:kern w:val="0"/>
          <w:sz w:val="32"/>
          <w:szCs w:val="32"/>
          <w:highlight w:val="none"/>
          <w:lang w:val="en-US" w:eastAsia="zh-CN"/>
        </w:rPr>
        <w:t>30</w:t>
      </w:r>
      <w:r>
        <w:rPr>
          <w:rFonts w:hint="eastAsia" w:ascii="仿宋_GB2312" w:hAnsi="仿宋_GB2312" w:eastAsia="仿宋_GB2312" w:cs="仿宋_GB2312"/>
          <w:kern w:val="0"/>
          <w:sz w:val="32"/>
          <w:szCs w:val="32"/>
          <w:highlight w:val="none"/>
        </w:rPr>
        <w:t>人，</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人；退休</w:t>
      </w:r>
      <w:r>
        <w:rPr>
          <w:rFonts w:hint="eastAsia" w:ascii="仿宋_GB2312" w:hAnsi="仿宋_GB2312" w:eastAsia="仿宋_GB2312" w:cs="仿宋_GB2312"/>
          <w:kern w:val="0"/>
          <w:sz w:val="32"/>
          <w:szCs w:val="32"/>
          <w:highlight w:val="none"/>
          <w:lang w:val="en-US" w:eastAsia="zh-CN"/>
        </w:rPr>
        <w:t>35</w:t>
      </w:r>
      <w:r>
        <w:rPr>
          <w:rFonts w:hint="eastAsia" w:ascii="仿宋_GB2312" w:hAnsi="仿宋_GB2312" w:eastAsia="仿宋_GB2312" w:cs="仿宋_GB2312"/>
          <w:kern w:val="0"/>
          <w:sz w:val="32"/>
          <w:szCs w:val="32"/>
          <w:highlight w:val="none"/>
        </w:rPr>
        <w:t>人，</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人；离休0人，增加0人。</w:t>
      </w: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21562.76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1735.79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21235.57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1679.62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19555.95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135.90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56.85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327.19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19553.60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327.19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90.61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603.00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22175.76</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22175.76</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755" w:type="dxa"/>
        <w:tblInd w:w="-545" w:type="dxa"/>
        <w:tblLayout w:type="fixed"/>
        <w:tblCellMar>
          <w:top w:w="0" w:type="dxa"/>
          <w:left w:w="108" w:type="dxa"/>
          <w:bottom w:w="0" w:type="dxa"/>
          <w:right w:w="108" w:type="dxa"/>
        </w:tblCellMar>
      </w:tblPr>
      <w:tblGrid>
        <w:gridCol w:w="512"/>
        <w:gridCol w:w="412"/>
        <w:gridCol w:w="432"/>
        <w:gridCol w:w="855"/>
        <w:gridCol w:w="872"/>
        <w:gridCol w:w="883"/>
        <w:gridCol w:w="882"/>
        <w:gridCol w:w="636"/>
        <w:gridCol w:w="372"/>
        <w:gridCol w:w="636"/>
        <w:gridCol w:w="396"/>
        <w:gridCol w:w="624"/>
        <w:gridCol w:w="528"/>
        <w:gridCol w:w="782"/>
        <w:gridCol w:w="623"/>
        <w:gridCol w:w="310"/>
      </w:tblGrid>
      <w:tr>
        <w:tblPrEx>
          <w:tblCellMar>
            <w:top w:w="0" w:type="dxa"/>
            <w:left w:w="108" w:type="dxa"/>
            <w:bottom w:w="0" w:type="dxa"/>
            <w:right w:w="108" w:type="dxa"/>
          </w:tblCellMar>
        </w:tblPrEx>
        <w:trPr>
          <w:trHeight w:val="697" w:hRule="atLeast"/>
        </w:trPr>
        <w:tc>
          <w:tcPr>
            <w:tcW w:w="135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2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8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2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12"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8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7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2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2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shd w:val="clear" w:color="auto" w:fill="auto"/>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一般公共服务支出</w:t>
            </w:r>
          </w:p>
        </w:tc>
        <w:tc>
          <w:tcPr>
            <w:tcW w:w="872"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1735.79</w:t>
            </w:r>
          </w:p>
        </w:tc>
        <w:tc>
          <w:tcPr>
            <w:tcW w:w="883"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1533.61</w:t>
            </w:r>
          </w:p>
        </w:tc>
        <w:tc>
          <w:tcPr>
            <w:tcW w:w="882"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w:t>
            </w:r>
            <w:r>
              <w:rPr>
                <w:rFonts w:hint="eastAsia" w:ascii="仿宋_GB2312" w:eastAsia="仿宋_GB2312" w:cs="Times New Roman"/>
                <w:color w:val="auto"/>
                <w:sz w:val="15"/>
                <w:szCs w:val="15"/>
                <w:highlight w:val="none"/>
                <w:lang w:val="en-US" w:eastAsia="zh-CN"/>
              </w:rPr>
              <w:t>1.26</w:t>
            </w:r>
          </w:p>
        </w:tc>
        <w:tc>
          <w:tcPr>
            <w:tcW w:w="636"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2.35</w:t>
            </w:r>
          </w:p>
        </w:tc>
        <w:tc>
          <w:tcPr>
            <w:tcW w:w="372"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192.19</w:t>
            </w:r>
          </w:p>
        </w:tc>
        <w:tc>
          <w:tcPr>
            <w:tcW w:w="623"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3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发展与改革事务</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1735.79</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1533.61</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w:t>
            </w:r>
            <w:r>
              <w:rPr>
                <w:rFonts w:hint="eastAsia" w:ascii="仿宋_GB2312" w:eastAsia="仿宋_GB2312" w:cs="Times New Roman"/>
                <w:color w:val="auto"/>
                <w:sz w:val="15"/>
                <w:szCs w:val="15"/>
                <w:highlight w:val="none"/>
                <w:lang w:val="en-US" w:eastAsia="zh-CN"/>
              </w:rPr>
              <w:t>1.26</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2.35</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192.19</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行政运行</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370.31</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193.31</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193.31</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177.00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02</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一般行政管理事务</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战略规划与实施</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70.00</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70.00</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70.00</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50</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事业运行</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223.95</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208.95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208.95</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其他发展与改革事务支出</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1061.54</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1061.35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eastAsia" w:ascii="仿宋_GB2312" w:eastAsia="仿宋_GB2312" w:cs="Times New Roman"/>
                <w:color w:val="auto"/>
                <w:sz w:val="15"/>
                <w:szCs w:val="15"/>
                <w:highlight w:val="none"/>
                <w:lang w:val="en-US" w:eastAsia="zh-CN"/>
              </w:rPr>
              <w:t>1059.00</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2.35</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0.19</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社会保障和就业支出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135.90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行政事业单位养老支出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135.90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01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行政单位离退休</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22.17</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22.17</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22.17</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机关事业单位基本养老保险缴费支出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98.73</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48.73</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48.73</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06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机关事业单位职业年金缴费支出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卫生健康支出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56.85</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行政事业单位医疗</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56.85</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行政单位医疗</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29.53</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9.53</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9.53</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事业单位医疗</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14.84</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14.84</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14.84</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03</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公务员医疗补助</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12.18</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12.18</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12.18</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其他行政事业单位医疗支出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0.30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0.30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0.30</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农林水支出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213</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09</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目标价格补贴</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213</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09</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棉花目标价格补贴</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住房保障支出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90.61</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221</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住房改革支出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90.61</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221</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住房公积金</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90.61</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222</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粮油物资储备支出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222</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粮油物资事务</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222</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其他粮油物资事务支出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b/>
                <w:bCs/>
                <w:color w:val="auto"/>
                <w:sz w:val="15"/>
                <w:szCs w:val="15"/>
                <w:highlight w:val="none"/>
              </w:rPr>
              <w:t>合  计</w:t>
            </w:r>
            <w:r>
              <w:rPr>
                <w:rFonts w:hint="eastAsia" w:ascii="仿宋_GB2312" w:eastAsia="仿宋_GB2312"/>
                <w:color w:val="auto"/>
                <w:sz w:val="15"/>
                <w:szCs w:val="15"/>
                <w:highlight w:val="none"/>
              </w:rPr>
              <w:t>　</w:t>
            </w:r>
          </w:p>
        </w:tc>
        <w:tc>
          <w:tcPr>
            <w:tcW w:w="8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22175.76</w:t>
            </w:r>
          </w:p>
        </w:tc>
        <w:tc>
          <w:tcPr>
            <w:tcW w:w="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21235.57</w:t>
            </w:r>
          </w:p>
        </w:tc>
        <w:tc>
          <w:tcPr>
            <w:tcW w:w="8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highlight w:val="none"/>
                <w:u w:val="none"/>
                <w:lang w:val="en-US" w:eastAsia="zh-CN" w:bidi="ar-SA"/>
              </w:rPr>
            </w:pPr>
            <w:r>
              <w:rPr>
                <w:rFonts w:hint="eastAsia" w:ascii="Calibri" w:hAnsi="Calibri" w:cs="Calibri"/>
                <w:i w:val="0"/>
                <w:iCs w:val="0"/>
                <w:color w:val="000000"/>
                <w:kern w:val="2"/>
                <w:sz w:val="15"/>
                <w:szCs w:val="15"/>
                <w:highlight w:val="none"/>
                <w:u w:val="none"/>
                <w:lang w:val="en-US" w:eastAsia="zh-CN" w:bidi="ar-SA"/>
              </w:rPr>
              <w:t>1679.62</w:t>
            </w:r>
          </w:p>
        </w:tc>
        <w:tc>
          <w:tcPr>
            <w:tcW w:w="6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19555.95</w:t>
            </w:r>
          </w:p>
        </w:tc>
        <w:tc>
          <w:tcPr>
            <w:tcW w:w="37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3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39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2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782"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327.19</w:t>
            </w:r>
          </w:p>
        </w:tc>
        <w:tc>
          <w:tcPr>
            <w:tcW w:w="62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613.00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textWrapping"/>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486"/>
        <w:gridCol w:w="417"/>
        <w:gridCol w:w="417"/>
        <w:gridCol w:w="2564"/>
        <w:gridCol w:w="1829"/>
        <w:gridCol w:w="1830"/>
        <w:gridCol w:w="1877"/>
      </w:tblGrid>
      <w:tr>
        <w:tblPrEx>
          <w:tblCellMar>
            <w:top w:w="0" w:type="dxa"/>
            <w:left w:w="108" w:type="dxa"/>
            <w:bottom w:w="0" w:type="dxa"/>
            <w:right w:w="108" w:type="dxa"/>
          </w:tblCellMar>
        </w:tblPrEx>
        <w:trPr>
          <w:trHeight w:val="328" w:hRule="atLeast"/>
        </w:trPr>
        <w:tc>
          <w:tcPr>
            <w:tcW w:w="388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09"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一般公共服务支出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1735.79</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594.26</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1141.54</w:t>
            </w: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发展与改革事务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1735.79</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594.26</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1141.54</w:t>
            </w:r>
          </w:p>
        </w:tc>
      </w:tr>
      <w:tr>
        <w:tblPrEx>
          <w:tblCellMar>
            <w:top w:w="0" w:type="dxa"/>
            <w:left w:w="108" w:type="dxa"/>
            <w:bottom w:w="0" w:type="dxa"/>
            <w:right w:w="108" w:type="dxa"/>
          </w:tblCellMar>
        </w:tblPrEx>
        <w:trPr>
          <w:trHeight w:val="321"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行政运行</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370.31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370.31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3"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02</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一般行政管理事务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w:t>
            </w:r>
          </w:p>
        </w:tc>
      </w:tr>
      <w:tr>
        <w:tblPrEx>
          <w:tblCellMar>
            <w:top w:w="0" w:type="dxa"/>
            <w:left w:w="108" w:type="dxa"/>
            <w:bottom w:w="0" w:type="dxa"/>
            <w:right w:w="108" w:type="dxa"/>
          </w:tblCellMar>
        </w:tblPrEx>
        <w:trPr>
          <w:trHeight w:val="333"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战略规划与实施</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50</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事业运行</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223.95</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223.95</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其他发展与改革事务支出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1061.54</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1061.54</w:t>
            </w: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社会保障和就业支出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　</w:t>
            </w:r>
          </w:p>
        </w:tc>
        <w:tc>
          <w:tcPr>
            <w:tcW w:w="2564"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行政事业单位养老支出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01　</w:t>
            </w:r>
          </w:p>
        </w:tc>
        <w:tc>
          <w:tcPr>
            <w:tcW w:w="2564"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行政单位离退休</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576"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机关事业单位基本养老保险缴费支出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98.73</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98.73</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564"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06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机关事业单位职业年金缴费支出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卫生健康支出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行政事业单位医疗</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09"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行政单位医疗</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29.53</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29.53</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3"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事业单位医疗</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公务员医疗补助</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其他行政事业单位医疗支出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农林水支出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09</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目标价格补贴</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09</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棉花目标价格补贴</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住房保障支出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住房改革支出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住房公积金</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粮油物资储备支出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粮油物资事务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其他粮油物资事务支出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22175.76</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877.62</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21298.14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呼图壁县发展和改革委员会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762"/>
        <w:gridCol w:w="1096"/>
        <w:gridCol w:w="2313"/>
        <w:gridCol w:w="1096"/>
        <w:gridCol w:w="1096"/>
        <w:gridCol w:w="1043"/>
        <w:gridCol w:w="1043"/>
      </w:tblGrid>
      <w:tr>
        <w:tblPrEx>
          <w:tblCellMar>
            <w:top w:w="0" w:type="dxa"/>
            <w:left w:w="108" w:type="dxa"/>
            <w:bottom w:w="0" w:type="dxa"/>
            <w:right w:w="108" w:type="dxa"/>
          </w:tblCellMar>
        </w:tblPrEx>
        <w:trPr>
          <w:trHeight w:val="285" w:hRule="atLeast"/>
        </w:trPr>
        <w:tc>
          <w:tcPr>
            <w:tcW w:w="285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1"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76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Hans"/>
              </w:rPr>
              <w:t>一、</w:t>
            </w:r>
            <w:r>
              <w:rPr>
                <w:rFonts w:hint="eastAsia" w:ascii="仿宋_GB2312" w:hAnsi="仿宋_GB2312" w:eastAsia="仿宋_GB2312" w:cs="仿宋_GB2312"/>
                <w:color w:val="auto"/>
                <w:kern w:val="0"/>
                <w:sz w:val="18"/>
                <w:szCs w:val="18"/>
                <w:highlight w:val="none"/>
              </w:rPr>
              <w:t>财政拨款（补助）</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1533.61</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1533.61</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70.90</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70.90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卫生健康支出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36.85</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36.85</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19553.60</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19553.60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40.61</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40.61</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灾害防治及应急管理支出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转移性支出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 xml:space="preserve">                    </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收  入  总  计</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支  出  总  计</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086"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jc w:val="center"/>
        <w:tblLayout w:type="autofit"/>
        <w:tblCellMar>
          <w:top w:w="0" w:type="dxa"/>
          <w:left w:w="108" w:type="dxa"/>
          <w:bottom w:w="0" w:type="dxa"/>
          <w:right w:w="108" w:type="dxa"/>
        </w:tblCellMar>
      </w:tblPr>
      <w:tblGrid>
        <w:gridCol w:w="519"/>
        <w:gridCol w:w="499"/>
        <w:gridCol w:w="502"/>
        <w:gridCol w:w="2495"/>
        <w:gridCol w:w="657"/>
        <w:gridCol w:w="1018"/>
        <w:gridCol w:w="215"/>
        <w:gridCol w:w="1617"/>
        <w:gridCol w:w="1692"/>
      </w:tblGrid>
      <w:tr>
        <w:tblPrEx>
          <w:tblCellMar>
            <w:top w:w="0" w:type="dxa"/>
            <w:left w:w="108" w:type="dxa"/>
            <w:bottom w:w="0" w:type="dxa"/>
            <w:right w:w="108" w:type="dxa"/>
          </w:tblCellMar>
        </w:tblPrEx>
        <w:trPr>
          <w:trHeight w:val="450" w:hRule="atLeast"/>
          <w:jc w:val="center"/>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467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一般公共服务支出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1533.61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402.26</w:t>
            </w: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发展与改革事务</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1533.61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402.26</w:t>
            </w: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行政运行</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193.31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193.31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战略规划与实施</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50</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事业运行</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208.95</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208.95</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1061.35</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1061.35</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社会保障和就业支出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行政事业单位养老支出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行政单位离退休</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机关事业单位基本养老保险缴费支出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卫生健康支出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行政事业单位医疗</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行政单位医疗</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9.53</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9.53</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02</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事业单位医疗</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03</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公务员医疗补助</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其他行政事业单位医疗支出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农林水支出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09</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目标价格补贴</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09</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棉花目标价格补贴</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住房保障支出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住房改革支出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住房公积金</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21235.57</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550.62</w:t>
            </w: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20684.95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506.84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506.84</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117.53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117.53</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6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71.29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71.29</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7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99.94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99.94</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1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49.66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49.66</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1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24.36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24.36</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6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2.45</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0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40.09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40.09</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17.22</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17.22</w:t>
            </w:r>
          </w:p>
        </w:tc>
      </w:tr>
      <w:tr>
        <w:tblPrEx>
          <w:tblCellMar>
            <w:top w:w="0" w:type="dxa"/>
            <w:left w:w="108" w:type="dxa"/>
            <w:bottom w:w="0" w:type="dxa"/>
            <w:right w:w="108" w:type="dxa"/>
          </w:tblCellMar>
        </w:tblPrEx>
        <w:trPr>
          <w:trHeight w:val="35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0.55</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印刷费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0.11</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0.11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0.03</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1.60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0.52</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培训费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0.28</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公务接待费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0.93</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0.93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26.56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26.56</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2.19</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2.20</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550.62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533.40</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17.22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7"/>
        <w:tblpPr w:leftFromText="180" w:rightFromText="180" w:vertAnchor="text" w:horzAnchor="page" w:tblpXSpec="center" w:tblpY="294"/>
        <w:tblOverlap w:val="never"/>
        <w:tblW w:w="10606" w:type="dxa"/>
        <w:jc w:val="center"/>
        <w:tblLayout w:type="fixed"/>
        <w:tblCellMar>
          <w:top w:w="0" w:type="dxa"/>
          <w:left w:w="108" w:type="dxa"/>
          <w:bottom w:w="0" w:type="dxa"/>
          <w:right w:w="108" w:type="dxa"/>
        </w:tblCellMar>
      </w:tblPr>
      <w:tblGrid>
        <w:gridCol w:w="10"/>
        <w:gridCol w:w="506"/>
        <w:gridCol w:w="417"/>
        <w:gridCol w:w="417"/>
        <w:gridCol w:w="1095"/>
        <w:gridCol w:w="1520"/>
        <w:gridCol w:w="121"/>
        <w:gridCol w:w="861"/>
        <w:gridCol w:w="419"/>
        <w:gridCol w:w="1011"/>
        <w:gridCol w:w="684"/>
        <w:gridCol w:w="360"/>
        <w:gridCol w:w="432"/>
        <w:gridCol w:w="672"/>
        <w:gridCol w:w="540"/>
        <w:gridCol w:w="707"/>
        <w:gridCol w:w="417"/>
        <w:gridCol w:w="372"/>
        <w:gridCol w:w="45"/>
      </w:tblGrid>
      <w:tr>
        <w:tblPrEx>
          <w:tblCellMar>
            <w:top w:w="0" w:type="dxa"/>
            <w:left w:w="108" w:type="dxa"/>
            <w:bottom w:w="0" w:type="dxa"/>
            <w:right w:w="108" w:type="dxa"/>
          </w:tblCellMar>
        </w:tblPrEx>
        <w:trPr>
          <w:gridBefore w:val="1"/>
          <w:gridAfter w:val="1"/>
          <w:wBefore w:w="10" w:type="dxa"/>
          <w:wAfter w:w="45" w:type="dxa"/>
          <w:trHeight w:val="375" w:hRule="atLeast"/>
          <w:jc w:val="center"/>
        </w:trPr>
        <w:tc>
          <w:tcPr>
            <w:tcW w:w="10551"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45" w:type="dxa"/>
          <w:trHeight w:val="405" w:hRule="atLeast"/>
          <w:jc w:val="center"/>
        </w:trPr>
        <w:tc>
          <w:tcPr>
            <w:tcW w:w="6367" w:type="dxa"/>
            <w:gridSpan w:val="9"/>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p>
        </w:tc>
        <w:tc>
          <w:tcPr>
            <w:tcW w:w="104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4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9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41" w:type="dxa"/>
            <w:gridSpan w:val="2"/>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1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8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7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70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9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64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1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一般公共服务支出</w:t>
            </w:r>
          </w:p>
        </w:tc>
        <w:tc>
          <w:tcPr>
            <w:tcW w:w="1641"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861" w:type="dxa"/>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c>
          <w:tcPr>
            <w:tcW w:w="419"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1084.20</w:t>
            </w:r>
          </w:p>
        </w:tc>
        <w:tc>
          <w:tcPr>
            <w:tcW w:w="684"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22.15</w:t>
            </w:r>
          </w:p>
        </w:tc>
        <w:tc>
          <w:tcPr>
            <w:tcW w:w="54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widowControl/>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发展与改革事务</w:t>
            </w:r>
          </w:p>
        </w:tc>
        <w:tc>
          <w:tcPr>
            <w:tcW w:w="1641"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861" w:type="dxa"/>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c>
          <w:tcPr>
            <w:tcW w:w="419"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1084.20</w:t>
            </w:r>
          </w:p>
        </w:tc>
        <w:tc>
          <w:tcPr>
            <w:tcW w:w="684"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22.15</w:t>
            </w:r>
          </w:p>
        </w:tc>
        <w:tc>
          <w:tcPr>
            <w:tcW w:w="54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战略规划与实施</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呼图壁县国民经济和社会发展第十五个五年规划和2035年远景目标纲要前期思路研究及编制（非定额）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人民防空工作经费（非定额）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30.00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20.00</w:t>
            </w: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粮食质量安全检查和监测经费（非定额）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1.85</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2.15</w:t>
            </w: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固定数额－农产品成本调查经费</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2.35</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2.35</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地方成品粮储备经费（非定额）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52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2025年项目前期编制费(非定额）</w:t>
            </w: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1000.00</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213</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农林水支出</w:t>
            </w:r>
          </w:p>
        </w:tc>
        <w:tc>
          <w:tcPr>
            <w:tcW w:w="152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213</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09</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目标价格补贴</w:t>
            </w:r>
          </w:p>
        </w:tc>
        <w:tc>
          <w:tcPr>
            <w:tcW w:w="152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213</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09</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棉花目标价格补贴</w:t>
            </w:r>
          </w:p>
        </w:tc>
        <w:tc>
          <w:tcPr>
            <w:tcW w:w="152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宋体" w:eastAsia="仿宋_GB2312" w:cs="宋体"/>
                <w:color w:val="auto"/>
                <w:kern w:val="0"/>
                <w:sz w:val="18"/>
                <w:szCs w:val="18"/>
                <w:highlight w:val="none"/>
                <w:lang w:val="en-US" w:eastAsia="zh-CN"/>
              </w:rPr>
              <w:t>特定目标10100123</w:t>
            </w: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095"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52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20684.95</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1084.20</w:t>
            </w: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22.15</w:t>
            </w: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rPr>
        <w:t>单位：万元</w:t>
      </w:r>
      <w:r>
        <w:rPr>
          <w:rFonts w:hint="eastAsia" w:ascii="仿宋_GB2312" w:hAnsi="宋体" w:eastAsia="仿宋_GB2312"/>
          <w:color w:val="auto"/>
          <w:kern w:val="0"/>
          <w:sz w:val="24"/>
          <w:highlight w:val="none"/>
        </w:rPr>
        <w:t xml:space="preserve">      </w:t>
      </w:r>
    </w:p>
    <w:tbl>
      <w:tblPr>
        <w:tblStyle w:val="7"/>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cs="宋体"/>
          <w:b/>
          <w:bCs/>
          <w:color w:val="auto"/>
          <w:kern w:val="0"/>
          <w:sz w:val="24"/>
          <w:highlight w:val="none"/>
          <w:lang w:eastAsia="zh-CN"/>
        </w:rPr>
        <w:t>呼图壁县发展和改革委员会</w:t>
      </w:r>
      <w:r>
        <w:rPr>
          <w:rFonts w:hint="eastAsia" w:ascii="仿宋" w:eastAsia="仿宋"/>
          <w:b/>
          <w:color w:val="000000"/>
          <w:szCs w:val="21"/>
          <w:highlight w:val="none"/>
          <w:lang w:val="en-US" w:eastAsia="zh-CN"/>
        </w:rPr>
        <w:t>2025</w:t>
      </w:r>
      <w:r>
        <w:rPr>
          <w:rFonts w:hint="eastAsia" w:ascii="仿宋" w:eastAsia="仿宋"/>
          <w:b/>
          <w:color w:val="000000"/>
          <w:szCs w:val="21"/>
          <w:highlight w:val="none"/>
        </w:rPr>
        <w:t>年没有使用政府性基金预算拨款安排的支出，政府性基金预算支出情况表为空表。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单位：万元</w:t>
      </w:r>
    </w:p>
    <w:tbl>
      <w:tblPr>
        <w:tblStyle w:val="7"/>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仿宋" w:cs="宋体"/>
          <w:i w:val="0"/>
          <w:color w:val="auto"/>
          <w:kern w:val="0"/>
          <w:sz w:val="20"/>
          <w:szCs w:val="20"/>
          <w:highlight w:val="none"/>
          <w:u w:val="none"/>
          <w:lang w:val="en-US" w:eastAsia="zh-CN" w:bidi="ar"/>
        </w:rPr>
      </w:pPr>
      <w:r>
        <w:rPr>
          <w:rFonts w:hint="eastAsia" w:ascii="仿宋_GB2312" w:hAnsi="宋体" w:eastAsia="仿宋_GB2312" w:cs="宋体"/>
          <w:b/>
          <w:bCs/>
          <w:color w:val="auto"/>
          <w:kern w:val="0"/>
          <w:sz w:val="24"/>
          <w:highlight w:val="none"/>
          <w:lang w:eastAsia="zh-CN"/>
        </w:rPr>
        <w:t>呼图壁县发展和改革委员会</w:t>
      </w:r>
      <w:r>
        <w:rPr>
          <w:rFonts w:hint="eastAsia" w:ascii="仿宋" w:eastAsia="仿宋"/>
          <w:b/>
          <w:color w:val="000000"/>
          <w:szCs w:val="21"/>
          <w:highlight w:val="none"/>
        </w:rPr>
        <w:t>202</w:t>
      </w:r>
      <w:r>
        <w:rPr>
          <w:rFonts w:hint="eastAsia" w:ascii="仿宋" w:eastAsia="仿宋"/>
          <w:b/>
          <w:color w:val="000000"/>
          <w:szCs w:val="21"/>
          <w:highlight w:val="none"/>
          <w:lang w:val="en-US" w:eastAsia="zh-CN"/>
        </w:rPr>
        <w:t>5</w:t>
      </w:r>
      <w:r>
        <w:rPr>
          <w:rFonts w:hint="eastAsia" w:ascii="仿宋" w:eastAsia="仿宋"/>
          <w:b/>
          <w:color w:val="000000"/>
          <w:szCs w:val="21"/>
          <w:highlight w:val="none"/>
        </w:rPr>
        <w:t>年没有使用国有资本经营预算拨款安排的支出，国有资本经营预算支出情况表为空</w:t>
      </w:r>
      <w:r>
        <w:rPr>
          <w:rFonts w:hint="eastAsia" w:ascii="仿宋" w:eastAsia="仿宋"/>
          <w:b/>
          <w:color w:val="000000"/>
          <w:szCs w:val="21"/>
          <w:highlight w:val="none"/>
          <w:lang w:val="en-US"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68"/>
        <w:gridCol w:w="1176"/>
        <w:gridCol w:w="1266"/>
        <w:gridCol w:w="149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5.73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5.73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0.93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0.93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textWrapping"/>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2424" w:tblpY="145"/>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21"/>
                <w:szCs w:val="21"/>
                <w:highlight w:val="none"/>
              </w:rPr>
              <w:t>2024年为民办实事工作队经费</w:t>
            </w:r>
          </w:p>
        </w:tc>
        <w:tc>
          <w:tcPr>
            <w:tcW w:w="85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10.00</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10.00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10.00</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21"/>
                <w:szCs w:val="21"/>
                <w:highlight w:val="none"/>
              </w:rPr>
              <w:t>关于调整下达2024年中央产粮大县奖励资金预算的通知</w:t>
            </w:r>
          </w:p>
        </w:tc>
        <w:tc>
          <w:tcPr>
            <w:tcW w:w="85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603.00</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603.00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603.00</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总计</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613.00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613.00</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bl>
    <w:p>
      <w:pPr>
        <w:widowControl/>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color w:val="FF0000"/>
          <w:kern w:val="0"/>
          <w:sz w:val="28"/>
          <w:szCs w:val="32"/>
          <w:highlight w:val="none"/>
          <w:lang w:val="en-US" w:eastAsia="zh-CN"/>
        </w:rPr>
        <w:t xml:space="preserve"> </w:t>
      </w: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呼图壁县发展和改革委员会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22175.76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社会保障和就业支出、卫生健康支出、农林水支出、住房保障支出、粮油物资储备支出。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呼图壁县发展和改革委员会</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年收入预算</w:t>
      </w:r>
      <w:r>
        <w:rPr>
          <w:rFonts w:hint="eastAsia" w:ascii="仿宋_GB2312" w:hAnsi="宋体" w:eastAsia="仿宋_GB2312" w:cs="宋体"/>
          <w:color w:val="auto"/>
          <w:kern w:val="0"/>
          <w:sz w:val="32"/>
          <w:szCs w:val="32"/>
          <w:highlight w:val="none"/>
          <w:lang w:val="en-US" w:eastAsia="zh-CN"/>
        </w:rPr>
        <w:t>22175.76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1679.62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本年度新增棉花目标价格补贴预算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eastAsia="zh-CN"/>
        </w:rPr>
        <w:t>安排</w:t>
      </w:r>
      <w:r>
        <w:rPr>
          <w:rFonts w:hint="eastAsia" w:ascii="仿宋_GB2312" w:hAnsi="宋体" w:eastAsia="仿宋_GB2312" w:cs="宋体"/>
          <w:color w:val="auto"/>
          <w:kern w:val="0"/>
          <w:sz w:val="32"/>
          <w:szCs w:val="32"/>
          <w:highlight w:val="none"/>
          <w:lang w:val="en-US" w:eastAsia="zh-CN"/>
        </w:rPr>
        <w:t>19555.95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88.19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19554.27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增长11639.45%，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本年度新增棉花目标价格补贴预算。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327.19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37.81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613.00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99.67%，</w:t>
      </w:r>
      <w:r>
        <w:rPr>
          <w:rFonts w:hint="eastAsia" w:ascii="仿宋_GB2312" w:hAnsi="宋体" w:eastAsia="仿宋_GB2312" w:cs="宋体"/>
          <w:color w:val="auto"/>
          <w:kern w:val="0"/>
          <w:sz w:val="32"/>
          <w:szCs w:val="32"/>
          <w:highlight w:val="none"/>
        </w:rPr>
        <w:t>主要原因是2024年中央产粮大县奖励资金预算</w:t>
      </w:r>
      <w:r>
        <w:rPr>
          <w:rFonts w:hint="eastAsia" w:ascii="仿宋_GB2312" w:hAnsi="宋体" w:eastAsia="仿宋_GB2312" w:cs="宋体"/>
          <w:color w:val="auto"/>
          <w:kern w:val="0"/>
          <w:sz w:val="32"/>
          <w:szCs w:val="32"/>
          <w:highlight w:val="none"/>
          <w:lang w:eastAsia="zh-CN"/>
        </w:rPr>
        <w:t>未支付完毕，结转至</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呼图壁县发展和改革委员会</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22175.76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877.62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3.96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67.58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本年度在职人员减少，工资福利支出及公用经费支出减少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21298.14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96.04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19927.46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1453.84 %，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本年度新增棉花目标价格补贴预算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呼图壁县发展和改革委员会</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呼图壁县发展和改革委员会2025年财政拨款收支总预算</w:t>
      </w:r>
      <w:r>
        <w:rPr>
          <w:rFonts w:hint="eastAsia" w:ascii="仿宋_GB2312" w:hAnsi="宋体" w:eastAsia="仿宋_GB2312" w:cs="宋体"/>
          <w:color w:val="auto"/>
          <w:kern w:val="0"/>
          <w:sz w:val="32"/>
          <w:szCs w:val="32"/>
          <w:highlight w:val="none"/>
          <w:lang w:val="en-US" w:eastAsia="zh-CN"/>
        </w:rPr>
        <w:t>21235.57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21235.57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1533.61</w:t>
      </w:r>
      <w:r>
        <w:rPr>
          <w:rFonts w:hint="eastAsia" w:ascii="仿宋_GB2312" w:hAnsi="宋体" w:eastAsia="仿宋_GB2312" w:cs="宋体"/>
          <w:color w:val="auto"/>
          <w:kern w:val="0"/>
          <w:sz w:val="32"/>
          <w:szCs w:val="32"/>
          <w:highlight w:val="none"/>
        </w:rPr>
        <w:t>万元，主要用于人员经费、工资等；社会保障和就业支出</w:t>
      </w:r>
      <w:r>
        <w:rPr>
          <w:rFonts w:hint="eastAsia" w:ascii="仿宋_GB2312" w:hAnsi="宋体" w:eastAsia="仿宋_GB2312" w:cs="宋体"/>
          <w:color w:val="auto"/>
          <w:kern w:val="0"/>
          <w:sz w:val="32"/>
          <w:szCs w:val="32"/>
          <w:highlight w:val="none"/>
          <w:lang w:val="en-US" w:eastAsia="zh-CN"/>
        </w:rPr>
        <w:t>70.90</w:t>
      </w:r>
      <w:r>
        <w:rPr>
          <w:rFonts w:hint="eastAsia" w:ascii="仿宋_GB2312" w:hAnsi="宋体" w:eastAsia="仿宋_GB2312" w:cs="宋体"/>
          <w:color w:val="auto"/>
          <w:kern w:val="0"/>
          <w:sz w:val="32"/>
          <w:szCs w:val="32"/>
          <w:highlight w:val="none"/>
        </w:rPr>
        <w:t>万元，主要用于在职人员社会保险；卫生健康支出</w:t>
      </w:r>
      <w:r>
        <w:rPr>
          <w:rFonts w:hint="eastAsia" w:ascii="仿宋_GB2312" w:hAnsi="宋体" w:eastAsia="仿宋_GB2312" w:cs="宋体"/>
          <w:color w:val="auto"/>
          <w:kern w:val="0"/>
          <w:sz w:val="32"/>
          <w:szCs w:val="32"/>
          <w:highlight w:val="none"/>
          <w:lang w:val="en-US" w:eastAsia="zh-CN"/>
        </w:rPr>
        <w:t>36.85</w:t>
      </w:r>
      <w:r>
        <w:rPr>
          <w:rFonts w:hint="eastAsia" w:ascii="仿宋_GB2312" w:hAnsi="宋体" w:eastAsia="仿宋_GB2312" w:cs="宋体"/>
          <w:color w:val="auto"/>
          <w:kern w:val="0"/>
          <w:sz w:val="32"/>
          <w:szCs w:val="32"/>
          <w:highlight w:val="none"/>
        </w:rPr>
        <w:t>万元，主要用于在职人员医疗保险；</w:t>
      </w:r>
      <w:r>
        <w:rPr>
          <w:rFonts w:hint="eastAsia" w:ascii="仿宋_GB2312" w:hAnsi="宋体" w:eastAsia="仿宋_GB2312" w:cs="宋体"/>
          <w:color w:val="auto"/>
          <w:kern w:val="0"/>
          <w:sz w:val="32"/>
          <w:szCs w:val="32"/>
          <w:highlight w:val="none"/>
          <w:lang w:eastAsia="zh-CN"/>
        </w:rPr>
        <w:t>农林水支出</w:t>
      </w:r>
      <w:r>
        <w:rPr>
          <w:rFonts w:hint="eastAsia" w:ascii="仿宋_GB2312" w:hAnsi="宋体" w:eastAsia="仿宋_GB2312" w:cs="宋体"/>
          <w:color w:val="auto"/>
          <w:kern w:val="0"/>
          <w:sz w:val="32"/>
          <w:szCs w:val="32"/>
          <w:highlight w:val="none"/>
          <w:lang w:val="en-US" w:eastAsia="zh-CN"/>
        </w:rPr>
        <w:t>19553.60万元，主要用于棉花目标价格补贴；</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40.61</w:t>
      </w:r>
      <w:r>
        <w:rPr>
          <w:rFonts w:hint="eastAsia" w:ascii="仿宋_GB2312" w:hAnsi="宋体" w:eastAsia="仿宋_GB2312" w:cs="宋体"/>
          <w:color w:val="auto"/>
          <w:kern w:val="0"/>
          <w:sz w:val="32"/>
          <w:szCs w:val="32"/>
          <w:highlight w:val="none"/>
        </w:rPr>
        <w:t>万元，主要用于在职人员住房公积金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呼图壁县发展和改革委员会</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呼图壁县发展和改革委员会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21235.57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550.62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29.58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5.10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20684.95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19324.27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1419.98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本年度新增棉花目标价格补贴预算。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1.一般公共服务支出（类）</w:t>
      </w:r>
      <w:r>
        <w:rPr>
          <w:rFonts w:hint="eastAsia" w:ascii="仿宋_GB2312" w:hAnsi="仿宋_GB2312" w:eastAsia="仿宋_GB2312" w:cs="仿宋_GB2312"/>
          <w:color w:val="auto"/>
          <w:sz w:val="32"/>
          <w:szCs w:val="32"/>
          <w:highlight w:val="none"/>
          <w:lang w:val="en-US" w:eastAsia="zh-CN"/>
        </w:rPr>
        <w:t>1533.61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7.22</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2.社会保障和就业支出（类）</w:t>
      </w:r>
      <w:r>
        <w:rPr>
          <w:rFonts w:hint="eastAsia" w:ascii="仿宋_GB2312" w:hAnsi="仿宋_GB2312" w:eastAsia="仿宋_GB2312" w:cs="仿宋_GB2312"/>
          <w:color w:val="auto"/>
          <w:sz w:val="32"/>
          <w:szCs w:val="32"/>
          <w:highlight w:val="none"/>
          <w:lang w:val="en-US" w:eastAsia="zh-CN"/>
        </w:rPr>
        <w:t>70.90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0.33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3.卫生健康支出（类）</w:t>
      </w:r>
      <w:r>
        <w:rPr>
          <w:rFonts w:hint="eastAsia" w:ascii="仿宋_GB2312" w:hAnsi="仿宋_GB2312" w:eastAsia="仿宋_GB2312" w:cs="仿宋_GB2312"/>
          <w:color w:val="auto"/>
          <w:sz w:val="32"/>
          <w:szCs w:val="32"/>
          <w:highlight w:val="none"/>
          <w:lang w:val="en-US" w:eastAsia="zh-CN"/>
        </w:rPr>
        <w:t>36.85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0.17</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4.农林水支出（类）19553.60万元，占92.08%。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.住房保障支出（类）</w:t>
      </w:r>
      <w:r>
        <w:rPr>
          <w:rFonts w:hint="eastAsia" w:ascii="仿宋_GB2312" w:hAnsi="仿宋_GB2312" w:eastAsia="仿宋_GB2312" w:cs="仿宋_GB2312"/>
          <w:color w:val="auto"/>
          <w:sz w:val="32"/>
          <w:szCs w:val="32"/>
          <w:highlight w:val="none"/>
          <w:lang w:val="en-US" w:eastAsia="zh-CN"/>
        </w:rPr>
        <w:t>40.61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一般公共服务（类）发展与改革事务（款）行政运行（项）：202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193.31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10.04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下降4.94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.一般公共服务（类）发展与改革事务（款）</w:t>
      </w:r>
      <w:r>
        <w:rPr>
          <w:rFonts w:hint="eastAsia" w:ascii="仿宋_GB2312" w:hAnsi="仿宋_GB2312" w:eastAsia="仿宋_GB2312" w:cs="仿宋_GB2312"/>
          <w:color w:val="auto"/>
          <w:kern w:val="0"/>
          <w:sz w:val="32"/>
          <w:szCs w:val="32"/>
          <w:highlight w:val="none"/>
          <w:lang w:eastAsia="zh-CN"/>
        </w:rPr>
        <w:t>战略规划与实施</w:t>
      </w:r>
      <w:r>
        <w:rPr>
          <w:rFonts w:hint="eastAsia" w:ascii="仿宋_GB2312" w:hAnsi="仿宋_GB2312" w:eastAsia="仿宋_GB2312" w:cs="仿宋_GB2312"/>
          <w:color w:val="auto"/>
          <w:kern w:val="0"/>
          <w:sz w:val="32"/>
          <w:szCs w:val="32"/>
          <w:highlight w:val="none"/>
        </w:rPr>
        <w:t>（项）：202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70.00万</w:t>
      </w:r>
      <w:r>
        <w:rPr>
          <w:rFonts w:hint="eastAsia" w:ascii="仿宋_GB2312" w:hAnsi="仿宋_GB2312" w:eastAsia="仿宋_GB2312" w:cs="仿宋_GB2312"/>
          <w:color w:val="auto"/>
          <w:kern w:val="0"/>
          <w:sz w:val="32"/>
          <w:szCs w:val="32"/>
          <w:highlight w:val="none"/>
        </w:rPr>
        <w:t>元，比上年预算增加</w:t>
      </w:r>
      <w:r>
        <w:rPr>
          <w:rFonts w:hint="eastAsia" w:ascii="仿宋_GB2312" w:hAnsi="仿宋_GB2312" w:eastAsia="仿宋_GB2312" w:cs="仿宋_GB2312"/>
          <w:color w:val="auto"/>
          <w:kern w:val="0"/>
          <w:sz w:val="32"/>
          <w:szCs w:val="32"/>
          <w:highlight w:val="none"/>
          <w:lang w:val="en-US" w:eastAsia="zh-CN"/>
        </w:rPr>
        <w:t>70.00</w:t>
      </w:r>
      <w:r>
        <w:rPr>
          <w:rFonts w:hint="eastAsia" w:ascii="仿宋_GB2312" w:hAnsi="仿宋_GB2312" w:eastAsia="仿宋_GB2312" w:cs="仿宋_GB2312"/>
          <w:color w:val="auto"/>
          <w:kern w:val="0"/>
          <w:sz w:val="32"/>
          <w:szCs w:val="32"/>
          <w:highlight w:val="none"/>
        </w:rPr>
        <w:t>万元，增长100%，主要原因是</w:t>
      </w:r>
      <w:r>
        <w:rPr>
          <w:rFonts w:hint="eastAsia" w:ascii="仿宋_GB2312" w:hAnsi="仿宋_GB2312" w:eastAsia="仿宋_GB2312" w:cs="仿宋_GB2312"/>
          <w:color w:val="auto"/>
          <w:kern w:val="0"/>
          <w:sz w:val="32"/>
          <w:szCs w:val="32"/>
          <w:highlight w:val="none"/>
          <w:lang w:eastAsia="zh-CN"/>
        </w:rPr>
        <w:t>本年度计划开展呼图壁县国民经济和社会发展第十五个五年规划和2035年远景目标纲要前期思路研究及编制（非定额）项目，项目支出预算增加。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.一般公共服务（类）发展与改革事务（款）事业运行（项）：202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208.95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7.43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下降3.43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.一般公共服务（类）发展与改革事务（款）其他发展与改革事务支出（项）：202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1061.35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1013.97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lang w:val="en-US" w:eastAsia="zh-CN"/>
        </w:rPr>
        <w:t>长2140.08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本年度开展2025年项目前期编制费(非定额），项目支出预算增加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.社会保障和就业支出（类）行政事业单位养老支出（款）</w:t>
      </w:r>
      <w:r>
        <w:rPr>
          <w:rFonts w:hint="eastAsia" w:ascii="仿宋_GB2312" w:hAnsi="仿宋_GB2312" w:eastAsia="仿宋_GB2312" w:cs="仿宋_GB2312"/>
          <w:color w:val="auto"/>
          <w:kern w:val="0"/>
          <w:sz w:val="32"/>
          <w:szCs w:val="32"/>
          <w:highlight w:val="none"/>
          <w:lang w:eastAsia="zh-CN"/>
        </w:rPr>
        <w:t>行政单位离退休</w:t>
      </w:r>
      <w:r>
        <w:rPr>
          <w:rFonts w:hint="eastAsia" w:ascii="仿宋_GB2312" w:hAnsi="仿宋_GB2312" w:eastAsia="仿宋_GB2312" w:cs="仿宋_GB2312"/>
          <w:color w:val="auto"/>
          <w:kern w:val="0"/>
          <w:sz w:val="32"/>
          <w:szCs w:val="32"/>
          <w:highlight w:val="none"/>
        </w:rPr>
        <w:t>（项）：202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22.17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1.87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lang w:val="en-US" w:eastAsia="zh-CN"/>
        </w:rPr>
        <w:t>长9.21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退休人员增加，离退休费用支出增加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.社会保障和就业支出（类）行政事业单位养老支出（款）机关事业单位基本养老保险缴费支出（项）：202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48.73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4.84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下降9.03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.卫生健康支出（类）行政单位事业单位医疗（款）行政单位医疗（项）：202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9.53万元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1.82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下降16.04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.卫生健康支出（类）行政单位事业单位医疗（款）</w:t>
      </w:r>
      <w:r>
        <w:rPr>
          <w:rFonts w:hint="eastAsia" w:ascii="仿宋_GB2312" w:hAnsi="仿宋_GB2312" w:eastAsia="仿宋_GB2312" w:cs="仿宋_GB2312"/>
          <w:color w:val="auto"/>
          <w:kern w:val="0"/>
          <w:sz w:val="32"/>
          <w:szCs w:val="32"/>
          <w:highlight w:val="none"/>
          <w:lang w:eastAsia="zh-CN"/>
        </w:rPr>
        <w:t>事业</w:t>
      </w:r>
      <w:r>
        <w:rPr>
          <w:rFonts w:hint="eastAsia" w:ascii="仿宋_GB2312" w:hAnsi="仿宋_GB2312" w:eastAsia="仿宋_GB2312" w:cs="仿宋_GB2312"/>
          <w:color w:val="auto"/>
          <w:kern w:val="0"/>
          <w:sz w:val="32"/>
          <w:szCs w:val="32"/>
          <w:highlight w:val="none"/>
        </w:rPr>
        <w:t>单位医疗（项）：202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14.84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下降3.26%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.卫生健康支出（类）行政单位事业单位医疗（款）公务员医疗补助（项）：202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12.18</w:t>
      </w:r>
      <w:r>
        <w:rPr>
          <w:rFonts w:hint="eastAsia" w:ascii="仿宋_GB2312" w:hAnsi="仿宋_GB2312" w:eastAsia="仿宋_GB2312" w:cs="仿宋_GB2312"/>
          <w:color w:val="auto"/>
          <w:kern w:val="0"/>
          <w:sz w:val="32"/>
          <w:szCs w:val="32"/>
          <w:highlight w:val="none"/>
        </w:rPr>
        <w:t>万元，比上年预算数</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65.94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社保基数上涨导致公务员医疗补助保险费支出增加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.卫生健康支出（类）行政单位事业单位医疗（款）其他行政事业单位医疗支出（项）：202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0.30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0.10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50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社保基数上涨导致大病医疗保险费支出增加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11.农林水支出（类）目标价格补贴（款）棉花目标价格补贴（项）：2025年预算数为19553.60万元，比上年预算增加19553.60万元，增长100%，主要原因是本年度新增棉花目标价格补贴预算。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.住房保障支出（类）住房改革支出（款）住房公积金（项）：202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40.61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3.87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下降8.70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呼图壁县发展和改革委员会</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550.62</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533.40</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其他工资福利支出、退休费、生活补助、奖励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17.22</w:t>
      </w:r>
      <w:r>
        <w:rPr>
          <w:rFonts w:hint="eastAsia" w:ascii="仿宋_GB2312" w:hAnsi="宋体" w:eastAsia="仿宋_GB2312" w:cs="宋体"/>
          <w:color w:val="auto"/>
          <w:kern w:val="0"/>
          <w:sz w:val="32"/>
          <w:szCs w:val="32"/>
          <w:highlight w:val="none"/>
        </w:rPr>
        <w:t>万元，主要包括：办公费、印刷费、电费、邮电费、取暖费、差旅费、维修（护）费、公务接待费、工会经费、公务用车运行维护费等。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关于呼图壁县发展和改革委员会2025年一般公共预算项目支出情况说明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w:t>
      </w:r>
      <w:r>
        <w:rPr>
          <w:rFonts w:hint="default" w:ascii="仿宋_GB2312" w:hAnsi="宋体" w:eastAsia="仿宋_GB2312" w:cs="宋体"/>
          <w:color w:val="auto"/>
          <w:kern w:val="0"/>
          <w:sz w:val="32"/>
          <w:szCs w:val="32"/>
          <w:highlight w:val="none"/>
          <w:lang w:val="en-US" w:eastAsia="zh-CN"/>
        </w:rPr>
        <w:t>项目名称：呼图壁县国民经济和社会发展第十五个</w:t>
      </w:r>
      <w:r>
        <w:rPr>
          <w:rFonts w:hint="eastAsia" w:ascii="仿宋_GB2312" w:hAnsi="宋体" w:eastAsia="仿宋_GB2312" w:cs="宋体"/>
          <w:color w:val="auto"/>
          <w:kern w:val="0"/>
          <w:sz w:val="32"/>
          <w:szCs w:val="32"/>
          <w:highlight w:val="none"/>
          <w:lang w:val="en-US" w:eastAsia="zh-CN"/>
        </w:rPr>
        <w:t>五</w:t>
      </w:r>
      <w:r>
        <w:rPr>
          <w:rFonts w:hint="default" w:ascii="仿宋_GB2312" w:hAnsi="宋体" w:eastAsia="仿宋_GB2312" w:cs="宋体"/>
          <w:color w:val="auto"/>
          <w:kern w:val="0"/>
          <w:sz w:val="32"/>
          <w:szCs w:val="32"/>
          <w:highlight w:val="none"/>
          <w:lang w:val="en-US" w:eastAsia="zh-CN"/>
        </w:rPr>
        <w:t>年规划和2035年远景目标纲要前期思路研究及编制（非定额）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设立的政策依据：《国务院关于加强国民经济和社会发展规划编制工作的若干意见》</w:t>
      </w:r>
      <w:r>
        <w:rPr>
          <w:rFonts w:hint="eastAsia" w:ascii="仿宋_GB2312" w:hAnsi="宋体" w:eastAsia="仿宋_GB2312" w:cs="宋体"/>
          <w:color w:val="auto"/>
          <w:kern w:val="0"/>
          <w:sz w:val="32"/>
          <w:szCs w:val="32"/>
          <w:highlight w:val="none"/>
          <w:lang w:val="en-US" w:eastAsia="zh-CN"/>
        </w:rPr>
        <w:t>（国发</w:t>
      </w:r>
      <w:r>
        <w:rPr>
          <w:rFonts w:hint="default"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2005</w:t>
      </w:r>
      <w:r>
        <w:rPr>
          <w:rFonts w:hint="default"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33</w:t>
      </w:r>
      <w:r>
        <w:rPr>
          <w:rFonts w:hint="default" w:ascii="仿宋_GB2312" w:hAnsi="宋体" w:eastAsia="仿宋_GB2312" w:cs="宋体"/>
          <w:color w:val="auto"/>
          <w:kern w:val="0"/>
          <w:sz w:val="32"/>
          <w:szCs w:val="32"/>
          <w:highlight w:val="none"/>
          <w:lang w:val="en-US" w:eastAsia="zh-CN"/>
        </w:rPr>
        <w:t>号</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7</w:t>
      </w:r>
      <w:r>
        <w:rPr>
          <w:rFonts w:hint="default"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资金分配情况：用于“十五五”规划前期思路及规划编制费用70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w:t>
      </w:r>
      <w:r>
        <w:rPr>
          <w:rFonts w:hint="eastAsia" w:ascii="仿宋_GB2312" w:hAnsi="宋体" w:eastAsia="仿宋_GB2312" w:cs="宋体"/>
          <w:color w:val="auto"/>
          <w:kern w:val="0"/>
          <w:sz w:val="32"/>
          <w:szCs w:val="32"/>
          <w:highlight w:val="none"/>
          <w:lang w:val="en-US" w:eastAsia="zh-CN"/>
        </w:rPr>
        <w:t>元</w:t>
      </w:r>
      <w:r>
        <w:rPr>
          <w:rFonts w:hint="default"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w:t>
      </w:r>
      <w:r>
        <w:rPr>
          <w:rFonts w:hint="default" w:ascii="仿宋_GB2312" w:hAnsi="宋体" w:eastAsia="仿宋_GB2312" w:cs="宋体"/>
          <w:color w:val="auto"/>
          <w:kern w:val="0"/>
          <w:sz w:val="32"/>
          <w:szCs w:val="32"/>
          <w:highlight w:val="none"/>
          <w:lang w:val="en-US" w:eastAsia="zh-CN"/>
        </w:rPr>
        <w:t>项目名称：人民防空工作经费（非定额）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3</w:t>
      </w:r>
      <w:r>
        <w:rPr>
          <w:rFonts w:hint="default"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资金分配情况：用于购买及安装人民防空警报器需要</w:t>
      </w:r>
      <w:r>
        <w:rPr>
          <w:rFonts w:hint="eastAsia" w:ascii="仿宋_GB2312" w:hAnsi="宋体" w:eastAsia="仿宋_GB2312" w:cs="宋体"/>
          <w:color w:val="auto"/>
          <w:kern w:val="0"/>
          <w:sz w:val="32"/>
          <w:szCs w:val="32"/>
          <w:highlight w:val="none"/>
          <w:lang w:val="en-US" w:eastAsia="zh-CN"/>
        </w:rPr>
        <w:t>20.00万元，人民防空规划编制费用约10.00万元</w:t>
      </w:r>
      <w:r>
        <w:rPr>
          <w:rFonts w:hint="default"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w:t>
      </w:r>
      <w:r>
        <w:rPr>
          <w:rFonts w:hint="default" w:ascii="仿宋_GB2312" w:hAnsi="宋体" w:eastAsia="仿宋_GB2312" w:cs="宋体"/>
          <w:color w:val="auto"/>
          <w:kern w:val="0"/>
          <w:sz w:val="32"/>
          <w:szCs w:val="32"/>
          <w:highlight w:val="none"/>
          <w:lang w:val="en-US" w:eastAsia="zh-CN"/>
        </w:rPr>
        <w:t>.项目名称：粮食质量安全检查和监测经费（非定额）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4.00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资金分配情况：用于采购呕吐毒素快速定量检测试纸条、玉米赤霉烯酮快速定量检测试纸条等试剂</w:t>
      </w:r>
      <w:r>
        <w:rPr>
          <w:rFonts w:hint="eastAsia" w:ascii="仿宋_GB2312" w:hAnsi="宋体" w:eastAsia="仿宋_GB2312" w:cs="宋体"/>
          <w:color w:val="auto"/>
          <w:kern w:val="0"/>
          <w:sz w:val="32"/>
          <w:szCs w:val="32"/>
          <w:highlight w:val="none"/>
          <w:lang w:val="en-US" w:eastAsia="zh-CN"/>
        </w:rPr>
        <w:t>及设备购买共4.00万元</w:t>
      </w:r>
      <w:r>
        <w:rPr>
          <w:rFonts w:hint="default"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w:t>
      </w:r>
      <w:r>
        <w:rPr>
          <w:rFonts w:hint="default" w:ascii="仿宋_GB2312" w:hAnsi="宋体" w:eastAsia="仿宋_GB2312" w:cs="宋体"/>
          <w:color w:val="auto"/>
          <w:kern w:val="0"/>
          <w:sz w:val="32"/>
          <w:szCs w:val="32"/>
          <w:highlight w:val="none"/>
          <w:lang w:val="en-US" w:eastAsia="zh-CN"/>
        </w:rPr>
        <w:t>.项目名称：固定数额－农产品成本调查经费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w:t>
      </w:r>
      <w:bookmarkStart w:id="0" w:name="OLE_LINK2"/>
      <w:r>
        <w:rPr>
          <w:rFonts w:hint="default" w:ascii="仿宋_GB2312" w:hAnsi="宋体" w:eastAsia="仿宋_GB2312" w:cs="宋体"/>
          <w:color w:val="auto"/>
          <w:kern w:val="0"/>
          <w:sz w:val="32"/>
          <w:szCs w:val="32"/>
          <w:highlight w:val="none"/>
          <w:lang w:val="en-US" w:eastAsia="zh-CN"/>
        </w:rPr>
        <w:t>昌州财</w:t>
      </w:r>
      <w:r>
        <w:rPr>
          <w:rFonts w:hint="eastAsia" w:ascii="仿宋_GB2312" w:hAnsi="宋体" w:eastAsia="仿宋_GB2312" w:cs="宋体"/>
          <w:color w:val="auto"/>
          <w:kern w:val="0"/>
          <w:sz w:val="32"/>
          <w:szCs w:val="32"/>
          <w:highlight w:val="none"/>
          <w:lang w:val="en-US" w:eastAsia="zh-CN"/>
        </w:rPr>
        <w:t>建</w:t>
      </w:r>
      <w:r>
        <w:rPr>
          <w:rFonts w:hint="default" w:ascii="仿宋_GB2312" w:hAnsi="宋体" w:eastAsia="仿宋_GB2312" w:cs="宋体"/>
          <w:color w:val="auto"/>
          <w:kern w:val="0"/>
          <w:sz w:val="32"/>
          <w:szCs w:val="32"/>
          <w:highlight w:val="none"/>
          <w:lang w:val="en-US" w:eastAsia="zh-CN"/>
        </w:rPr>
        <w:t>【2024】1</w:t>
      </w:r>
      <w:r>
        <w:rPr>
          <w:rFonts w:hint="eastAsia" w:ascii="仿宋_GB2312" w:hAnsi="宋体" w:eastAsia="仿宋_GB2312" w:cs="宋体"/>
          <w:color w:val="auto"/>
          <w:kern w:val="0"/>
          <w:sz w:val="32"/>
          <w:szCs w:val="32"/>
          <w:highlight w:val="none"/>
          <w:lang w:val="en-US" w:eastAsia="zh-CN"/>
        </w:rPr>
        <w:t>52</w:t>
      </w:r>
      <w:r>
        <w:rPr>
          <w:rFonts w:hint="default" w:ascii="仿宋_GB2312" w:hAnsi="宋体" w:eastAsia="仿宋_GB2312" w:cs="宋体"/>
          <w:color w:val="auto"/>
          <w:kern w:val="0"/>
          <w:sz w:val="32"/>
          <w:szCs w:val="32"/>
          <w:highlight w:val="none"/>
          <w:lang w:val="en-US" w:eastAsia="zh-CN"/>
        </w:rPr>
        <w:t>号</w:t>
      </w:r>
      <w:bookmarkEnd w:id="0"/>
      <w:r>
        <w:rPr>
          <w:rFonts w:hint="default" w:ascii="仿宋_GB2312" w:hAnsi="宋体" w:eastAsia="仿宋_GB2312" w:cs="宋体"/>
          <w:color w:val="auto"/>
          <w:kern w:val="0"/>
          <w:sz w:val="32"/>
          <w:szCs w:val="32"/>
          <w:highlight w:val="none"/>
          <w:lang w:val="en-US" w:eastAsia="zh-CN"/>
        </w:rPr>
        <w:t>关于提前下达2025年农产品成本调查经费预算的通知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2.35</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w:t>
      </w:r>
      <w:r>
        <w:rPr>
          <w:rFonts w:hint="eastAsia" w:ascii="仿宋_GB2312" w:hAnsi="宋体" w:eastAsia="仿宋_GB2312" w:cs="宋体"/>
          <w:color w:val="auto"/>
          <w:kern w:val="0"/>
          <w:sz w:val="32"/>
          <w:szCs w:val="32"/>
          <w:highlight w:val="none"/>
          <w:lang w:val="en-US" w:eastAsia="zh-CN"/>
        </w:rPr>
        <w:t>农产品成本调查经费1.85万元，价格监测项目0.50万元。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w:t>
      </w:r>
      <w:r>
        <w:rPr>
          <w:rFonts w:hint="default" w:ascii="仿宋_GB2312" w:hAnsi="宋体" w:eastAsia="仿宋_GB2312" w:cs="宋体"/>
          <w:color w:val="auto"/>
          <w:kern w:val="0"/>
          <w:sz w:val="32"/>
          <w:szCs w:val="32"/>
          <w:highlight w:val="none"/>
          <w:lang w:val="en-US" w:eastAsia="zh-CN"/>
        </w:rPr>
        <w:t>.项目名称：地方成品粮储备经费（非定额）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宋体" w:eastAsia="仿宋_GB2312" w:cs="宋体"/>
          <w:color w:val="auto"/>
          <w:kern w:val="0"/>
          <w:sz w:val="32"/>
          <w:szCs w:val="32"/>
          <w:highlight w:val="none"/>
          <w:lang w:val="en-US" w:eastAsia="zh-CN"/>
        </w:rPr>
        <w:t>：</w:t>
      </w:r>
      <w:r>
        <w:rPr>
          <w:rFonts w:hint="default" w:ascii="仿宋_GB2312" w:hAnsi="宋体" w:eastAsia="仿宋_GB2312" w:cs="宋体"/>
          <w:color w:val="auto"/>
          <w:kern w:val="0"/>
          <w:sz w:val="32"/>
          <w:szCs w:val="32"/>
          <w:highlight w:val="none"/>
          <w:lang w:val="en-US" w:eastAsia="zh-CN"/>
        </w:rPr>
        <w:t>《关于下达2014年昌吉州面粉应急储备计划及考核相关事宜的通知》</w:t>
      </w:r>
      <w:r>
        <w:rPr>
          <w:rFonts w:hint="eastAsia" w:ascii="仿宋_GB2312" w:hAnsi="宋体" w:eastAsia="仿宋_GB2312" w:cs="宋体"/>
          <w:color w:val="auto"/>
          <w:kern w:val="0"/>
          <w:sz w:val="32"/>
          <w:szCs w:val="32"/>
          <w:highlight w:val="none"/>
          <w:lang w:val="en-US" w:eastAsia="zh-CN"/>
        </w:rPr>
        <w:t>、《新疆维吾尔自治区粮食安全保障条例》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25.00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资金分配情况：用于应急面粉保管费及贷款利息补贴</w:t>
      </w:r>
      <w:r>
        <w:rPr>
          <w:rFonts w:hint="eastAsia" w:ascii="仿宋_GB2312" w:hAnsi="宋体" w:eastAsia="仿宋_GB2312" w:cs="宋体"/>
          <w:color w:val="auto"/>
          <w:kern w:val="0"/>
          <w:sz w:val="32"/>
          <w:szCs w:val="32"/>
          <w:highlight w:val="none"/>
          <w:lang w:val="en-US" w:eastAsia="zh-CN"/>
        </w:rPr>
        <w:t>共计25.00万元。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w:t>
      </w:r>
      <w:r>
        <w:rPr>
          <w:rFonts w:hint="default" w:ascii="仿宋_GB2312" w:hAnsi="宋体" w:eastAsia="仿宋_GB2312" w:cs="宋体"/>
          <w:color w:val="auto"/>
          <w:kern w:val="0"/>
          <w:sz w:val="32"/>
          <w:szCs w:val="32"/>
          <w:highlight w:val="none"/>
          <w:lang w:val="en-US" w:eastAsia="zh-CN"/>
        </w:rPr>
        <w:t>.项目名称：2025年项目前期编制费(非定额）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预算安排规模：1000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资金分配情况：全县各项目前期费按比例分配至项目单位，预计支出委托业务费1000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w:t>
      </w:r>
      <w:r>
        <w:rPr>
          <w:rFonts w:hint="eastAsia" w:ascii="仿宋_GB2312" w:hAnsi="宋体" w:eastAsia="仿宋_GB2312" w:cs="宋体"/>
          <w:color w:val="auto"/>
          <w:kern w:val="0"/>
          <w:sz w:val="32"/>
          <w:szCs w:val="32"/>
          <w:highlight w:val="none"/>
          <w:lang w:val="en-US" w:eastAsia="zh-CN"/>
        </w:rPr>
        <w:t>5</w:t>
      </w:r>
      <w:r>
        <w:rPr>
          <w:rFonts w:hint="default" w:ascii="仿宋_GB2312" w:hAnsi="宋体" w:eastAsia="仿宋_GB2312" w:cs="宋体"/>
          <w:color w:val="auto"/>
          <w:kern w:val="0"/>
          <w:sz w:val="32"/>
          <w:szCs w:val="32"/>
          <w:highlight w:val="none"/>
          <w:lang w:val="en-US" w:eastAsia="zh-CN"/>
        </w:rPr>
        <w:t>年1月1日-202</w:t>
      </w:r>
      <w:r>
        <w:rPr>
          <w:rFonts w:hint="eastAsia" w:ascii="仿宋_GB2312" w:hAnsi="宋体" w:eastAsia="仿宋_GB2312" w:cs="宋体"/>
          <w:color w:val="auto"/>
          <w:kern w:val="0"/>
          <w:sz w:val="32"/>
          <w:szCs w:val="32"/>
          <w:highlight w:val="none"/>
          <w:lang w:val="en-US" w:eastAsia="zh-CN"/>
        </w:rPr>
        <w:t>5</w:t>
      </w:r>
      <w:r>
        <w:rPr>
          <w:rFonts w:hint="default" w:ascii="仿宋_GB2312" w:hAnsi="宋体" w:eastAsia="仿宋_GB2312" w:cs="宋体"/>
          <w:color w:val="auto"/>
          <w:kern w:val="0"/>
          <w:sz w:val="32"/>
          <w:szCs w:val="32"/>
          <w:highlight w:val="none"/>
          <w:lang w:val="en-US" w:eastAsia="zh-CN"/>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7.项目名称：特定目标10100123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预算安排规模：19553.60万元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资金执行时间：完全不予公开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、关于呼图壁县发展和改革委员会2025年政府性基金预算拨款情况说明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呼图壁县发展和改革委员会2025年没有使用政府性基金预算拨款安排的支出，政府性基金预算支出情况表为空表。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关于呼图壁县发展和改革委员会2025年国有资本经营预算拨款情况说明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呼图壁县发展和改革委员会2025年没有使用国有资本经营预算拨款安排的支出，国有资本经营预算支出情况表为空表。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、关于呼图壁县发展和改革委员会2025年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呼图壁县发展和改革委员会2025年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5.73</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0.93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1.55%，</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color w:val="auto"/>
          <w:kern w:val="0"/>
          <w:sz w:val="32"/>
          <w:szCs w:val="32"/>
          <w:highlight w:val="none"/>
          <w:lang w:val="en-US" w:eastAsia="zh-CN"/>
        </w:rPr>
        <w:t>因公出国（境）费0万元，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lang w:eastAsia="zh-CN"/>
        </w:rPr>
        <w:t>公务用车购置费</w:t>
      </w:r>
      <w:r>
        <w:rPr>
          <w:rFonts w:hint="eastAsia" w:ascii="仿宋_GB2312" w:hAnsi="宋体" w:eastAsia="仿宋_GB2312" w:cs="宋体"/>
          <w:color w:val="auto"/>
          <w:kern w:val="0"/>
          <w:sz w:val="32"/>
          <w:szCs w:val="32"/>
          <w:highlight w:val="none"/>
          <w:lang w:val="en-US" w:eastAsia="zh-CN"/>
        </w:rPr>
        <w:t>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 w:hAnsi="微软雅黑" w:eastAsia="仿宋"/>
          <w:sz w:val="32"/>
          <w:szCs w:val="32"/>
          <w:highlight w:val="none"/>
        </w:rPr>
        <w:t>严格执行中央八项规定，三公经费只减不增</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本年度在职人员减少，公务接待费标准减少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、关于呼图壁县发展和改革委员会2025年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kern w:val="0"/>
          <w:sz w:val="32"/>
          <w:szCs w:val="32"/>
          <w:highlight w:val="none"/>
          <w:lang w:val="en-US" w:eastAsia="zh-CN"/>
        </w:rPr>
        <w:t>上年结转结余613.00万元，包括：财政拨款613.00万元，非财政拨款0万元，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1.2024年为民办实事工作队经费10.00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主要用于：访贫问苦，为群众送温暖；组织开展各类活动；为困难群众房屋修缮等。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2.关于调整下达2024年中央产粮大县奖励资金预算的通知603.00万元，主要用于奖励企业产粮大县奖励资金等。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呼图壁县发展和改革委员会2025年的机关运行经费财政拨款预算</w:t>
      </w:r>
      <w:r>
        <w:rPr>
          <w:rFonts w:hint="eastAsia" w:ascii="仿宋_GB2312" w:hAnsi="仿宋_GB2312" w:eastAsia="仿宋_GB2312" w:cs="仿宋_GB2312"/>
          <w:color w:val="auto"/>
          <w:kern w:val="0"/>
          <w:sz w:val="32"/>
          <w:szCs w:val="32"/>
          <w:highlight w:val="none"/>
          <w:lang w:val="en-US" w:eastAsia="zh-CN"/>
        </w:rPr>
        <w:t>17.22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减少1.12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下降6.11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本年度在职人员减少，公用经费标准减少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年，呼图壁县发展和改革委员会政府采购预算</w:t>
      </w:r>
      <w:r>
        <w:rPr>
          <w:rFonts w:hint="eastAsia" w:ascii="仿宋_GB2312" w:hAnsi="仿宋_GB2312" w:eastAsia="仿宋_GB2312" w:cs="仿宋_GB2312"/>
          <w:color w:val="auto"/>
          <w:kern w:val="0"/>
          <w:sz w:val="32"/>
          <w:szCs w:val="32"/>
          <w:highlight w:val="none"/>
          <w:lang w:val="en-US" w:eastAsia="zh-CN"/>
        </w:rPr>
        <w:t>175.31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43.40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131.91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年，呼图壁县发展和改革委员会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175.31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175.31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年底，呼图壁县发展和改革委员会占用使用国有资产总体情况为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3611.24</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962.98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43.83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43.83</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166.27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部门价值50万元以上大型设备0台，单位价值100万元以上大型设备0台。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年部门预算未安排购置车辆经费，安排购置50万元以上大型设备0台，单位价值100万元以上大型设备0台。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1"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整体预算绩效目标1个，涉及预算金额22175.76万元；当年预算安排项目共8个，其中: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1个，涉及预算金额20684.95万元；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0.19</w:t>
      </w:r>
      <w:r>
        <w:rPr>
          <w:rFonts w:hint="eastAsia" w:ascii="仿宋_GB2312" w:hAnsi="仿宋_GB2312" w:eastAsia="仿宋_GB2312" w:cs="仿宋_GB2312"/>
          <w:color w:val="auto"/>
          <w:kern w:val="0"/>
          <w:sz w:val="32"/>
          <w:szCs w:val="32"/>
          <w:highlight w:val="none"/>
        </w:rPr>
        <w:t>万元。具体情况见下表</w:t>
      </w:r>
      <w:bookmarkEnd w:id="1"/>
      <w:r>
        <w:rPr>
          <w:rFonts w:hint="eastAsia" w:ascii="仿宋_GB2312" w:hAnsi="仿宋_GB2312" w:eastAsia="仿宋_GB2312" w:cs="仿宋_GB2312"/>
          <w:color w:val="auto"/>
          <w:kern w:val="0"/>
          <w:sz w:val="32"/>
          <w:szCs w:val="32"/>
          <w:highlight w:val="none"/>
          <w:lang w:val="en-US" w:eastAsia="zh-CN"/>
        </w:rPr>
        <w:t>:</w:t>
      </w: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595"/>
        <w:gridCol w:w="1429"/>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left"/>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7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62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7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张烁屿</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19915050181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71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62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一）抓规划谋发展，积极作好参谋助手。（二）用好前期要素保障，抓好项目前期办理,加大前期手续保障力度,加大资金保障力度,做好项目入库入统指导帮扶力度。（三）统筹项目管理，不断扩大有效投资,聚焦固投目标任务,加大资金争取力度以及项目管理力度,落实好项目调度机制。（四）释放能源优势，持续优化能源结构,加强推进白杨河矿区总规调整,加速推进煤炭资源开发,统筹推进新能源项目建设。（五）强化粮食保障，扛起粮食安全责任,推动粮食项目建设,保障应急面粉粮权归属,强化价格管理工作。（六）坚持服务至上，持续优化营商环境,深化“放管服”改革,抓好问题落实,加强营商环境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71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71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19555.95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71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2292.62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71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327.19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59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编制项目个数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cs="宋体"/>
                <w:i w:val="0"/>
                <w:iCs w:val="0"/>
                <w:color w:val="000000"/>
                <w:sz w:val="20"/>
                <w:szCs w:val="20"/>
                <w:highlight w:val="none"/>
                <w:u w:val="none"/>
                <w:lang w:eastAsia="zh-CN"/>
              </w:rPr>
            </w:pP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应急面粉达到吨数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=750吨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cs="宋体"/>
                <w:i w:val="0"/>
                <w:iCs w:val="0"/>
                <w:color w:val="000000"/>
                <w:sz w:val="20"/>
                <w:szCs w:val="20"/>
                <w:highlight w:val="none"/>
                <w:u w:val="none"/>
                <w:lang w:eastAsia="zh-CN"/>
              </w:rPr>
            </w:pP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“十五五”规划</w:t>
            </w:r>
            <w:r>
              <w:rPr>
                <w:rFonts w:hint="eastAsia" w:ascii="宋体" w:hAnsi="宋体" w:eastAsia="宋体" w:cs="宋体"/>
                <w:i w:val="0"/>
                <w:iCs w:val="0"/>
                <w:color w:val="000000"/>
                <w:kern w:val="0"/>
                <w:sz w:val="18"/>
                <w:szCs w:val="18"/>
                <w:highlight w:val="none"/>
                <w:u w:val="none"/>
                <w:lang w:val="en-US" w:eastAsia="zh-CN" w:bidi="ar"/>
              </w:rPr>
              <w:t>编制成果数量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应急面粉质量合格率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w:t>
            </w:r>
            <w:bookmarkStart w:id="2" w:name="_GoBack"/>
            <w:bookmarkEnd w:id="2"/>
            <w:r>
              <w:rPr>
                <w:rFonts w:hint="eastAsia" w:ascii="宋体" w:hAnsi="宋体" w:eastAsia="宋体" w:cs="宋体"/>
                <w:i w:val="0"/>
                <w:iCs w:val="0"/>
                <w:color w:val="000000"/>
                <w:kern w:val="0"/>
                <w:sz w:val="16"/>
                <w:szCs w:val="16"/>
                <w:highlight w:val="none"/>
                <w:u w:val="none"/>
                <w:lang w:val="en-US" w:eastAsia="zh-CN" w:bidi="ar"/>
              </w:rPr>
              <w:t>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应急面粉检查及时率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r>
    </w:tbl>
    <w:tbl>
      <w:tblPr>
        <w:tblStyle w:val="7"/>
        <w:tblpPr w:leftFromText="181" w:rightFromText="181" w:vertAnchor="text" w:horzAnchor="page" w:tblpX="1396" w:tblpY="51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呼图壁县国民经济和社会发展第十五个五年规划和2035年远景目标纲要前期思路研究及编制（非定额）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70</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完成呼图壁县国民经济和社会发展第十五个五年规划和2035年远景目标纲要前期思路研究及编制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规划编制成果数量</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&gt;=1套</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规划项目合同履约率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11</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规划编制成果合格率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十五个五年规划报告编制及时率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呼图壁县国民经济和社会发展第十五个五年规划编制成本</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&lt;=70万/个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促进国民经济持续快速协调健康发展和社会全面进步</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单位满意度（%）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tbl>
      <w:tblPr>
        <w:tblStyle w:val="7"/>
        <w:tblpPr w:leftFromText="180" w:rightFromText="180" w:vertAnchor="text" w:horzAnchor="page" w:tblpX="1395" w:tblpY="227"/>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7"/>
        <w:gridCol w:w="772"/>
        <w:gridCol w:w="1868"/>
        <w:gridCol w:w="987"/>
        <w:gridCol w:w="954"/>
        <w:gridCol w:w="699"/>
        <w:gridCol w:w="879"/>
        <w:gridCol w:w="1000"/>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0" w:type="auto"/>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0" w:type="auto"/>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0" w:type="auto"/>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0" w:type="auto"/>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人民防空工作经费（非定额）</w:t>
            </w:r>
          </w:p>
        </w:tc>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0" w:type="auto"/>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0" w:type="auto"/>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完成安装人民防空警报器至少1个。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完成安装人民防空警报器</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设备质量合格率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人民防空警报器安装及时率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人民防空警报器的安装标准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&lt;=30万元/个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保障人民防空通信、警报的畅通</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0" w:type="auto"/>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提升人民群众国防动员和人民防控意识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群众满意度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tbl>
      <w:tblPr>
        <w:tblStyle w:val="7"/>
        <w:tblpPr w:leftFromText="181" w:rightFromText="181" w:vertAnchor="text" w:horzAnchor="page" w:tblpX="1396" w:tblpY="34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粮食质量安全检查和监测经费（非定额）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本项目总投资4万元，主要用于开展粮食质量安全检查和监测所需的必要合理费用。根据我县粮食实际种植面积、品种分布等情况，重点对当年新收获的小麦、玉米等主要粮食品种进行监测，按照每2000吨粮食产量应安排不少于1个样品检验常规质量指标，完成我县粮食质量安全监管工作，守护公众健康，保障了粮食产量健康发展，维护国家粮食安全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小麦质量安全监测数量</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&gt;=36份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=30份</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16</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小麦监测质量合格率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玉米监测质量合格率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粮食质量安全监测及时率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粮食质量检测所需试纸费用</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&lt;=5000元/盒</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=3200元/盒</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确保粮食各项指标符合国家标准值</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合格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合格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群众满意度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tbl>
      <w:tblPr>
        <w:tblStyle w:val="7"/>
        <w:tblpPr w:leftFromText="181" w:rightFromText="181" w:vertAnchor="text" w:horzAnchor="page" w:tblpX="1396" w:tblpY="51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固定数额－农产品成本调查经费</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2.35</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通过农产品成本调查，主要农副产品价格监测，为制定农产品价格、财政补贴、保险及农业支持政策提供参考数据，为建立农资综合补贴动态调整机制提供成本数据，为农业补贴的调整提供科学依据。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开展农本实地调查次数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&gt;=2次</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=2次</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47"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市场价格监测品种数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&gt;=15种</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=12种</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47"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开展监测实地调查次数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&gt;=3次</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=3次</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价格监测预警覆盖比率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&gt;=97%</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按要求上报成本数据及分析及时率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开展农产品调查工作成本</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&lt;=1.85万元</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=1.68万元</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开展价格监测工作成本</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&lt;=0.5万元</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防范农产品异常波动</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价格监测定点单位人员满意度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地方成品粮储备经费（非定额）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本项目总投资25万元，主要用于地方成品粮储备经费。该项目的实施，持续巩固我县粮食应急保供网络体系，确保发生情况时网点应急保供作用有效发挥，筑牢县域粮食安全防线。全县建立应急供应网点10处，7个农牧区乡镇各1处，县城3处，形成了覆盖区域内全部乡镇和社区的应急供应网络。由中粮八一面业（呼图壁）有限公司代储呼图壁县应急面粉750吨，面粉质量为特一等，确保呼图壁县在严重自然灾害和紧急状态下15天的粮食供应。通过构建完备的储备应急粮油体系，提升政府应对突发事件的能力，为人民群众筑牢坚实的生活保障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应急面粉达到吨数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=750吨</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=750吨</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47"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应急网点数量</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&lt;=10个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=10个</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应急面粉质量合格率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应急面粉轮转及时率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750吨应急面粉保管费标准</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&lt;=15万元/年</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=15万元/年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提升我县应急粮油应急保障能力</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有效提升</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有效提升</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企业满意度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tbl>
      <w:tblPr>
        <w:tblStyle w:val="7"/>
        <w:tblpPr w:leftFromText="181" w:rightFromText="181" w:vertAnchor="text" w:horzAnchor="page" w:tblpX="1396" w:tblpY="1267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2025年项目前期编制费(非定额）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全县申请中央预算内资金、地方政府专项债资金等上级资金的项目前期手续办理给予一定支持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编制项目个数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&gt;=15个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编制项目的合规率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项目入库入统率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&gt;=80%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编制项目的及时率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项目的前期费标准</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&lt;=200万元/个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开展项目实施对全县经济有所提高</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项目单位满意度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sz w:val="28"/>
          <w:szCs w:val="28"/>
          <w:highlight w:val="none"/>
        </w:rPr>
      </w:pPr>
      <w:r>
        <w:rPr>
          <w:rFonts w:hint="eastAsia" w:ascii="仿宋" w:hAnsi="仿宋" w:eastAsia="仿宋" w:cs="仿宋"/>
          <w:sz w:val="32"/>
          <w:szCs w:val="32"/>
          <w:highlight w:val="none"/>
        </w:rPr>
        <w:t>本部门</w:t>
      </w:r>
      <w:r>
        <w:rPr>
          <w:rFonts w:hint="eastAsia" w:ascii="仿宋" w:hAnsi="仿宋" w:eastAsia="仿宋" w:cs="仿宋"/>
          <w:sz w:val="32"/>
          <w:szCs w:val="32"/>
          <w:highlight w:val="none"/>
          <w:lang w:eastAsia="zh-CN"/>
        </w:rPr>
        <w:t>涉及</w:t>
      </w:r>
      <w:r>
        <w:rPr>
          <w:rFonts w:hint="eastAsia" w:ascii="仿宋" w:hAnsi="仿宋" w:eastAsia="仿宋" w:cs="仿宋"/>
          <w:sz w:val="32"/>
          <w:szCs w:val="32"/>
          <w:highlight w:val="none"/>
        </w:rPr>
        <w:t>非财政拨款项目</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个，涉及预算金额</w:t>
      </w:r>
      <w:r>
        <w:rPr>
          <w:rFonts w:hint="eastAsia" w:ascii="仿宋" w:hAnsi="仿宋" w:eastAsia="仿宋" w:cs="仿宋"/>
          <w:sz w:val="32"/>
          <w:szCs w:val="32"/>
          <w:highlight w:val="none"/>
          <w:lang w:val="en-US" w:eastAsia="zh-CN"/>
        </w:rPr>
        <w:t>0.19</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，主要原因是用于</w:t>
      </w:r>
      <w:r>
        <w:rPr>
          <w:rFonts w:hint="eastAsia" w:ascii="仿宋" w:hAnsi="仿宋" w:eastAsia="仿宋" w:cs="仿宋"/>
          <w:i w:val="0"/>
          <w:iCs w:val="0"/>
          <w:color w:val="000000"/>
          <w:kern w:val="0"/>
          <w:sz w:val="32"/>
          <w:szCs w:val="32"/>
          <w:highlight w:val="none"/>
          <w:u w:val="none"/>
          <w:lang w:val="en-US" w:eastAsia="zh-CN" w:bidi="ar"/>
        </w:rPr>
        <w:t>调查城乡居民户调查补助</w:t>
      </w:r>
      <w:r>
        <w:rPr>
          <w:rFonts w:hint="eastAsia" w:ascii="仿宋" w:hAnsi="仿宋" w:eastAsia="仿宋" w:cs="仿宋"/>
          <w:sz w:val="32"/>
          <w:szCs w:val="32"/>
          <w:highlight w:val="none"/>
          <w:lang w:eastAsia="zh-CN"/>
        </w:rPr>
        <w:t>经费，</w:t>
      </w:r>
      <w:r>
        <w:rPr>
          <w:rFonts w:hint="eastAsia" w:ascii="仿宋" w:hAnsi="仿宋" w:eastAsia="仿宋" w:cs="仿宋"/>
          <w:sz w:val="32"/>
          <w:szCs w:val="32"/>
          <w:highlight w:val="none"/>
        </w:rPr>
        <w:t>不公开绩效目标表</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sm</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个，涉及预算金额</w:t>
      </w:r>
      <w:r>
        <w:rPr>
          <w:rFonts w:hint="eastAsia" w:ascii="仿宋" w:hAnsi="仿宋" w:eastAsia="仿宋" w:cs="仿宋"/>
          <w:color w:val="auto"/>
          <w:kern w:val="0"/>
          <w:sz w:val="32"/>
          <w:szCs w:val="32"/>
          <w:highlight w:val="none"/>
          <w:lang w:val="en-US" w:eastAsia="zh-CN"/>
        </w:rPr>
        <w:t>19553.60万元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left"/>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left"/>
        <w:textAlignment w:val="auto"/>
        <w:outlineLvl w:val="9"/>
        <w:rPr>
          <w:rFonts w:hint="default" w:ascii="仿宋_GB2312" w:hAnsi="宋体" w:eastAsia="仿宋_GB2312" w:cs="宋体"/>
          <w:kern w:val="0"/>
          <w:sz w:val="32"/>
          <w:szCs w:val="32"/>
          <w:highlight w:val="none"/>
          <w:lang w:val="en-US" w:eastAsia="zh-CN"/>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呼图壁县发展和改革委员会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14</w:t>
      </w:r>
      <w:r>
        <w:rPr>
          <w:rFonts w:ascii="仿宋_GB2312" w:hAnsi="宋体" w:eastAsia="仿宋_GB2312" w:cs="宋体"/>
          <w:kern w:val="0"/>
          <w:sz w:val="32"/>
          <w:szCs w:val="32"/>
          <w:highlight w:val="none"/>
        </w:rPr>
        <w:t>日</w:t>
      </w:r>
    </w:p>
    <w:p>
      <w:pPr>
        <w:rPr>
          <w:highlight w:val="none"/>
        </w:rPr>
      </w:pPr>
    </w:p>
    <w:p>
      <w:pPr>
        <w:rPr>
          <w:highlight w:val="none"/>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00172A27"/>
    <w:rsid w:val="00BF1544"/>
    <w:rsid w:val="00E41A1F"/>
    <w:rsid w:val="017B2F92"/>
    <w:rsid w:val="020E507E"/>
    <w:rsid w:val="02732F8E"/>
    <w:rsid w:val="027C74A2"/>
    <w:rsid w:val="02CB7F49"/>
    <w:rsid w:val="037800D1"/>
    <w:rsid w:val="04267087"/>
    <w:rsid w:val="04267B2D"/>
    <w:rsid w:val="044C330C"/>
    <w:rsid w:val="05397FD9"/>
    <w:rsid w:val="057A5F58"/>
    <w:rsid w:val="05CA273A"/>
    <w:rsid w:val="06956BFC"/>
    <w:rsid w:val="070E6657"/>
    <w:rsid w:val="080E3E4F"/>
    <w:rsid w:val="08154250"/>
    <w:rsid w:val="084451C2"/>
    <w:rsid w:val="08450B28"/>
    <w:rsid w:val="08762705"/>
    <w:rsid w:val="088F5575"/>
    <w:rsid w:val="08BA4064"/>
    <w:rsid w:val="08E81855"/>
    <w:rsid w:val="0A4168EC"/>
    <w:rsid w:val="0AD672A7"/>
    <w:rsid w:val="0B247F12"/>
    <w:rsid w:val="0B7C3034"/>
    <w:rsid w:val="0B841FFD"/>
    <w:rsid w:val="0BD56A2F"/>
    <w:rsid w:val="0C0A3890"/>
    <w:rsid w:val="0CD20198"/>
    <w:rsid w:val="0CEC568C"/>
    <w:rsid w:val="0D6E5FD0"/>
    <w:rsid w:val="0D6F1519"/>
    <w:rsid w:val="0E320E7D"/>
    <w:rsid w:val="0E9208E7"/>
    <w:rsid w:val="10587512"/>
    <w:rsid w:val="105D0E37"/>
    <w:rsid w:val="10916BDA"/>
    <w:rsid w:val="11036B00"/>
    <w:rsid w:val="11301FEB"/>
    <w:rsid w:val="11B6451D"/>
    <w:rsid w:val="121E62E8"/>
    <w:rsid w:val="1697741D"/>
    <w:rsid w:val="175233D3"/>
    <w:rsid w:val="19384682"/>
    <w:rsid w:val="19A215AC"/>
    <w:rsid w:val="1A132B78"/>
    <w:rsid w:val="1A317700"/>
    <w:rsid w:val="1AC437A4"/>
    <w:rsid w:val="1B153D26"/>
    <w:rsid w:val="1BEB54C3"/>
    <w:rsid w:val="1C3C6084"/>
    <w:rsid w:val="1C8C02F2"/>
    <w:rsid w:val="1D3E1AFE"/>
    <w:rsid w:val="1E6432D4"/>
    <w:rsid w:val="1E89232D"/>
    <w:rsid w:val="1EB61656"/>
    <w:rsid w:val="1F1367A1"/>
    <w:rsid w:val="20407429"/>
    <w:rsid w:val="20484045"/>
    <w:rsid w:val="20CF3CE4"/>
    <w:rsid w:val="20DD55C0"/>
    <w:rsid w:val="21AE3C52"/>
    <w:rsid w:val="2264467A"/>
    <w:rsid w:val="22922CB8"/>
    <w:rsid w:val="22DB78DD"/>
    <w:rsid w:val="244D65B8"/>
    <w:rsid w:val="2492221D"/>
    <w:rsid w:val="24B42D8E"/>
    <w:rsid w:val="250855AF"/>
    <w:rsid w:val="25861C99"/>
    <w:rsid w:val="258B383C"/>
    <w:rsid w:val="25F917F5"/>
    <w:rsid w:val="263B7010"/>
    <w:rsid w:val="26B4291F"/>
    <w:rsid w:val="26BD282A"/>
    <w:rsid w:val="26E769FA"/>
    <w:rsid w:val="286D65BC"/>
    <w:rsid w:val="287961BD"/>
    <w:rsid w:val="28D9041B"/>
    <w:rsid w:val="293B2E83"/>
    <w:rsid w:val="2AC12F4F"/>
    <w:rsid w:val="2AFC4894"/>
    <w:rsid w:val="2B3A05DE"/>
    <w:rsid w:val="2B43250A"/>
    <w:rsid w:val="2B6901C6"/>
    <w:rsid w:val="2C3B750A"/>
    <w:rsid w:val="2CCC458F"/>
    <w:rsid w:val="2D480265"/>
    <w:rsid w:val="2D977453"/>
    <w:rsid w:val="2E2943BA"/>
    <w:rsid w:val="2EF22236"/>
    <w:rsid w:val="2FED29FE"/>
    <w:rsid w:val="300E1D4A"/>
    <w:rsid w:val="30B05F05"/>
    <w:rsid w:val="310F3573"/>
    <w:rsid w:val="32D44747"/>
    <w:rsid w:val="32D560F7"/>
    <w:rsid w:val="33A76F60"/>
    <w:rsid w:val="341E7629"/>
    <w:rsid w:val="35ED794E"/>
    <w:rsid w:val="35F117C8"/>
    <w:rsid w:val="37147434"/>
    <w:rsid w:val="38284F1B"/>
    <w:rsid w:val="3956600E"/>
    <w:rsid w:val="39B0409D"/>
    <w:rsid w:val="3AB3405B"/>
    <w:rsid w:val="3B616D7B"/>
    <w:rsid w:val="3B7B129C"/>
    <w:rsid w:val="3BE45FB7"/>
    <w:rsid w:val="3BF21AC7"/>
    <w:rsid w:val="3C013037"/>
    <w:rsid w:val="3FDF4D23"/>
    <w:rsid w:val="41083B3B"/>
    <w:rsid w:val="41270465"/>
    <w:rsid w:val="41DB2FFE"/>
    <w:rsid w:val="420D20CB"/>
    <w:rsid w:val="42F779C3"/>
    <w:rsid w:val="43502DA9"/>
    <w:rsid w:val="43C26223"/>
    <w:rsid w:val="43D8307E"/>
    <w:rsid w:val="44507CD3"/>
    <w:rsid w:val="44AF5181"/>
    <w:rsid w:val="455A018C"/>
    <w:rsid w:val="46B02CAB"/>
    <w:rsid w:val="46CE3131"/>
    <w:rsid w:val="49115D6F"/>
    <w:rsid w:val="493059DD"/>
    <w:rsid w:val="494F7907"/>
    <w:rsid w:val="49832859"/>
    <w:rsid w:val="4ADF73DC"/>
    <w:rsid w:val="4B1B26BD"/>
    <w:rsid w:val="4B315A3D"/>
    <w:rsid w:val="4BAD7652"/>
    <w:rsid w:val="4C0055E5"/>
    <w:rsid w:val="4C3677AE"/>
    <w:rsid w:val="4C706B3A"/>
    <w:rsid w:val="4F3246D5"/>
    <w:rsid w:val="4F3B332E"/>
    <w:rsid w:val="4F707062"/>
    <w:rsid w:val="4F806E46"/>
    <w:rsid w:val="506068C5"/>
    <w:rsid w:val="51C15CED"/>
    <w:rsid w:val="52285DEB"/>
    <w:rsid w:val="52AD62F0"/>
    <w:rsid w:val="53A94D0A"/>
    <w:rsid w:val="546308FE"/>
    <w:rsid w:val="54F11DCB"/>
    <w:rsid w:val="55A25EB5"/>
    <w:rsid w:val="56FE59C9"/>
    <w:rsid w:val="570D735E"/>
    <w:rsid w:val="571B2674"/>
    <w:rsid w:val="58024DF3"/>
    <w:rsid w:val="5830463D"/>
    <w:rsid w:val="589917F1"/>
    <w:rsid w:val="58A44746"/>
    <w:rsid w:val="595C565F"/>
    <w:rsid w:val="59B241EC"/>
    <w:rsid w:val="5A5E27F6"/>
    <w:rsid w:val="5A704801"/>
    <w:rsid w:val="5A8C5E4D"/>
    <w:rsid w:val="5AED2A9A"/>
    <w:rsid w:val="5C883CF7"/>
    <w:rsid w:val="5D370993"/>
    <w:rsid w:val="5D9E1657"/>
    <w:rsid w:val="5E225DE5"/>
    <w:rsid w:val="5E257683"/>
    <w:rsid w:val="5E7802BC"/>
    <w:rsid w:val="5E8048D4"/>
    <w:rsid w:val="5EE078B0"/>
    <w:rsid w:val="5F0D5523"/>
    <w:rsid w:val="5F2346ED"/>
    <w:rsid w:val="61086613"/>
    <w:rsid w:val="61686204"/>
    <w:rsid w:val="61803052"/>
    <w:rsid w:val="62917095"/>
    <w:rsid w:val="630E06E5"/>
    <w:rsid w:val="63616199"/>
    <w:rsid w:val="637E69AE"/>
    <w:rsid w:val="63BB4A83"/>
    <w:rsid w:val="6408782B"/>
    <w:rsid w:val="64BF2E8E"/>
    <w:rsid w:val="65322CBF"/>
    <w:rsid w:val="65B35574"/>
    <w:rsid w:val="65C658ED"/>
    <w:rsid w:val="65F242EE"/>
    <w:rsid w:val="67BD2540"/>
    <w:rsid w:val="68CC52CB"/>
    <w:rsid w:val="68DE4FFE"/>
    <w:rsid w:val="691B0000"/>
    <w:rsid w:val="694B58D7"/>
    <w:rsid w:val="69CE4E15"/>
    <w:rsid w:val="6B3E7E06"/>
    <w:rsid w:val="6B7F3246"/>
    <w:rsid w:val="6BC049D4"/>
    <w:rsid w:val="6BF904A6"/>
    <w:rsid w:val="6C6E089E"/>
    <w:rsid w:val="6CB5251A"/>
    <w:rsid w:val="6CC4687C"/>
    <w:rsid w:val="6CD429A0"/>
    <w:rsid w:val="6EF07839"/>
    <w:rsid w:val="6F63000B"/>
    <w:rsid w:val="6FCF0C72"/>
    <w:rsid w:val="70275B8D"/>
    <w:rsid w:val="7119058B"/>
    <w:rsid w:val="71500A63"/>
    <w:rsid w:val="717C1858"/>
    <w:rsid w:val="72232150"/>
    <w:rsid w:val="72B56DCF"/>
    <w:rsid w:val="72E964BC"/>
    <w:rsid w:val="735C7C42"/>
    <w:rsid w:val="74B23A83"/>
    <w:rsid w:val="74D07EF1"/>
    <w:rsid w:val="75B570E6"/>
    <w:rsid w:val="75BF3AC1"/>
    <w:rsid w:val="761E52FA"/>
    <w:rsid w:val="7706409E"/>
    <w:rsid w:val="777E177D"/>
    <w:rsid w:val="7797777E"/>
    <w:rsid w:val="780A1873"/>
    <w:rsid w:val="787D11B8"/>
    <w:rsid w:val="78A771BA"/>
    <w:rsid w:val="78AC6820"/>
    <w:rsid w:val="792C5912"/>
    <w:rsid w:val="7BB02654"/>
    <w:rsid w:val="7CBA4FE2"/>
    <w:rsid w:val="7D06612B"/>
    <w:rsid w:val="7D19514C"/>
    <w:rsid w:val="7D8D5454"/>
    <w:rsid w:val="7E5401F5"/>
    <w:rsid w:val="7E583C2C"/>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13427</Words>
  <Characters>16876</Characters>
  <Lines>0</Lines>
  <Paragraphs>0</Paragraphs>
  <TotalTime>0</TotalTime>
  <ScaleCrop>false</ScaleCrop>
  <LinksUpToDate>false</LinksUpToDate>
  <CharactersWithSpaces>17747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2025-05-27T05:01:19Z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A683C9FB7F854596A03DC3067454AFBB</vt:lpwstr>
  </property>
  <property fmtid="{D5CDD505-2E9C-101B-9397-08002B2CF9AE}" pid="4" name="KSOTemplateDocerSaveRecord">
    <vt:lpwstr>eyJoZGlkIjoiMDljYzUzMWQ4OWI0YzBkYjYzMDRhZTY5ZjZkYmFmYTgiLCJ1c2VySWQiOiI1ODMzMjMyMTIifQ==</vt:lpwstr>
  </property>
</Properties>
</file>