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keepNext w:val="0"/>
        <w:keepLines w:val="0"/>
        <w:widowControl/>
        <w:suppressLineNumbers w:val="0"/>
        <w:jc w:val="center"/>
        <w:rPr>
          <w:rFonts w:ascii="微软雅黑" w:hAnsi="微软雅黑" w:eastAsia="微软雅黑" w:cs="微软雅黑"/>
          <w:color w:val="000000"/>
          <w:kern w:val="0"/>
          <w:sz w:val="43"/>
          <w:szCs w:val="43"/>
          <w:lang w:val="en-US" w:eastAsia="zh-CN" w:bidi="ar"/>
        </w:rPr>
      </w:pPr>
      <w:r>
        <w:rPr>
          <w:rFonts w:ascii="微软雅黑" w:hAnsi="微软雅黑" w:eastAsia="微软雅黑" w:cs="微软雅黑"/>
          <w:color w:val="000000"/>
          <w:kern w:val="0"/>
          <w:sz w:val="43"/>
          <w:szCs w:val="43"/>
          <w:lang w:val="en-US" w:eastAsia="zh-CN" w:bidi="ar"/>
        </w:rPr>
        <w:t>呼图壁县商务和工业信息化局</w:t>
      </w:r>
    </w:p>
    <w:p>
      <w:pPr>
        <w:keepNext w:val="0"/>
        <w:keepLines w:val="0"/>
        <w:widowControl/>
        <w:suppressLineNumbers w:val="0"/>
        <w:jc w:val="center"/>
      </w:pPr>
      <w:r>
        <w:rPr>
          <w:rFonts w:ascii="微软雅黑" w:hAnsi="微软雅黑" w:eastAsia="微软雅黑" w:cs="微软雅黑"/>
          <w:color w:val="000000"/>
          <w:kern w:val="0"/>
          <w:sz w:val="43"/>
          <w:szCs w:val="43"/>
          <w:lang w:val="en-US" w:eastAsia="zh-CN" w:bidi="ar"/>
        </w:rPr>
        <w:t>202</w:t>
      </w:r>
      <w:r>
        <w:rPr>
          <w:rFonts w:hint="eastAsia" w:ascii="微软雅黑" w:hAnsi="微软雅黑" w:eastAsia="微软雅黑" w:cs="微软雅黑"/>
          <w:color w:val="000000"/>
          <w:kern w:val="0"/>
          <w:sz w:val="43"/>
          <w:szCs w:val="43"/>
          <w:lang w:val="en-US" w:eastAsia="zh-CN" w:bidi="ar"/>
        </w:rPr>
        <w:t>5</w:t>
      </w:r>
      <w:r>
        <w:rPr>
          <w:rFonts w:ascii="微软雅黑" w:hAnsi="微软雅黑" w:eastAsia="微软雅黑" w:cs="微软雅黑"/>
          <w:color w:val="000000"/>
          <w:kern w:val="0"/>
          <w:sz w:val="43"/>
          <w:szCs w:val="43"/>
          <w:lang w:val="en-US" w:eastAsia="zh-CN" w:bidi="ar"/>
        </w:rPr>
        <w:t>年</w:t>
      </w:r>
      <w:r>
        <w:rPr>
          <w:rFonts w:hint="eastAsia" w:ascii="微软雅黑" w:hAnsi="微软雅黑" w:eastAsia="微软雅黑" w:cs="微软雅黑"/>
          <w:color w:val="000000"/>
          <w:kern w:val="0"/>
          <w:sz w:val="43"/>
          <w:szCs w:val="43"/>
          <w:lang w:val="en-US" w:eastAsia="zh-CN" w:bidi="ar"/>
        </w:rPr>
        <w:t>部门</w:t>
      </w:r>
      <w:r>
        <w:rPr>
          <w:rFonts w:ascii="微软雅黑" w:hAnsi="微软雅黑" w:eastAsia="微软雅黑" w:cs="微软雅黑"/>
          <w:color w:val="000000"/>
          <w:kern w:val="0"/>
          <w:sz w:val="43"/>
          <w:szCs w:val="43"/>
          <w:lang w:val="en-US" w:eastAsia="zh-CN" w:bidi="ar"/>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_GB2312" w:hAnsi="仿宋_GB2312" w:eastAsia="仿宋_GB2312" w:cs="仿宋_GB2312"/>
          <w:b/>
          <w:color w:val="auto"/>
          <w:kern w:val="0"/>
          <w:sz w:val="32"/>
          <w:szCs w:val="32"/>
          <w:highlight w:val="none"/>
        </w:rPr>
      </w:pPr>
      <w:r>
        <w:rPr>
          <w:rFonts w:hint="eastAsia" w:ascii="仿宋" w:hAnsi="仿宋" w:eastAsia="仿宋" w:cs="Times New Roman"/>
          <w:b/>
          <w:color w:val="000000"/>
          <w:sz w:val="28"/>
          <w:szCs w:val="28"/>
        </w:rPr>
        <w:t xml:space="preserve">第一部分  </w:t>
      </w:r>
      <w:r>
        <w:rPr>
          <w:rFonts w:hint="eastAsia" w:ascii="仿宋" w:hAnsi="仿宋" w:eastAsia="仿宋" w:cs="Times New Roman"/>
          <w:b/>
          <w:color w:val="000000"/>
          <w:sz w:val="28"/>
          <w:szCs w:val="28"/>
          <w:lang w:val="en-US" w:eastAsia="zh-CN"/>
        </w:rPr>
        <w:t>2025年呼图壁县商务和工业信息化局部门概况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cs="Times New Roman"/>
          <w:b/>
          <w:color w:val="000000"/>
          <w:sz w:val="28"/>
          <w:szCs w:val="28"/>
          <w:lang w:val="en-US" w:eastAsia="zh-CN"/>
        </w:rPr>
      </w:pPr>
      <w:r>
        <w:rPr>
          <w:rFonts w:hint="eastAsia" w:ascii="仿宋" w:hAnsi="仿宋" w:eastAsia="仿宋" w:cs="Times New Roman"/>
          <w:b/>
          <w:color w:val="000000"/>
          <w:sz w:val="28"/>
          <w:szCs w:val="28"/>
          <w:lang w:val="en-US" w:eastAsia="zh-CN"/>
        </w:rPr>
        <w:t>第二部分  2025年部门预算公开表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收支总体情况表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收入总体情况表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支出总体情况表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四、财政拨款收支</w:t>
      </w:r>
      <w:r>
        <w:rPr>
          <w:rFonts w:hint="eastAsia" w:ascii="仿宋" w:hAnsi="仿宋" w:eastAsia="仿宋" w:cs="Times New Roman"/>
          <w:color w:val="000000"/>
          <w:sz w:val="28"/>
          <w:szCs w:val="28"/>
          <w:lang w:val="en-US" w:eastAsia="zh-CN"/>
        </w:rPr>
        <w:t>预算</w:t>
      </w:r>
      <w:r>
        <w:rPr>
          <w:rFonts w:hint="eastAsia" w:ascii="仿宋" w:hAnsi="仿宋" w:eastAsia="仿宋" w:cs="Times New Roman"/>
          <w:color w:val="000000"/>
          <w:sz w:val="28"/>
          <w:szCs w:val="28"/>
        </w:rPr>
        <w:t>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五、一般公共预算支出情况表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六、一般公共预算基本支出情况表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七、一般公共预算项目支出情况表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、政府性基金预算支出情况表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国有资本经营预算支出情况表</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十、财政拨款“三公”经费支出情况表</w:t>
      </w:r>
    </w:p>
    <w:p>
      <w:pPr>
        <w:spacing w:line="560" w:lineRule="exact"/>
        <w:ind w:firstLine="560" w:firstLineChars="200"/>
        <w:jc w:val="left"/>
        <w:rPr>
          <w:rFonts w:hint="default"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十一、</w:t>
      </w:r>
      <w:r>
        <w:rPr>
          <w:rFonts w:hint="eastAsia" w:ascii="仿宋" w:hAnsi="仿宋" w:eastAsia="仿宋" w:cs="Times New Roman"/>
          <w:color w:val="000000"/>
          <w:sz w:val="28"/>
          <w:szCs w:val="28"/>
          <w:lang w:val="en-US" w:eastAsia="zh-Hans"/>
        </w:rPr>
        <w:t>上年结转</w:t>
      </w:r>
      <w:r>
        <w:rPr>
          <w:rFonts w:hint="eastAsia" w:ascii="仿宋" w:hAnsi="仿宋" w:eastAsia="仿宋" w:cs="Times New Roman"/>
          <w:color w:val="000000"/>
          <w:sz w:val="28"/>
          <w:szCs w:val="28"/>
          <w:lang w:val="en-US" w:eastAsia="zh-CN"/>
        </w:rPr>
        <w:t>结余</w:t>
      </w:r>
      <w:r>
        <w:rPr>
          <w:rFonts w:hint="eastAsia" w:ascii="仿宋" w:hAnsi="仿宋" w:eastAsia="仿宋" w:cs="Times New Roman"/>
          <w:color w:val="000000"/>
          <w:sz w:val="28"/>
          <w:szCs w:val="28"/>
          <w:lang w:val="en-US" w:eastAsia="zh-Hans"/>
        </w:rPr>
        <w:t>情况明细表</w:t>
      </w:r>
    </w:p>
    <w:p>
      <w:pPr>
        <w:spacing w:line="560" w:lineRule="exact"/>
        <w:ind w:firstLine="562" w:firstLineChars="200"/>
        <w:jc w:val="left"/>
        <w:rPr>
          <w:rFonts w:hint="eastAsia" w:ascii="仿宋" w:hAnsi="仿宋" w:eastAsia="仿宋" w:cs="Times New Roman"/>
          <w:b/>
          <w:color w:val="000000"/>
          <w:sz w:val="28"/>
          <w:szCs w:val="28"/>
          <w:lang w:val="en-US" w:eastAsia="zh-CN"/>
        </w:rPr>
      </w:pPr>
      <w:r>
        <w:rPr>
          <w:rFonts w:hint="eastAsia" w:ascii="仿宋" w:hAnsi="仿宋" w:eastAsia="仿宋" w:cs="Times New Roman"/>
          <w:b/>
          <w:color w:val="000000"/>
          <w:sz w:val="28"/>
          <w:szCs w:val="28"/>
          <w:lang w:val="en-US" w:eastAsia="zh-CN"/>
        </w:rPr>
        <w:t>第三部分  2025年部门预算情况说明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年收入预算情况说明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年支出预算情况说明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w:t>
      </w:r>
      <w:r>
        <w:rPr>
          <w:rFonts w:hint="eastAsia" w:ascii="仿宋" w:hAnsi="仿宋" w:eastAsia="仿宋" w:cs="Times New Roman"/>
          <w:color w:val="000000"/>
          <w:sz w:val="28"/>
          <w:szCs w:val="28"/>
        </w:rPr>
        <w:t>、关于呼图壁县商务和工业信息化局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Hans"/>
        </w:rPr>
        <w:t>财政拨款</w:t>
      </w:r>
      <w:r>
        <w:rPr>
          <w:rFonts w:hint="eastAsia" w:ascii="仿宋" w:hAnsi="仿宋" w:eastAsia="仿宋" w:cs="Times New Roman"/>
          <w:color w:val="000000"/>
          <w:sz w:val="28"/>
          <w:szCs w:val="28"/>
        </w:rPr>
        <w:t>“三公”经费预算情况说明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十</w:t>
      </w:r>
      <w:r>
        <w:rPr>
          <w:rFonts w:hint="eastAsia" w:ascii="仿宋" w:hAnsi="仿宋" w:eastAsia="仿宋" w:cs="Times New Roman"/>
          <w:color w:val="000000"/>
          <w:sz w:val="28"/>
          <w:szCs w:val="28"/>
          <w:lang w:val="en-US" w:eastAsia="zh-Hans"/>
        </w:rPr>
        <w:t>一</w:t>
      </w:r>
      <w:r>
        <w:rPr>
          <w:rFonts w:hint="eastAsia" w:ascii="仿宋" w:hAnsi="仿宋" w:eastAsia="仿宋" w:cs="Times New Roman"/>
          <w:color w:val="000000"/>
          <w:sz w:val="28"/>
          <w:szCs w:val="28"/>
        </w:rPr>
        <w:t>、关于呼图壁县商务和工业信息化局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rPr>
        <w:t>其他重要事项的情况说明</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bCs w:val="0"/>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第一部分   2025年呼图壁县商务和工业信息化局部门概况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14"/>
        <w:spacing w:line="560" w:lineRule="exact"/>
        <w:ind w:left="0" w:leftChars="0" w:firstLine="560" w:firstLineChars="200"/>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 xml:space="preserve">呼图壁县人民政府所属行政单位，机构职能为对全县工业和商贸企业的服务和管理，对加油站、商场、快递等行业的安全和规范运行进行管理。 </w:t>
      </w:r>
    </w:p>
    <w:p>
      <w:pPr>
        <w:pStyle w:val="14"/>
        <w:spacing w:line="560" w:lineRule="exact"/>
        <w:ind w:firstLine="560"/>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贯彻执行国家、自治区、自治州有关经济信息化及内外贸易、 国内外经济技术合作和外商投资工作的法律法规和方针政策，提出县新型工业化、信息化发展战略和建议；落实全县对外贸易、吸引国内外投资与合作的政策和规定；制定全县工业和经济信息化发展的政策措施，并组织实施和监督检查；协调解决经济信息化和招商引资进程中的重大问题；推进信息化和工业化融合发展。</w:t>
      </w:r>
    </w:p>
    <w:p>
      <w:pPr>
        <w:keepNext w:val="0"/>
        <w:keepLines w:val="0"/>
        <w:pageBreakBefore w:val="0"/>
        <w:widowControl/>
        <w:kinsoku/>
        <w:wordWrap/>
        <w:overflowPunct/>
        <w:topLinePunct w:val="0"/>
        <w:autoSpaceDE/>
        <w:autoSpaceDN/>
        <w:bidi w:val="0"/>
        <w:adjustRightInd/>
        <w:snapToGrid/>
        <w:spacing w:beforeLines="0" w:line="540" w:lineRule="exact"/>
        <w:ind w:firstLine="562" w:firstLineChars="200"/>
        <w:jc w:val="left"/>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二、机构设置及人员情况</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 xml:space="preserve">呼图壁县商务和工业信息化局无下属预算单位，下设4个处室，分别是：办公室、商务科、工业科（电力行政执法监察大队）、信息化科。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呼图壁县商务和工业信息化局单位编制数22，实有人数36人，其中：在职18人，增加5人； 退休17人，增加1人；离休1人，增加0人。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eastAsia" w:ascii="仿宋_GB2312" w:hAnsi="宋体" w:eastAsia="仿宋_GB2312" w:cs="仿宋_GB2312"/>
          <w:color w:val="000000"/>
          <w:kern w:val="0"/>
          <w:sz w:val="32"/>
          <w:szCs w:val="32"/>
          <w:lang w:val="en-US" w:eastAsia="zh-CN" w:bidi="ar"/>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宋体" w:eastAsia="黑体" w:cs="黑体"/>
          <w:color w:val="000000"/>
          <w:kern w:val="0"/>
          <w:sz w:val="31"/>
          <w:szCs w:val="31"/>
          <w:lang w:val="en-US" w:eastAsia="zh-CN" w:bidi="ar"/>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呼图壁县商务和工业和信息化局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1863.08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1454.77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tabs>
                <w:tab w:val="left" w:pos="347"/>
                <w:tab w:val="right" w:pos="1187"/>
              </w:tabs>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lang w:val="en-US" w:eastAsia="zh-CN"/>
              </w:rPr>
              <w:t>618.3023</w:t>
            </w: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418.30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200.00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121.99</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60.52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1244.78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573.90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200.00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1244.78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583.22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583.22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583.22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35.13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2446.30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2446.30</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呼图壁县商务和工业和信息化局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9"/>
        <w:tblW w:w="10485" w:type="dxa"/>
        <w:tblInd w:w="-450" w:type="dxa"/>
        <w:tblLayout w:type="fixed"/>
        <w:tblCellMar>
          <w:top w:w="0" w:type="dxa"/>
          <w:left w:w="108" w:type="dxa"/>
          <w:bottom w:w="0" w:type="dxa"/>
          <w:right w:w="108" w:type="dxa"/>
        </w:tblCellMar>
      </w:tblPr>
      <w:tblGrid>
        <w:gridCol w:w="417"/>
        <w:gridCol w:w="417"/>
        <w:gridCol w:w="417"/>
        <w:gridCol w:w="1269"/>
        <w:gridCol w:w="975"/>
        <w:gridCol w:w="900"/>
        <w:gridCol w:w="840"/>
        <w:gridCol w:w="855"/>
        <w:gridCol w:w="375"/>
        <w:gridCol w:w="405"/>
        <w:gridCol w:w="398"/>
        <w:gridCol w:w="555"/>
        <w:gridCol w:w="307"/>
        <w:gridCol w:w="1028"/>
        <w:gridCol w:w="892"/>
        <w:gridCol w:w="435"/>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6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28"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9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6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9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832"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269" w:type="dxa"/>
            <w:tcBorders>
              <w:top w:val="nil"/>
              <w:left w:val="nil"/>
              <w:bottom w:val="single" w:color="auto" w:sz="4" w:space="0"/>
              <w:right w:val="single" w:color="auto" w:sz="4" w:space="0"/>
            </w:tcBorders>
            <w:shd w:val="clear" w:color="auto" w:fill="auto"/>
            <w:noWrap w:val="0"/>
            <w:vAlign w:val="center"/>
          </w:tcPr>
          <w:p>
            <w:pPr>
              <w:jc w:val="both"/>
              <w:rPr>
                <w:rFonts w:hint="eastAsia"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lang w:eastAsia="zh-CN"/>
              </w:rPr>
              <w:t>一般公共服务支出</w:t>
            </w:r>
          </w:p>
        </w:tc>
        <w:tc>
          <w:tcPr>
            <w:tcW w:w="97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1454.77</w:t>
            </w:r>
          </w:p>
        </w:tc>
        <w:tc>
          <w:tcPr>
            <w:tcW w:w="900"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320.65</w:t>
            </w:r>
          </w:p>
        </w:tc>
        <w:tc>
          <w:tcPr>
            <w:tcW w:w="840"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320.65</w:t>
            </w:r>
          </w:p>
        </w:tc>
        <w:tc>
          <w:tcPr>
            <w:tcW w:w="8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4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398"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5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3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1124.80</w:t>
            </w:r>
          </w:p>
        </w:tc>
        <w:tc>
          <w:tcPr>
            <w:tcW w:w="89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9.33</w:t>
            </w:r>
          </w:p>
        </w:tc>
        <w:tc>
          <w:tcPr>
            <w:tcW w:w="43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eastAsia="zh-CN"/>
              </w:rPr>
              <w:t>商贸事务</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yellow"/>
                <w:lang w:val="en-US" w:eastAsia="zh-CN" w:bidi="ar-SA"/>
              </w:rPr>
            </w:pPr>
            <w:r>
              <w:rPr>
                <w:rFonts w:hint="eastAsia" w:ascii="仿宋_GB2312" w:eastAsia="仿宋_GB2312"/>
                <w:color w:val="auto"/>
                <w:sz w:val="20"/>
                <w:szCs w:val="20"/>
                <w:highlight w:val="none"/>
                <w:lang w:val="en-US" w:eastAsia="zh-CN"/>
              </w:rPr>
              <w:t>1454.77</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320.65</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320.65</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1269"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eastAsia="zh-CN"/>
              </w:rPr>
              <w:t>行政运行</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1373.77</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248.97</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248.97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1124.80</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1269"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kern w:val="2"/>
                <w:sz w:val="20"/>
                <w:szCs w:val="20"/>
                <w:highlight w:val="none"/>
                <w:lang w:val="en-US" w:eastAsia="zh-CN" w:bidi="ar-SA"/>
              </w:rPr>
              <w:t>一般行政管理事务</w:t>
            </w:r>
          </w:p>
        </w:tc>
        <w:tc>
          <w:tcPr>
            <w:tcW w:w="9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9.33</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9.33</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eastAsia="zh-CN"/>
              </w:rPr>
              <w:t>事业运行</w:t>
            </w:r>
          </w:p>
        </w:tc>
        <w:tc>
          <w:tcPr>
            <w:tcW w:w="9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71.67</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71.67</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71.67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社会保障和就业支出</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121.99</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54.66</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54.66</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67.33</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行政事业单位养老支出</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121.99</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54.66</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54.66</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67.33</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行政单位离退休</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27.59</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27.59</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27.59</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机关事业单位基本养老保险缴费支出</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84.02</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27.07</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27.07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56.95</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机关事业单位职业年金缴费支出</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10.38</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hAnsi="宋体" w:eastAsia="仿宋_GB2312" w:cs="宋体"/>
                <w:color w:val="auto"/>
                <w:sz w:val="20"/>
                <w:szCs w:val="20"/>
                <w:highlight w:val="none"/>
                <w:lang w:val="en-US" w:eastAsia="zh-CN"/>
              </w:rPr>
              <w:t>10.38</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卫生健康支出</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60.52</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20.47</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20.47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40.05</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行政事业单位医疗</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60.52</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20.47</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20.47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40.05</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行政单位医疗</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43.44</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8.46</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8.46</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34.98</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事业单位医疗</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5.08</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5.08</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5.08</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公务员医疗补助</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11.84</w:t>
            </w:r>
          </w:p>
        </w:tc>
        <w:tc>
          <w:tcPr>
            <w:tcW w:w="90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6.77</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5.07</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b w:val="0"/>
                <w:bCs w:val="0"/>
                <w:color w:val="auto"/>
                <w:sz w:val="20"/>
                <w:szCs w:val="20"/>
                <w:highlight w:val="none"/>
                <w:lang w:val="en-US" w:eastAsia="zh-CN"/>
              </w:rPr>
            </w:pPr>
            <w:r>
              <w:rPr>
                <w:rFonts w:hint="eastAsia" w:ascii="仿宋_GB2312" w:eastAsia="仿宋_GB2312"/>
                <w:b w:val="0"/>
                <w:bCs w:val="0"/>
                <w:color w:val="auto"/>
                <w:sz w:val="20"/>
                <w:szCs w:val="20"/>
                <w:highlight w:val="none"/>
                <w:lang w:val="en-US" w:eastAsia="zh-CN"/>
              </w:rPr>
              <w:t>99</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其他行政事业单位医疗支出</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0.17</w:t>
            </w:r>
          </w:p>
        </w:tc>
        <w:tc>
          <w:tcPr>
            <w:tcW w:w="90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0.17</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资源勘探工业信息等支出</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573.90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573.90</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制造业</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573.90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573.90</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纺织业</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573.90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573.90</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563"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商业服务业等支出</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200.00</w:t>
            </w:r>
          </w:p>
        </w:tc>
        <w:tc>
          <w:tcPr>
            <w:tcW w:w="90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200.00</w:t>
            </w:r>
          </w:p>
        </w:tc>
        <w:tc>
          <w:tcPr>
            <w:tcW w:w="840"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200.00</w:t>
            </w: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涉外发展服务支出</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200.00</w:t>
            </w:r>
          </w:p>
        </w:tc>
        <w:tc>
          <w:tcPr>
            <w:tcW w:w="840"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200.00</w:t>
            </w: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269"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其他涉外发展服务支出</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200.00</w:t>
            </w:r>
          </w:p>
        </w:tc>
        <w:tc>
          <w:tcPr>
            <w:tcW w:w="840"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200.00</w:t>
            </w: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住房保障支出</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35.12</w:t>
            </w:r>
          </w:p>
        </w:tc>
        <w:tc>
          <w:tcPr>
            <w:tcW w:w="90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22.53</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22.53</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12.59</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住房改革支出</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35.12</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22.53</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22.53</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12.59</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住房公积金</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35.12</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22.53</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22.53</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12.59</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2446.30</w:t>
            </w:r>
            <w:r>
              <w:rPr>
                <w:rFonts w:hint="eastAsia" w:ascii="仿宋_GB2312" w:eastAsia="仿宋_GB2312"/>
                <w:b/>
                <w:bCs/>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618.30</w:t>
            </w:r>
            <w:r>
              <w:rPr>
                <w:rFonts w:hint="eastAsia" w:ascii="仿宋_GB2312" w:eastAsia="仿宋_GB2312"/>
                <w:b/>
                <w:bCs/>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418.30</w:t>
            </w:r>
            <w:r>
              <w:rPr>
                <w:rFonts w:hint="eastAsia" w:ascii="仿宋_GB2312" w:eastAsia="仿宋_GB2312"/>
                <w:b/>
                <w:bCs/>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b/>
                <w:bCs/>
                <w:color w:val="auto"/>
                <w:sz w:val="20"/>
                <w:szCs w:val="20"/>
                <w:highlight w:val="none"/>
                <w:lang w:val="en-US" w:eastAsia="zh-CN"/>
              </w:rPr>
            </w:pPr>
            <w:r>
              <w:rPr>
                <w:rFonts w:hint="eastAsia" w:ascii="仿宋_GB2312" w:hAnsi="宋体" w:eastAsia="仿宋_GB2312" w:cs="宋体"/>
                <w:b/>
                <w:bCs/>
                <w:color w:val="auto"/>
                <w:sz w:val="20"/>
                <w:szCs w:val="20"/>
                <w:highlight w:val="none"/>
                <w:lang w:val="en-US" w:eastAsia="zh-CN"/>
              </w:rPr>
              <w:t>200.00</w:t>
            </w: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1244.78</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583.22</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28"/>
          <w:szCs w:val="28"/>
          <w:highlight w:val="none"/>
        </w:rPr>
      </w:pPr>
      <w:r>
        <w:rPr>
          <w:rFonts w:hint="eastAsia" w:ascii="仿宋_GB2312" w:hAnsi="宋体" w:eastAsia="仿宋_GB2312"/>
          <w:b/>
          <w:color w:val="auto"/>
          <w:kern w:val="0"/>
          <w:sz w:val="28"/>
          <w:szCs w:val="28"/>
          <w:highlight w:val="none"/>
          <w:lang w:eastAsia="zh-CN"/>
        </w:rPr>
        <w:t>部门</w:t>
      </w:r>
      <w:r>
        <w:rPr>
          <w:rFonts w:hint="eastAsia" w:ascii="仿宋_GB2312" w:hAnsi="宋体" w:eastAsia="仿宋_GB2312"/>
          <w:b/>
          <w:color w:val="auto"/>
          <w:kern w:val="0"/>
          <w:sz w:val="28"/>
          <w:szCs w:val="28"/>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呼图壁县商务和工业和信息化局</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58"/>
        <w:gridCol w:w="417"/>
        <w:gridCol w:w="417"/>
        <w:gridCol w:w="2573"/>
        <w:gridCol w:w="1835"/>
        <w:gridCol w:w="1836"/>
        <w:gridCol w:w="1884"/>
      </w:tblGrid>
      <w:tr>
        <w:tblPrEx>
          <w:tblCellMar>
            <w:top w:w="0" w:type="dxa"/>
            <w:left w:w="108" w:type="dxa"/>
            <w:bottom w:w="0" w:type="dxa"/>
            <w:right w:w="108" w:type="dxa"/>
          </w:tblCellMar>
        </w:tblPrEx>
        <w:trPr>
          <w:trHeight w:val="328" w:hRule="atLeast"/>
        </w:trPr>
        <w:tc>
          <w:tcPr>
            <w:tcW w:w="386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275"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功能分类科目编码</w:t>
            </w:r>
          </w:p>
        </w:tc>
        <w:tc>
          <w:tcPr>
            <w:tcW w:w="257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功能分类科目名称</w:t>
            </w:r>
          </w:p>
        </w:tc>
        <w:tc>
          <w:tcPr>
            <w:tcW w:w="183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项目支出</w:t>
            </w:r>
          </w:p>
        </w:tc>
      </w:tr>
      <w:tr>
        <w:tblPrEx>
          <w:tblCellMar>
            <w:top w:w="0" w:type="dxa"/>
            <w:left w:w="108" w:type="dxa"/>
            <w:bottom w:w="0" w:type="dxa"/>
            <w:right w:w="108" w:type="dxa"/>
          </w:tblCellMar>
        </w:tblPrEx>
        <w:trPr>
          <w:trHeight w:val="9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一般公共服务支出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1454.77</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1445.45</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9.33</w:t>
            </w:r>
          </w:p>
        </w:tc>
      </w:tr>
      <w:tr>
        <w:tblPrEx>
          <w:tblCellMar>
            <w:top w:w="0" w:type="dxa"/>
            <w:left w:w="108" w:type="dxa"/>
            <w:bottom w:w="0" w:type="dxa"/>
            <w:right w:w="108" w:type="dxa"/>
          </w:tblCellMar>
        </w:tblPrEx>
        <w:trPr>
          <w:trHeight w:val="28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商贸事务</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1454.77</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1445.45</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9.33</w:t>
            </w: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行政运行</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1373.77</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1373.77</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02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一般行政管理事务</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9.33</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9.33</w:t>
            </w: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50</w:t>
            </w:r>
            <w:r>
              <w:rPr>
                <w:rFonts w:hint="eastAsia" w:ascii="宋体" w:hAnsi="宋体" w:cs="宋体"/>
                <w:b/>
                <w:bCs/>
                <w:color w:val="auto"/>
                <w:kern w:val="0"/>
                <w:sz w:val="15"/>
                <w:szCs w:val="15"/>
                <w:highlight w:val="none"/>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eastAsia="zh-CN"/>
              </w:rPr>
            </w:pPr>
            <w:r>
              <w:rPr>
                <w:rFonts w:hint="eastAsia" w:ascii="仿宋_GB2312" w:hAnsi="仿宋_GB2312" w:eastAsia="仿宋_GB2312" w:cs="仿宋_GB2312"/>
                <w:b/>
                <w:bCs/>
                <w:color w:val="auto"/>
                <w:kern w:val="0"/>
                <w:sz w:val="18"/>
                <w:szCs w:val="18"/>
                <w:highlight w:val="none"/>
                <w:lang w:eastAsia="zh-CN"/>
              </w:rPr>
              <w:t>事业运行</w:t>
            </w:r>
            <w:r>
              <w:rPr>
                <w:rFonts w:hint="eastAsia" w:ascii="仿宋_GB2312" w:hAnsi="仿宋_GB2312" w:eastAsia="仿宋_GB2312" w:cs="仿宋_GB2312"/>
                <w:b/>
                <w:bCs/>
                <w:color w:val="auto"/>
                <w:kern w:val="0"/>
                <w:sz w:val="18"/>
                <w:szCs w:val="18"/>
                <w:highlight w:val="none"/>
                <w:lang w:val="en-US" w:eastAsia="zh-CN"/>
              </w:rPr>
              <w:t xml:space="preserve"> </w:t>
            </w:r>
            <w:r>
              <w:rPr>
                <w:rFonts w:hint="eastAsia" w:ascii="仿宋_GB2312" w:hAnsi="仿宋_GB2312" w:eastAsia="仿宋_GB2312" w:cs="仿宋_GB2312"/>
                <w:b/>
                <w:bCs/>
                <w:color w:val="auto"/>
                <w:kern w:val="0"/>
                <w:sz w:val="18"/>
                <w:szCs w:val="18"/>
                <w:highlight w:val="none"/>
                <w:lang w:eastAsia="zh-CN"/>
              </w:rPr>
              <w:t>　</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71.67</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71.67</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22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社会保障和就业支出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121.99</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121.99</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行政事业单位养老支出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121.99</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121.99</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行政单位离休</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27.59</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27.59</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05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机关事业单位基本养老保险缴费支出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84.02</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84.02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51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06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机关事业单位职业年金缴费支出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10.38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10.38</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卫生健康支出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60.52</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60.52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28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行政事业单位医疗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60.52</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60.52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行政单位医疗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43.44</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43.44</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25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02</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事业单位医疗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5.08</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03</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公务员医疗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11.84</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11.84</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99</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其他行政事业单位医疗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0.17</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0.17</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　</w:t>
            </w: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资源勘探工业信息等支出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制造业</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04</w:t>
            </w: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纺织业</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商业服务业等支出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涉外发展服务支出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99</w:t>
            </w: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其他涉外发展服务支出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住房保障支出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住房改革支出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01</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住房公积金</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仿宋_GB2312" w:eastAsia="仿宋_GB2312" w:cs="仿宋_GB2312"/>
                <w:b/>
                <w:bCs/>
                <w:color w:val="auto"/>
                <w:kern w:val="0"/>
                <w:sz w:val="18"/>
                <w:szCs w:val="18"/>
                <w:highlight w:val="none"/>
              </w:rPr>
              <w:t>合  计</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2446.30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1663.08</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783.22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val="en-US" w:eastAsia="zh-CN"/>
        </w:rPr>
        <w:t>呼图壁县商务和工业和信息化局</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29"/>
        <w:gridCol w:w="914"/>
        <w:gridCol w:w="2570"/>
        <w:gridCol w:w="900"/>
        <w:gridCol w:w="876"/>
        <w:gridCol w:w="1130"/>
        <w:gridCol w:w="1130"/>
      </w:tblGrid>
      <w:tr>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Hans"/>
              </w:rPr>
              <w:t>一、</w:t>
            </w:r>
            <w:r>
              <w:rPr>
                <w:rFonts w:hint="eastAsia" w:ascii="仿宋_GB2312" w:hAnsi="宋体" w:eastAsia="仿宋_GB2312" w:cs="宋体"/>
                <w:b/>
                <w:color w:val="auto"/>
                <w:kern w:val="0"/>
                <w:sz w:val="20"/>
                <w:szCs w:val="20"/>
                <w:highlight w:val="none"/>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618.30</w:t>
            </w: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320.65</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320.65</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仿宋_GB2312" w:hAnsi="宋体" w:eastAsia="仿宋_GB2312" w:cs="宋体"/>
                <w:b/>
                <w:color w:val="auto"/>
                <w:kern w:val="0"/>
                <w:sz w:val="20"/>
                <w:szCs w:val="20"/>
                <w:highlight w:val="none"/>
                <w:lang w:val="en-US"/>
              </w:rPr>
            </w:pPr>
            <w:r>
              <w:rPr>
                <w:rFonts w:hint="eastAsia" w:ascii="仿宋_GB2312" w:hAnsi="宋体" w:eastAsia="仿宋_GB2312" w:cs="宋体"/>
                <w:b/>
                <w:color w:val="auto"/>
                <w:kern w:val="0"/>
                <w:sz w:val="20"/>
                <w:szCs w:val="20"/>
                <w:highlight w:val="none"/>
                <w:lang w:val="en-US" w:eastAsia="zh-CN"/>
              </w:rPr>
              <w:t>618.30</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202 外交支出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xml:space="preserve"> </w:t>
            </w:r>
            <w:r>
              <w:rPr>
                <w:rFonts w:hint="default" w:ascii="仿宋_GB2312" w:hAnsi="宋体" w:eastAsia="仿宋_GB2312" w:cs="宋体"/>
                <w:b/>
                <w:color w:val="auto"/>
                <w:kern w:val="0"/>
                <w:sz w:val="20"/>
                <w:szCs w:val="20"/>
                <w:highlight w:val="none"/>
              </w:rPr>
              <w:t xml:space="preserve">  </w:t>
            </w:r>
            <w:r>
              <w:rPr>
                <w:rFonts w:hint="eastAsia" w:ascii="仿宋_GB2312" w:hAnsi="宋体" w:eastAsia="仿宋_GB2312" w:cs="宋体"/>
                <w:b/>
                <w:color w:val="auto"/>
                <w:kern w:val="0"/>
                <w:sz w:val="20"/>
                <w:szCs w:val="20"/>
                <w:highlight w:val="none"/>
              </w:rPr>
              <w:t>政府性基金预算</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203 国防支出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7"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xml:space="preserve"> </w:t>
            </w:r>
            <w:r>
              <w:rPr>
                <w:rFonts w:hint="default" w:ascii="仿宋_GB2312" w:hAnsi="宋体" w:eastAsia="仿宋_GB2312" w:cs="宋体"/>
                <w:b/>
                <w:color w:val="auto"/>
                <w:kern w:val="0"/>
                <w:sz w:val="20"/>
                <w:szCs w:val="20"/>
                <w:highlight w:val="none"/>
              </w:rPr>
              <w:t xml:space="preserve">  </w:t>
            </w:r>
            <w:r>
              <w:rPr>
                <w:rFonts w:hint="eastAsia" w:ascii="仿宋_GB2312" w:hAnsi="宋体" w:eastAsia="仿宋_GB2312" w:cs="宋体"/>
                <w:b/>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204 公共安全支出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205 教育支出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206 科学技术支出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54.66</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54.66</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xml:space="preserve">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r>
              <w:rPr>
                <w:rFonts w:hint="eastAsia" w:ascii="仿宋_GB2312" w:hAnsi="宋体" w:eastAsia="仿宋_GB2312" w:cs="宋体"/>
                <w:b/>
                <w:color w:val="auto"/>
                <w:kern w:val="0"/>
                <w:sz w:val="20"/>
                <w:szCs w:val="20"/>
                <w:highlight w:val="none"/>
                <w:lang w:val="en-US" w:eastAsia="zh-CN"/>
              </w:rPr>
              <w:t xml:space="preserve"> </w:t>
            </w:r>
            <w:r>
              <w:rPr>
                <w:rFonts w:hint="eastAsia" w:ascii="仿宋_GB2312" w:hAnsi="宋体" w:eastAsia="仿宋_GB2312" w:cs="宋体"/>
                <w:b/>
                <w:color w:val="auto"/>
                <w:kern w:val="0"/>
                <w:sz w:val="20"/>
                <w:szCs w:val="20"/>
                <w:highlight w:val="none"/>
              </w:rPr>
              <w:t>卫生健康支出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20.47</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20.47</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211 节能环保支出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212 城乡社区支出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213 农林水支出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214 交通运输支出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215 资源勘探</w:t>
            </w:r>
            <w:r>
              <w:rPr>
                <w:rFonts w:hint="eastAsia" w:ascii="仿宋_GB2312" w:hAnsi="宋体" w:eastAsia="仿宋_GB2312" w:cs="宋体"/>
                <w:b/>
                <w:color w:val="auto"/>
                <w:kern w:val="0"/>
                <w:sz w:val="20"/>
                <w:szCs w:val="20"/>
                <w:highlight w:val="none"/>
                <w:lang w:val="en-US" w:eastAsia="zh-Hans"/>
              </w:rPr>
              <w:t>工业</w:t>
            </w:r>
            <w:r>
              <w:rPr>
                <w:rFonts w:hint="eastAsia" w:ascii="仿宋_GB2312" w:hAnsi="宋体" w:eastAsia="仿宋_GB2312" w:cs="宋体"/>
                <w:b/>
                <w:color w:val="auto"/>
                <w:kern w:val="0"/>
                <w:sz w:val="20"/>
                <w:szCs w:val="20"/>
                <w:highlight w:val="none"/>
              </w:rPr>
              <w:t>信息等支出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200.00</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200.00</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217 金融支出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22..53</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22.53</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224</w:t>
            </w:r>
            <w:r>
              <w:rPr>
                <w:rFonts w:hint="eastAsia" w:ascii="仿宋_GB2312" w:hAnsi="宋体" w:eastAsia="仿宋_GB2312" w:cs="宋体"/>
                <w:b/>
                <w:color w:val="auto"/>
                <w:kern w:val="0"/>
                <w:sz w:val="20"/>
                <w:szCs w:val="20"/>
                <w:highlight w:val="none"/>
                <w:lang w:val="en-US" w:eastAsia="zh-CN"/>
              </w:rPr>
              <w:t xml:space="preserve"> </w:t>
            </w:r>
            <w:r>
              <w:rPr>
                <w:rFonts w:hint="eastAsia" w:ascii="仿宋_GB2312" w:hAnsi="宋体" w:eastAsia="仿宋_GB2312" w:cs="宋体"/>
                <w:b/>
                <w:color w:val="auto"/>
                <w:kern w:val="0"/>
                <w:sz w:val="20"/>
                <w:szCs w:val="20"/>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227 预备费</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229 其他支出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230</w:t>
            </w:r>
            <w:r>
              <w:rPr>
                <w:rFonts w:hint="eastAsia" w:ascii="仿宋_GB2312" w:hAnsi="宋体" w:eastAsia="仿宋_GB2312" w:cs="宋体"/>
                <w:b/>
                <w:color w:val="auto"/>
                <w:kern w:val="0"/>
                <w:sz w:val="20"/>
                <w:szCs w:val="20"/>
                <w:highlight w:val="none"/>
                <w:lang w:val="en-US" w:eastAsia="zh-CN"/>
              </w:rPr>
              <w:t xml:space="preserve"> </w:t>
            </w:r>
            <w:r>
              <w:rPr>
                <w:rFonts w:hint="eastAsia" w:ascii="仿宋_GB2312" w:hAnsi="宋体" w:eastAsia="仿宋_GB2312" w:cs="宋体"/>
                <w:b/>
                <w:color w:val="auto"/>
                <w:kern w:val="0"/>
                <w:sz w:val="20"/>
                <w:szCs w:val="20"/>
                <w:highlight w:val="none"/>
              </w:rPr>
              <w:t>转移性支出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231 债务还本支出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232 债务付息支出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618.30</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618.30</w:t>
            </w:r>
            <w:r>
              <w:rPr>
                <w:rFonts w:hint="eastAsia" w:ascii="仿宋_GB2312" w:hAnsi="宋体" w:eastAsia="仿宋_GB2312" w:cs="宋体"/>
                <w:b/>
                <w:bCs/>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618.30</w:t>
            </w:r>
            <w:r>
              <w:rPr>
                <w:rFonts w:hint="eastAsia" w:ascii="仿宋_GB2312" w:hAnsi="宋体" w:eastAsia="仿宋_GB2312" w:cs="宋体"/>
                <w:b/>
                <w:bCs/>
                <w:color w:val="auto"/>
                <w:kern w:val="0"/>
                <w:sz w:val="20"/>
                <w:szCs w:val="20"/>
                <w:highlight w:val="none"/>
              </w:rPr>
              <w:t>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19"/>
        <w:gridCol w:w="499"/>
        <w:gridCol w:w="502"/>
        <w:gridCol w:w="2495"/>
        <w:gridCol w:w="657"/>
        <w:gridCol w:w="1018"/>
        <w:gridCol w:w="215"/>
        <w:gridCol w:w="1617"/>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7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呼图壁县商务和工业信息化局</w:t>
            </w: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一般公共服务支出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320.65</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320.65</w:t>
            </w: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　商贸事务</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320.65</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320.65</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行政运行</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248.97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248.97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事业运行</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71.67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71.67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　</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社会保障和就业支出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54.66</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54.66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　</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行政事业单位养老支出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54.66</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54.66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　</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行政单位离休</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27.59</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27.59</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　</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机关事业单位基本养老保险缴费支出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27.07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27.07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卫生健康支出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20.47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20.47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20.47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20.47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8.46</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8.46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5.08</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5.08</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公务员医疗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6.77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6.77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其他行政事业单位医疗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商业服务业等支出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06</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涉外发展服务支出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06</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其他涉外发展服务支出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住房保障支出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bidi="ar-SA"/>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住房改革支出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bidi="ar-SA"/>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住房公积金</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618.3</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418.30</w:t>
            </w: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呼图壁县商务和工业信息化局</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bCs/>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278.72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278.72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66.52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66.52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48.84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48.84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03</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54.70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54.70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17.68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17.68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08</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机关事业单位基本养老保险缴费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27.07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27.07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10</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eastAsia="zh-CN"/>
              </w:rPr>
              <w:t>城镇</w:t>
            </w:r>
            <w:r>
              <w:rPr>
                <w:rFonts w:hint="eastAsia" w:ascii="仿宋_GB2312" w:hAnsi="宋体" w:eastAsia="仿宋_GB2312" w:cs="宋体"/>
                <w:b/>
                <w:bCs/>
                <w:color w:val="auto"/>
                <w:kern w:val="0"/>
                <w:sz w:val="20"/>
                <w:szCs w:val="20"/>
                <w:highlight w:val="none"/>
                <w:lang w:val="en-US" w:eastAsia="zh-CN"/>
              </w:rPr>
              <w:t>职工基本医疗保险缴费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15.53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公务员医疗补助缴费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6.77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6.77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12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13</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住房公积金</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22.53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99</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其他工资福利支出</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19.92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19.92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111.40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111.40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办公费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4.08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印刷费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电费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44.56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公务接待费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18.51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18.51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委托业务费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工会经费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公务用车运行维护费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7.80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对个人和家庭的补助</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28.18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28.18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离休费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16.78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418.30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306.90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111.40</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13"/>
        <w:gridCol w:w="610"/>
        <w:gridCol w:w="488"/>
        <w:gridCol w:w="488"/>
        <w:gridCol w:w="824"/>
        <w:gridCol w:w="810"/>
        <w:gridCol w:w="785"/>
        <w:gridCol w:w="485"/>
        <w:gridCol w:w="636"/>
        <w:gridCol w:w="521"/>
        <w:gridCol w:w="521"/>
        <w:gridCol w:w="404"/>
        <w:gridCol w:w="214"/>
        <w:gridCol w:w="418"/>
        <w:gridCol w:w="618"/>
        <w:gridCol w:w="846"/>
        <w:gridCol w:w="418"/>
        <w:gridCol w:w="382"/>
        <w:gridCol w:w="59"/>
      </w:tblGrid>
      <w:tr>
        <w:tblPrEx>
          <w:tblCellMar>
            <w:top w:w="0" w:type="dxa"/>
            <w:left w:w="108" w:type="dxa"/>
            <w:bottom w:w="0" w:type="dxa"/>
            <w:right w:w="108" w:type="dxa"/>
          </w:tblCellMar>
        </w:tblPrEx>
        <w:trPr>
          <w:gridBefore w:val="1"/>
          <w:gridAfter w:val="1"/>
          <w:wBefore w:w="13" w:type="dxa"/>
          <w:wAfter w:w="59" w:type="dxa"/>
          <w:trHeight w:val="375" w:hRule="atLeast"/>
        </w:trPr>
        <w:tc>
          <w:tcPr>
            <w:tcW w:w="9468"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3" w:type="dxa"/>
          <w:wAfter w:w="59" w:type="dxa"/>
          <w:trHeight w:val="405" w:hRule="atLeast"/>
        </w:trPr>
        <w:tc>
          <w:tcPr>
            <w:tcW w:w="5126" w:type="dxa"/>
            <w:gridSpan w:val="8"/>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呼图壁县商务和工业信息化局</w:t>
            </w:r>
          </w:p>
        </w:tc>
        <w:tc>
          <w:tcPr>
            <w:tcW w:w="1446"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96"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99"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81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3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2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2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23"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8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8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216</w:t>
            </w: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商业服务业等支出</w:t>
            </w:r>
          </w:p>
        </w:tc>
        <w:tc>
          <w:tcPr>
            <w:tcW w:w="81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8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8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46"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4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216</w:t>
            </w: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06</w:t>
            </w: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涉外发展服务支出</w:t>
            </w:r>
          </w:p>
        </w:tc>
        <w:tc>
          <w:tcPr>
            <w:tcW w:w="81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8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8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46"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4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216</w:t>
            </w:r>
          </w:p>
        </w:tc>
        <w:tc>
          <w:tcPr>
            <w:tcW w:w="488" w:type="dxa"/>
            <w:noWrap w:val="0"/>
            <w:vAlign w:val="center"/>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06</w:t>
            </w: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99</w:t>
            </w: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其他涉外发展服务支出</w:t>
            </w:r>
          </w:p>
        </w:tc>
        <w:tc>
          <w:tcPr>
            <w:tcW w:w="81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2025年中央外经贸发展专项资金</w:t>
            </w:r>
          </w:p>
        </w:tc>
        <w:tc>
          <w:tcPr>
            <w:tcW w:w="785"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200.00</w:t>
            </w: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200.00</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4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85" w:type="dxa"/>
            <w:noWrap w:val="0"/>
            <w:vAlign w:val="center"/>
          </w:tcPr>
          <w:p>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200</w:t>
            </w:r>
          </w:p>
        </w:tc>
        <w:tc>
          <w:tcPr>
            <w:tcW w:w="485"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636"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521"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521"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618" w:type="dxa"/>
            <w:gridSpan w:val="2"/>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418"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618"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846" w:type="dxa"/>
            <w:noWrap w:val="0"/>
            <w:vAlign w:val="center"/>
          </w:tcPr>
          <w:p>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200</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呼图壁县商务和工业信息化局</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 w:eastAsia="仿宋"/>
          <w:b/>
          <w:color w:val="000000"/>
          <w:szCs w:val="21"/>
          <w:lang w:val="en-US" w:eastAsia="zh-CN"/>
        </w:rPr>
        <w:t>备注：呼图壁县商务和工业信息化局2025</w:t>
      </w:r>
      <w:r>
        <w:rPr>
          <w:rFonts w:hint="eastAsia" w:ascii="仿宋" w:eastAsia="仿宋"/>
          <w:b/>
          <w:color w:val="000000"/>
          <w:szCs w:val="21"/>
        </w:rPr>
        <w:t>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呼图壁县商务和工业信息化局</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 w:eastAsia="仿宋"/>
          <w:b/>
          <w:color w:val="000000"/>
          <w:szCs w:val="21"/>
          <w:lang w:val="en-US" w:eastAsia="zh-CN"/>
        </w:rPr>
        <w:t>备注：呼图壁县商务和工业信息化局2025</w:t>
      </w:r>
      <w:r>
        <w:rPr>
          <w:rFonts w:hint="eastAsia" w:ascii="仿宋" w:eastAsia="仿宋"/>
          <w:b/>
          <w:color w:val="000000"/>
          <w:szCs w:val="21"/>
        </w:rPr>
        <w:t>年没有使用国有资本经营预算拨款安排的支出，国有资本经营预算支出情况表为空表。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呼图壁县商务和工业信息化局</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26.31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26.31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18.51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18.51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7.80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7.80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呼图壁县商务和工业信息化局</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930"/>
        <w:gridCol w:w="855"/>
        <w:gridCol w:w="555"/>
        <w:gridCol w:w="590"/>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6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3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211"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6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3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14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86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3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5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5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2024年第三批自治区纺织服装专项资金</w:t>
            </w:r>
          </w:p>
        </w:tc>
        <w:tc>
          <w:tcPr>
            <w:tcW w:w="93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507.74</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507.74</w:t>
            </w:r>
          </w:p>
        </w:tc>
        <w:tc>
          <w:tcPr>
            <w:tcW w:w="5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59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507.74</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2024年纺织服装企业贷款贴息资金</w:t>
            </w:r>
          </w:p>
        </w:tc>
        <w:tc>
          <w:tcPr>
            <w:tcW w:w="93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66.15</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66.15</w:t>
            </w:r>
          </w:p>
        </w:tc>
        <w:tc>
          <w:tcPr>
            <w:tcW w:w="5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59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66.15</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2024年为民办实事专项</w:t>
            </w:r>
          </w:p>
        </w:tc>
        <w:tc>
          <w:tcPr>
            <w:tcW w:w="93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9.33</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9.33</w:t>
            </w:r>
          </w:p>
        </w:tc>
        <w:tc>
          <w:tcPr>
            <w:tcW w:w="5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59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9.33</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86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3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总计</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583.22</w:t>
            </w:r>
          </w:p>
        </w:tc>
        <w:tc>
          <w:tcPr>
            <w:tcW w:w="5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b/>
                <w:bCs/>
                <w:color w:val="auto"/>
                <w:kern w:val="0"/>
                <w:sz w:val="18"/>
                <w:szCs w:val="18"/>
                <w:highlight w:val="none"/>
                <w:lang w:val="en-US" w:eastAsia="zh-CN"/>
              </w:rPr>
            </w:pPr>
          </w:p>
        </w:tc>
        <w:tc>
          <w:tcPr>
            <w:tcW w:w="59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583.22</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spacing w:before="156" w:beforeLines="50" w:after="156" w:afterLines="50" w:line="240" w:lineRule="atLeast"/>
        <w:jc w:val="center"/>
        <w:rPr>
          <w:rFonts w:ascii="黑体" w:hAnsi="黑体" w:eastAsia="黑体"/>
          <w:color w:val="auto"/>
          <w:kern w:val="0"/>
          <w:sz w:val="32"/>
          <w:szCs w:val="32"/>
          <w:highlight w:val="none"/>
        </w:rPr>
      </w:pPr>
      <w:r>
        <w:rPr>
          <w:rFonts w:hint="eastAsia" w:ascii="黑体" w:hAnsi="Times New Roman" w:eastAsia="黑体" w:cs="Times New Roman"/>
          <w:sz w:val="30"/>
          <w:szCs w:val="30"/>
        </w:rPr>
        <w:t xml:space="preserve">第三部分  </w:t>
      </w:r>
      <w:r>
        <w:rPr>
          <w:rFonts w:hint="eastAsia" w:ascii="黑体" w:hAnsi="Times New Roman" w:eastAsia="黑体" w:cs="Times New Roman"/>
          <w:sz w:val="30"/>
          <w:szCs w:val="30"/>
          <w:lang w:val="en-US" w:eastAsia="zh-CN"/>
        </w:rPr>
        <w:t>2025</w:t>
      </w:r>
      <w:r>
        <w:rPr>
          <w:rFonts w:hint="eastAsia" w:ascii="黑体" w:hAnsi="Times New Roman" w:eastAsia="黑体" w:cs="Times New Roman"/>
          <w:sz w:val="30"/>
          <w:szCs w:val="30"/>
        </w:rPr>
        <w:t>年</w:t>
      </w:r>
      <w:r>
        <w:rPr>
          <w:rFonts w:hint="eastAsia" w:ascii="黑体" w:hAnsi="Times New Roman" w:eastAsia="黑体" w:cs="Times New Roman"/>
          <w:sz w:val="30"/>
          <w:szCs w:val="30"/>
          <w:lang w:eastAsia="zh-CN"/>
        </w:rPr>
        <w:t>部门</w:t>
      </w:r>
      <w:r>
        <w:rPr>
          <w:rFonts w:hint="eastAsia" w:ascii="黑体" w:hAnsi="Times New Roman" w:eastAsia="黑体" w:cs="Times New Roman"/>
          <w:sz w:val="30"/>
          <w:szCs w:val="30"/>
        </w:rPr>
        <w:t>预算情况说明</w:t>
      </w:r>
    </w:p>
    <w:p>
      <w:pPr>
        <w:pStyle w:val="3"/>
        <w:numPr>
          <w:ilvl w:val="0"/>
          <w:numId w:val="0"/>
        </w:numPr>
        <w:spacing w:before="0" w:after="0" w:line="560" w:lineRule="exact"/>
        <w:ind w:firstLine="562" w:firstLineChars="200"/>
        <w:rPr>
          <w:rFonts w:hint="eastAsia" w:ascii="仿宋" w:hAnsi="华文楷体" w:eastAsia="仿宋" w:cs="Times New Roman"/>
          <w:sz w:val="28"/>
          <w:szCs w:val="28"/>
        </w:rPr>
      </w:pPr>
      <w:r>
        <w:rPr>
          <w:rFonts w:hint="eastAsia" w:ascii="仿宋" w:hAnsi="华文楷体" w:eastAsia="仿宋" w:cs="Times New Roman"/>
          <w:sz w:val="28"/>
          <w:szCs w:val="28"/>
        </w:rPr>
        <w:t>一、关于呼图壁县商务和工业信息化局</w:t>
      </w:r>
      <w:r>
        <w:rPr>
          <w:rFonts w:hint="eastAsia" w:ascii="仿宋" w:hAnsi="华文楷体" w:eastAsia="仿宋" w:cs="Times New Roman"/>
          <w:sz w:val="28"/>
          <w:szCs w:val="28"/>
          <w:lang w:val="en-US" w:eastAsia="zh-CN"/>
        </w:rPr>
        <w:t>2025</w:t>
      </w:r>
      <w:r>
        <w:rPr>
          <w:rFonts w:hint="eastAsia" w:ascii="仿宋" w:hAnsi="华文楷体" w:eastAsia="仿宋" w:cs="Times New Roman"/>
          <w:sz w:val="28"/>
          <w:szCs w:val="28"/>
        </w:rPr>
        <w:t>年收支预算情况的总体说明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按照全口径预算的原则，</w:t>
      </w:r>
      <w:r>
        <w:rPr>
          <w:rFonts w:hint="eastAsia" w:ascii="仿宋" w:hAnsi="微软雅黑" w:eastAsia="仿宋" w:cs="Times New Roman"/>
          <w:sz w:val="28"/>
          <w:szCs w:val="28"/>
          <w:lang w:val="en-US" w:eastAsia="zh-CN"/>
        </w:rPr>
        <w:t>呼图壁县商务和工业信息化局2025</w:t>
      </w:r>
      <w:r>
        <w:rPr>
          <w:rFonts w:hint="eastAsia" w:ascii="仿宋" w:hAnsi="微软雅黑" w:eastAsia="仿宋" w:cs="Times New Roman"/>
          <w:sz w:val="28"/>
          <w:szCs w:val="28"/>
        </w:rPr>
        <w:t>年所有收入和支出均纳入</w:t>
      </w:r>
      <w:r>
        <w:rPr>
          <w:rFonts w:hint="eastAsia" w:ascii="仿宋" w:hAnsi="微软雅黑" w:eastAsia="仿宋" w:cs="Times New Roman"/>
          <w:sz w:val="28"/>
          <w:szCs w:val="28"/>
          <w:lang w:eastAsia="zh-CN"/>
        </w:rPr>
        <w:t>部门</w:t>
      </w:r>
      <w:r>
        <w:rPr>
          <w:rFonts w:hint="eastAsia" w:ascii="仿宋" w:hAnsi="微软雅黑" w:eastAsia="仿宋" w:cs="Times New Roman"/>
          <w:sz w:val="28"/>
          <w:szCs w:val="28"/>
        </w:rPr>
        <w:t>预算管理。收支总预算</w:t>
      </w:r>
      <w:r>
        <w:rPr>
          <w:rFonts w:hint="eastAsia" w:ascii="仿宋" w:hAnsi="微软雅黑" w:eastAsia="仿宋" w:cs="Times New Roman"/>
          <w:sz w:val="28"/>
          <w:szCs w:val="28"/>
          <w:lang w:val="en-US" w:eastAsia="zh-CN"/>
        </w:rPr>
        <w:t>2446.30</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w:t>
      </w:r>
      <w:r>
        <w:rPr>
          <w:rFonts w:hint="eastAsia" w:ascii="仿宋" w:hAnsi="微软雅黑" w:eastAsia="仿宋" w:cs="Times New Roman"/>
          <w:sz w:val="28"/>
          <w:szCs w:val="28"/>
          <w:lang w:val="en-US" w:eastAsia="zh-Hans"/>
        </w:rPr>
        <w:t>单位资金、财政拨款结转结余</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支出预算包括：一般公共服务支出、社会保障和就业支出、卫生健康支出、资源勘探</w:t>
      </w:r>
      <w:r>
        <w:rPr>
          <w:rFonts w:hint="eastAsia" w:ascii="仿宋" w:hAnsi="微软雅黑" w:eastAsia="仿宋" w:cs="Times New Roman"/>
          <w:sz w:val="28"/>
          <w:szCs w:val="28"/>
          <w:lang w:val="en-US" w:eastAsia="zh-Hans"/>
        </w:rPr>
        <w:t>工业</w:t>
      </w:r>
      <w:r>
        <w:rPr>
          <w:rFonts w:hint="eastAsia" w:ascii="仿宋" w:hAnsi="微软雅黑" w:eastAsia="仿宋" w:cs="Times New Roman"/>
          <w:sz w:val="28"/>
          <w:szCs w:val="28"/>
        </w:rPr>
        <w:t>信息等支出、商业服务业等支出、住房保障支出。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二、关于呼图壁县商务和工业信息化局2025年收入预算情况说明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呼图壁县商务和工业信息化局</w:t>
      </w: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rPr>
        <w:t>年收入预算</w:t>
      </w:r>
      <w:r>
        <w:rPr>
          <w:rFonts w:hint="eastAsia" w:ascii="仿宋" w:hAnsi="微软雅黑" w:eastAsia="仿宋" w:cs="Times New Roman"/>
          <w:sz w:val="28"/>
          <w:szCs w:val="28"/>
          <w:lang w:val="en-US" w:eastAsia="zh-CN"/>
        </w:rPr>
        <w:t>2446.30</w:t>
      </w:r>
      <w:r>
        <w:rPr>
          <w:rFonts w:hint="eastAsia" w:ascii="仿宋" w:hAnsi="微软雅黑" w:eastAsia="仿宋" w:cs="Times New Roman"/>
          <w:sz w:val="28"/>
          <w:szCs w:val="28"/>
          <w:lang w:eastAsia="zh-CN"/>
        </w:rPr>
        <w:t>万</w:t>
      </w:r>
      <w:r>
        <w:rPr>
          <w:rFonts w:hint="eastAsia" w:ascii="仿宋" w:hAnsi="微软雅黑" w:eastAsia="仿宋" w:cs="Times New Roman"/>
          <w:sz w:val="28"/>
          <w:szCs w:val="28"/>
        </w:rPr>
        <w:t>元，其中：</w:t>
      </w:r>
    </w:p>
    <w:p>
      <w:pPr>
        <w:pStyle w:val="4"/>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CN"/>
        </w:rPr>
        <w:t>418.30</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17.10</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174.74</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71.74%，</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人员较上年增加，导致相关预算一并增加。</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w:t>
      </w: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Hans"/>
        </w:rPr>
        <w:t>安排的转移支付资金</w:t>
      </w:r>
      <w:r>
        <w:rPr>
          <w:rFonts w:hint="eastAsia" w:ascii="仿宋" w:hAnsi="微软雅黑" w:eastAsia="仿宋" w:cs="Times New Roman"/>
          <w:sz w:val="28"/>
          <w:szCs w:val="28"/>
          <w:lang w:val="en-US" w:eastAsia="zh-CN"/>
        </w:rPr>
        <w:t>200</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8.18</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200</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100%，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新增了2025年中央外经贸发展专项资金</w:t>
      </w:r>
      <w:r>
        <w:rPr>
          <w:rFonts w:hint="eastAsia" w:ascii="仿宋" w:hAnsi="微软雅黑" w:eastAsia="仿宋" w:cs="Times New Roman"/>
          <w:sz w:val="28"/>
          <w:szCs w:val="28"/>
          <w:lang w:eastAsia="zh-CN"/>
        </w:rPr>
        <w:t>项目</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w:t>
      </w: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Hans"/>
        </w:rPr>
        <w:t>安排的转移支付资金</w:t>
      </w:r>
      <w:r>
        <w:rPr>
          <w:rFonts w:hint="eastAsia" w:ascii="仿宋" w:hAnsi="微软雅黑" w:eastAsia="仿宋" w:cs="Times New Roman"/>
          <w:sz w:val="28"/>
          <w:szCs w:val="28"/>
        </w:rPr>
        <w:t>未安排。</w:t>
      </w:r>
      <w:r>
        <w:rPr>
          <w:rFonts w:hint="default" w:ascii="仿宋" w:hAnsi="微软雅黑" w:eastAsia="仿宋" w:cs="Times New Roman"/>
          <w:sz w:val="28"/>
          <w:szCs w:val="28"/>
          <w:lang w:eastAsia="zh-Hans"/>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政府性基金预算未安排。</w:t>
      </w:r>
    </w:p>
    <w:p>
      <w:pPr>
        <w:widowControl/>
        <w:spacing w:line="560" w:lineRule="exact"/>
        <w:ind w:firstLine="560" w:firstLineChars="200"/>
        <w:rPr>
          <w:rFonts w:hint="default" w:ascii="仿宋" w:hAnsi="微软雅黑" w:eastAsia="仿宋" w:cs="Times New Roman"/>
          <w:sz w:val="28"/>
          <w:szCs w:val="28"/>
          <w:lang w:eastAsia="zh-Hans"/>
        </w:rPr>
      </w:pPr>
      <w:r>
        <w:rPr>
          <w:rFonts w:hint="eastAsia" w:ascii="仿宋" w:hAnsi="微软雅黑" w:eastAsia="仿宋" w:cs="Times New Roman"/>
          <w:sz w:val="28"/>
          <w:szCs w:val="28"/>
          <w:lang w:val="en-US" w:eastAsia="zh-Hans"/>
        </w:rPr>
        <w:t>上级政府性基金安排的转移支付资金</w:t>
      </w:r>
      <w:r>
        <w:rPr>
          <w:rFonts w:hint="eastAsia" w:ascii="仿宋" w:hAnsi="微软雅黑" w:eastAsia="仿宋" w:cs="Times New Roman"/>
          <w:sz w:val="28"/>
          <w:szCs w:val="28"/>
        </w:rPr>
        <w:t>未安排。</w:t>
      </w:r>
      <w:r>
        <w:rPr>
          <w:rFonts w:hint="default" w:ascii="仿宋" w:hAnsi="微软雅黑" w:eastAsia="仿宋" w:cs="Times New Roman"/>
          <w:sz w:val="28"/>
          <w:szCs w:val="28"/>
          <w:lang w:eastAsia="zh-Hans"/>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国有资本经营</w:t>
      </w:r>
      <w:r>
        <w:rPr>
          <w:rFonts w:hint="eastAsia" w:ascii="仿宋" w:hAnsi="微软雅黑" w:eastAsia="仿宋" w:cs="Times New Roman"/>
          <w:sz w:val="28"/>
          <w:szCs w:val="28"/>
        </w:rPr>
        <w:t>预算未安排。</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上级国有资本经营预算安排的转移支付资金</w:t>
      </w:r>
      <w:r>
        <w:rPr>
          <w:rFonts w:hint="eastAsia" w:ascii="仿宋" w:hAnsi="微软雅黑" w:eastAsia="仿宋" w:cs="Times New Roman"/>
          <w:sz w:val="28"/>
          <w:szCs w:val="28"/>
        </w:rPr>
        <w:t xml:space="preserve">未安排。  </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单位资金</w:t>
      </w:r>
      <w:r>
        <w:rPr>
          <w:rFonts w:hint="eastAsia" w:ascii="仿宋" w:hAnsi="微软雅黑" w:eastAsia="仿宋" w:cs="Times New Roman"/>
          <w:sz w:val="28"/>
          <w:szCs w:val="28"/>
          <w:lang w:val="en-US" w:eastAsia="zh-CN"/>
        </w:rPr>
        <w:t>1244.78</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50.88</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715.83</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135.33%，主要原因是人员费用和给企业奖补资金增加。</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财政拨款结转</w:t>
      </w:r>
      <w:r>
        <w:rPr>
          <w:rFonts w:hint="eastAsia" w:ascii="仿宋" w:hAnsi="微软雅黑" w:eastAsia="仿宋" w:cs="Times New Roman"/>
          <w:sz w:val="28"/>
          <w:szCs w:val="28"/>
          <w:lang w:val="en-US" w:eastAsia="zh-CN"/>
        </w:rPr>
        <w:t>583.22</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23.84</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583.22</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100%，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2024年第三批自治区纺织服装专项资金及2024年纺织服装企业贷款贴息资金项目结转至2025年</w:t>
      </w:r>
      <w:r>
        <w:rPr>
          <w:rFonts w:hint="eastAsia" w:ascii="仿宋" w:hAnsi="微软雅黑" w:eastAsia="仿宋" w:cs="Times New Roman"/>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三、关于呼图壁县商务和工业信息化局2025年支出预算情况说明</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呼图壁县商务和工业信息化局</w:t>
      </w: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lang w:val="en-US" w:eastAsia="zh-Hans"/>
        </w:rPr>
        <w:t>年支出预算</w:t>
      </w:r>
      <w:r>
        <w:rPr>
          <w:rFonts w:hint="eastAsia" w:ascii="仿宋" w:hAnsi="微软雅黑" w:eastAsia="仿宋" w:cs="Times New Roman"/>
          <w:sz w:val="28"/>
          <w:szCs w:val="28"/>
          <w:lang w:val="en-US" w:eastAsia="zh-CN"/>
        </w:rPr>
        <w:t>2446.30万</w:t>
      </w:r>
      <w:r>
        <w:rPr>
          <w:rFonts w:hint="eastAsia" w:ascii="仿宋" w:hAnsi="微软雅黑" w:eastAsia="仿宋" w:cs="Times New Roman"/>
          <w:sz w:val="28"/>
          <w:szCs w:val="28"/>
          <w:lang w:val="en-US" w:eastAsia="zh-Hans"/>
        </w:rPr>
        <w:t>元，其中：</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基本支出</w:t>
      </w:r>
      <w:r>
        <w:rPr>
          <w:rFonts w:hint="eastAsia" w:ascii="仿宋" w:hAnsi="微软雅黑" w:eastAsia="仿宋" w:cs="Times New Roman"/>
          <w:sz w:val="28"/>
          <w:szCs w:val="28"/>
          <w:lang w:val="en-US" w:eastAsia="zh-CN"/>
        </w:rPr>
        <w:t>1663.08</w:t>
      </w:r>
      <w:r>
        <w:rPr>
          <w:rFonts w:hint="eastAsia" w:ascii="仿宋" w:hAnsi="微软雅黑" w:eastAsia="仿宋" w:cs="Times New Roman"/>
          <w:sz w:val="28"/>
          <w:szCs w:val="28"/>
          <w:lang w:val="en-US" w:eastAsia="zh-Hans"/>
        </w:rPr>
        <w:t>万元，占</w:t>
      </w:r>
      <w:r>
        <w:rPr>
          <w:rFonts w:hint="eastAsia" w:ascii="仿宋" w:hAnsi="微软雅黑" w:eastAsia="仿宋" w:cs="Times New Roman"/>
          <w:sz w:val="28"/>
          <w:szCs w:val="28"/>
          <w:lang w:val="en-US" w:eastAsia="zh-CN"/>
        </w:rPr>
        <w:t>67.98</w:t>
      </w:r>
      <w:r>
        <w:rPr>
          <w:rFonts w:hint="eastAsia" w:ascii="仿宋" w:hAnsi="微软雅黑" w:eastAsia="仿宋" w:cs="Times New Roman"/>
          <w:sz w:val="28"/>
          <w:szCs w:val="28"/>
          <w:lang w:val="en-US" w:eastAsia="zh-Hans"/>
        </w:rPr>
        <w:t>%，比上年预算增加</w:t>
      </w:r>
      <w:r>
        <w:rPr>
          <w:rFonts w:hint="eastAsia" w:ascii="仿宋" w:hAnsi="微软雅黑" w:eastAsia="仿宋" w:cs="Times New Roman"/>
          <w:sz w:val="28"/>
          <w:szCs w:val="28"/>
          <w:lang w:val="en-US" w:eastAsia="zh-CN"/>
        </w:rPr>
        <w:t>890.57</w:t>
      </w:r>
      <w:r>
        <w:rPr>
          <w:rFonts w:hint="eastAsia" w:ascii="仿宋" w:hAnsi="微软雅黑" w:eastAsia="仿宋" w:cs="Times New Roman"/>
          <w:sz w:val="28"/>
          <w:szCs w:val="28"/>
          <w:lang w:val="en-US" w:eastAsia="zh-Hans"/>
        </w:rPr>
        <w:t>万元，</w:t>
      </w:r>
      <w:r>
        <w:rPr>
          <w:rFonts w:hint="eastAsia" w:ascii="仿宋" w:hAnsi="微软雅黑" w:eastAsia="仿宋" w:cs="Times New Roman"/>
          <w:sz w:val="28"/>
          <w:szCs w:val="28"/>
          <w:lang w:val="en-US" w:eastAsia="zh-CN"/>
        </w:rPr>
        <w:t>增长115.28%，</w:t>
      </w:r>
      <w:r>
        <w:rPr>
          <w:rFonts w:hint="eastAsia" w:ascii="仿宋" w:hAnsi="微软雅黑" w:eastAsia="仿宋" w:cs="Times New Roman"/>
          <w:sz w:val="28"/>
          <w:szCs w:val="28"/>
          <w:lang w:val="en-US" w:eastAsia="zh-Hans"/>
        </w:rPr>
        <w:t>主要原因是</w:t>
      </w:r>
      <w:r>
        <w:rPr>
          <w:rFonts w:hint="eastAsia" w:ascii="仿宋" w:hAnsi="微软雅黑" w:eastAsia="仿宋" w:cs="Times New Roman"/>
          <w:sz w:val="28"/>
          <w:szCs w:val="28"/>
          <w:lang w:val="en-US" w:eastAsia="zh-CN"/>
        </w:rPr>
        <w:t>单位资金增加，人员经费增加</w:t>
      </w:r>
      <w:r>
        <w:rPr>
          <w:rFonts w:hint="eastAsia" w:ascii="仿宋" w:hAnsi="微软雅黑" w:eastAsia="仿宋" w:cs="Times New Roman"/>
          <w:sz w:val="28"/>
          <w:szCs w:val="28"/>
          <w:lang w:val="en-US" w:eastAsia="zh-Hans"/>
        </w:rPr>
        <w:t>。</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项目支出</w:t>
      </w:r>
      <w:r>
        <w:rPr>
          <w:rFonts w:hint="eastAsia" w:ascii="仿宋" w:hAnsi="微软雅黑" w:eastAsia="仿宋" w:cs="Times New Roman"/>
          <w:sz w:val="28"/>
          <w:szCs w:val="28"/>
          <w:lang w:val="en-US" w:eastAsia="zh-CN"/>
        </w:rPr>
        <w:t>783.22</w:t>
      </w:r>
      <w:r>
        <w:rPr>
          <w:rFonts w:hint="eastAsia" w:ascii="仿宋" w:hAnsi="微软雅黑" w:eastAsia="仿宋" w:cs="Times New Roman"/>
          <w:sz w:val="28"/>
          <w:szCs w:val="28"/>
          <w:lang w:val="en-US" w:eastAsia="zh-Hans"/>
        </w:rPr>
        <w:t>万元，占</w:t>
      </w:r>
      <w:r>
        <w:rPr>
          <w:rFonts w:hint="eastAsia" w:ascii="仿宋" w:hAnsi="微软雅黑" w:eastAsia="仿宋" w:cs="Times New Roman"/>
          <w:sz w:val="28"/>
          <w:szCs w:val="28"/>
          <w:lang w:val="en-US" w:eastAsia="zh-CN"/>
        </w:rPr>
        <w:t>32.02</w:t>
      </w:r>
      <w:r>
        <w:rPr>
          <w:rFonts w:hint="eastAsia" w:ascii="仿宋" w:hAnsi="微软雅黑" w:eastAsia="仿宋" w:cs="Times New Roman"/>
          <w:sz w:val="28"/>
          <w:szCs w:val="28"/>
          <w:lang w:val="en-US" w:eastAsia="zh-Hans"/>
        </w:rPr>
        <w:t>%，比上年预算增加</w:t>
      </w:r>
      <w:r>
        <w:rPr>
          <w:rFonts w:hint="eastAsia" w:ascii="仿宋" w:hAnsi="微软雅黑" w:eastAsia="仿宋" w:cs="Times New Roman"/>
          <w:sz w:val="28"/>
          <w:szCs w:val="28"/>
          <w:lang w:val="en-US" w:eastAsia="zh-CN"/>
        </w:rPr>
        <w:t>783.22</w:t>
      </w:r>
      <w:r>
        <w:rPr>
          <w:rFonts w:hint="eastAsia" w:ascii="仿宋" w:hAnsi="微软雅黑" w:eastAsia="仿宋" w:cs="Times New Roman"/>
          <w:sz w:val="28"/>
          <w:szCs w:val="28"/>
          <w:lang w:val="en-US" w:eastAsia="zh-Hans"/>
        </w:rPr>
        <w:t>元，</w:t>
      </w:r>
      <w:r>
        <w:rPr>
          <w:rFonts w:hint="eastAsia" w:ascii="仿宋" w:hAnsi="微软雅黑" w:eastAsia="仿宋" w:cs="Times New Roman"/>
          <w:sz w:val="28"/>
          <w:szCs w:val="28"/>
          <w:lang w:val="en-US" w:eastAsia="zh-CN"/>
        </w:rPr>
        <w:t>增长100%，</w:t>
      </w:r>
      <w:r>
        <w:rPr>
          <w:rFonts w:hint="eastAsia" w:ascii="仿宋" w:hAnsi="微软雅黑" w:eastAsia="仿宋" w:cs="Times New Roman"/>
          <w:sz w:val="28"/>
          <w:szCs w:val="28"/>
          <w:lang w:val="en-US" w:eastAsia="zh-Hans"/>
        </w:rPr>
        <w:t>主要原因是</w:t>
      </w:r>
      <w:r>
        <w:rPr>
          <w:rFonts w:hint="eastAsia" w:ascii="仿宋" w:hAnsi="微软雅黑" w:eastAsia="仿宋" w:cs="Times New Roman"/>
          <w:sz w:val="28"/>
          <w:szCs w:val="28"/>
          <w:lang w:val="en-US" w:eastAsia="zh-CN"/>
        </w:rPr>
        <w:t>新增了2025年中央外经贸发展专项资金，2024年纺织服装项目结转至2025年继续进行支出</w:t>
      </w:r>
      <w:r>
        <w:rPr>
          <w:rFonts w:hint="eastAsia" w:ascii="仿宋" w:hAnsi="微软雅黑" w:eastAsia="仿宋" w:cs="Times New Roman"/>
          <w:sz w:val="28"/>
          <w:szCs w:val="28"/>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四、关于呼图壁县商务和工业信息化局2025年财政拨款收支预算情况的总体说明</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lang w:val="en-US" w:eastAsia="zh-Hans"/>
        </w:rPr>
        <w:t>年财政拨款收支总预算</w:t>
      </w:r>
      <w:r>
        <w:rPr>
          <w:rFonts w:hint="eastAsia" w:ascii="仿宋" w:hAnsi="微软雅黑" w:eastAsia="仿宋" w:cs="Times New Roman"/>
          <w:sz w:val="28"/>
          <w:szCs w:val="28"/>
          <w:lang w:val="en-US" w:eastAsia="zh-CN"/>
        </w:rPr>
        <w:t>618.30</w:t>
      </w:r>
      <w:r>
        <w:rPr>
          <w:rFonts w:hint="eastAsia" w:ascii="仿宋" w:hAnsi="微软雅黑" w:eastAsia="仿宋" w:cs="Times New Roman"/>
          <w:sz w:val="28"/>
          <w:szCs w:val="28"/>
          <w:lang w:val="en-US" w:eastAsia="zh-Hans"/>
        </w:rPr>
        <w:t>万元。</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收入预算包括：一般公共预算拨款</w:t>
      </w:r>
      <w:r>
        <w:rPr>
          <w:rFonts w:hint="eastAsia" w:ascii="仿宋" w:hAnsi="微软雅黑" w:eastAsia="仿宋" w:cs="Times New Roman"/>
          <w:sz w:val="28"/>
          <w:szCs w:val="28"/>
          <w:lang w:val="en-US" w:eastAsia="zh-CN"/>
        </w:rPr>
        <w:t>618.30</w:t>
      </w:r>
      <w:r>
        <w:rPr>
          <w:rFonts w:hint="eastAsia" w:ascii="仿宋" w:hAnsi="微软雅黑" w:eastAsia="仿宋" w:cs="Times New Roman"/>
          <w:sz w:val="28"/>
          <w:szCs w:val="28"/>
          <w:lang w:val="en-US" w:eastAsia="zh-Hans"/>
        </w:rPr>
        <w:t>万元。</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一般公共预算支出包括：</w:t>
      </w:r>
      <w:r>
        <w:rPr>
          <w:rFonts w:hint="eastAsia" w:ascii="仿宋" w:hAnsi="微软雅黑" w:eastAsia="仿宋" w:cs="Times New Roman"/>
          <w:sz w:val="28"/>
          <w:szCs w:val="28"/>
          <w:lang w:val="en-US" w:eastAsia="zh-CN"/>
        </w:rPr>
        <w:t>一般公共服务支出320.65</w:t>
      </w:r>
      <w:r>
        <w:rPr>
          <w:rFonts w:hint="eastAsia" w:ascii="仿宋" w:hAnsi="微软雅黑" w:eastAsia="仿宋" w:cs="Times New Roman"/>
          <w:sz w:val="28"/>
          <w:szCs w:val="28"/>
          <w:lang w:val="en-US" w:eastAsia="zh-Hans"/>
        </w:rPr>
        <w:t>万元，</w:t>
      </w:r>
      <w:r>
        <w:rPr>
          <w:rFonts w:hint="eastAsia" w:ascii="仿宋" w:hAnsi="微软雅黑" w:eastAsia="仿宋" w:cs="Times New Roman"/>
          <w:sz w:val="28"/>
          <w:szCs w:val="28"/>
          <w:lang w:val="en-US" w:eastAsia="zh-CN"/>
        </w:rPr>
        <w:t>主要用于在职干部职工的工资福利、退休职工的奖励金、保证正常办公的商品和服务支出；社会保障和就业支出 54.66万元，主要用于缴纳在职干部职工养老保险费用支出；卫生健康支出20.47万元，主要用于缴纳在职干部职工医疗保险及公务员医疗费用支出；商业服务业等支出200.00万元，主要用于2025年中央外经贸发展专项资金项目；住房保障支出 22.53 万元，主要用于缴纳在职干部职工住房公积金费用支出。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五、关于呼图壁县商务和工业信息化局2025年一般公共预算当年拨款情况说明</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呼图壁县商务和工业信息化局2025年一般公共预算拨款合计618.3万元，其中：基本支出418.30万元，比上年预算增加57.96万元，增长16.08%。主要原因是：人员增加，经费增加。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项目支出200万元。比上年预算增加200万元，增长100%。主要原因是：部门年初预算安排新增商业服务业，中央外经贸发展专项资金项目。</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（二）一般公共预算当年拨款结构情况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1.一般公共服务（类）</w:t>
      </w:r>
      <w:r>
        <w:rPr>
          <w:rFonts w:hint="eastAsia" w:ascii="仿宋" w:hAnsi="微软雅黑" w:eastAsia="仿宋" w:cs="Times New Roman"/>
          <w:color w:val="auto"/>
          <w:sz w:val="28"/>
          <w:szCs w:val="28"/>
          <w:lang w:val="en-US" w:eastAsia="zh-CN"/>
        </w:rPr>
        <w:t>320.65</w:t>
      </w:r>
      <w:r>
        <w:rPr>
          <w:rFonts w:hint="eastAsia" w:ascii="仿宋" w:hAnsi="微软雅黑" w:eastAsia="仿宋" w:cs="Times New Roman"/>
          <w:sz w:val="28"/>
          <w:szCs w:val="28"/>
          <w:lang w:val="en-US" w:eastAsia="zh-CN"/>
        </w:rPr>
        <w:t>万元，占51.86%。</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2.一般公共服务（类）54.66万元，占8.84%。</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3.一般公共服务（类）20.47万元，占3.31%。</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4.一般公共服务（类）200万元，占32.35%。</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6.一般公共服务（类）22.53万元，占3.64%。</w:t>
      </w:r>
      <w:r>
        <w:rPr>
          <w:rFonts w:hint="eastAsia" w:ascii="仿宋" w:hAnsi="微软雅黑" w:eastAsia="仿宋" w:cs="Times New Roman"/>
          <w:sz w:val="28"/>
          <w:szCs w:val="28"/>
          <w:lang w:val="en-US" w:eastAsia="zh-CN"/>
        </w:rPr>
        <w:tab/>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（三）一般公共预算当年拨款具体使用情况</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1.一般公共服务（类）商贸事务（款）行政运行（项）:2025年预算数为320.65万元，比上年预算增加106.38万元，增长49.65%，主要原</w:t>
      </w:r>
      <w:r>
        <w:rPr>
          <w:rFonts w:hint="eastAsia" w:ascii="仿宋" w:hAnsi="微软雅黑" w:eastAsia="仿宋" w:cs="Times New Roman"/>
          <w:kern w:val="2"/>
          <w:sz w:val="28"/>
          <w:szCs w:val="28"/>
          <w:lang w:val="en-US" w:eastAsia="zh-CN" w:bidi="ar-SA"/>
        </w:rPr>
        <w:t xml:space="preserve">因是：人员增加，相应预算一并增加。  </w:t>
      </w:r>
      <w:r>
        <w:rPr>
          <w:rFonts w:hint="eastAsia" w:ascii="仿宋" w:hAnsi="微软雅黑" w:eastAsia="仿宋" w:cs="Times New Roman"/>
          <w:sz w:val="28"/>
          <w:szCs w:val="28"/>
          <w:lang w:val="en-US" w:eastAsia="zh-CN"/>
        </w:rPr>
        <w:t xml:space="preserve">            </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2.一般公共服务（类）商贸</w:t>
      </w:r>
      <w:r>
        <w:rPr>
          <w:rFonts w:hint="eastAsia" w:ascii="仿宋" w:hAnsi="微软雅黑" w:eastAsia="仿宋" w:cs="Times New Roman"/>
          <w:sz w:val="28"/>
          <w:szCs w:val="28"/>
          <w:highlight w:val="none"/>
          <w:lang w:val="en-US" w:eastAsia="zh-CN"/>
        </w:rPr>
        <w:t>事务（款）事</w:t>
      </w:r>
      <w:r>
        <w:rPr>
          <w:rFonts w:hint="eastAsia" w:ascii="仿宋" w:hAnsi="微软雅黑" w:eastAsia="仿宋" w:cs="Times New Roman"/>
          <w:sz w:val="28"/>
          <w:szCs w:val="28"/>
          <w:lang w:val="en-US" w:eastAsia="zh-CN"/>
        </w:rPr>
        <w:t>业运行（项）:2025年预算数为7</w:t>
      </w:r>
      <w:r>
        <w:rPr>
          <w:rFonts w:hint="eastAsia" w:ascii="仿宋" w:hAnsi="微软雅黑" w:eastAsia="仿宋" w:cs="Times New Roman"/>
          <w:kern w:val="2"/>
          <w:sz w:val="28"/>
          <w:szCs w:val="28"/>
          <w:lang w:val="en-US" w:eastAsia="zh-CN" w:bidi="ar-SA"/>
        </w:rPr>
        <w:t xml:space="preserve">1.67万元，比上年预算增加51.18万元，增长249.78%，主要原因是：人员增加，相应预算一并增加。    </w:t>
      </w:r>
      <w:r>
        <w:rPr>
          <w:rFonts w:hint="eastAsia" w:ascii="仿宋" w:hAnsi="微软雅黑" w:eastAsia="仿宋" w:cs="Times New Roman"/>
          <w:sz w:val="28"/>
          <w:szCs w:val="28"/>
          <w:lang w:val="en-US" w:eastAsia="zh-CN"/>
        </w:rPr>
        <w:t xml:space="preserve">  </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w:t>
      </w:r>
      <w:r>
        <w:rPr>
          <w:rFonts w:hint="eastAsia" w:ascii="仿宋" w:hAnsi="微软雅黑" w:eastAsia="仿宋"/>
          <w:sz w:val="28"/>
          <w:szCs w:val="28"/>
        </w:rPr>
        <w:t>社会保障和就业支出（类）行政事业单位养老支出（款）行政单位离退休（项）</w:t>
      </w:r>
      <w:r>
        <w:rPr>
          <w:rFonts w:hint="eastAsia" w:ascii="仿宋" w:hAnsi="微软雅黑" w:eastAsia="仿宋" w:cs="Times New Roman"/>
          <w:sz w:val="28"/>
          <w:szCs w:val="28"/>
          <w:lang w:val="en-US" w:eastAsia="zh-CN"/>
        </w:rPr>
        <w:t>:2025年预算数为27.59万元，比上年预算减少51.18万元，减少64.97%，</w:t>
      </w:r>
      <w:r>
        <w:rPr>
          <w:rFonts w:hint="eastAsia" w:ascii="仿宋" w:hAnsi="微软雅黑" w:eastAsia="仿宋" w:cs="Times New Roman"/>
          <w:kern w:val="2"/>
          <w:sz w:val="28"/>
          <w:szCs w:val="28"/>
          <w:lang w:val="en-US" w:eastAsia="zh-CN" w:bidi="ar-SA"/>
        </w:rPr>
        <w:t xml:space="preserve">主要原因是：2025年部分退休人员社保缴费满年限认定后不再缴纳，导致预算相应减少。  </w:t>
      </w:r>
      <w:r>
        <w:rPr>
          <w:rFonts w:hint="eastAsia" w:ascii="仿宋" w:hAnsi="微软雅黑" w:eastAsia="仿宋" w:cs="Times New Roman"/>
          <w:sz w:val="28"/>
          <w:szCs w:val="28"/>
          <w:lang w:val="en-US" w:eastAsia="zh-CN"/>
        </w:rPr>
        <w:t xml:space="preserve">    </w:t>
      </w:r>
    </w:p>
    <w:p>
      <w:pPr>
        <w:pStyle w:val="4"/>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w:t>
      </w:r>
      <w:r>
        <w:rPr>
          <w:rFonts w:hint="eastAsia" w:ascii="仿宋" w:hAnsi="微软雅黑" w:eastAsia="仿宋"/>
          <w:sz w:val="28"/>
          <w:szCs w:val="28"/>
        </w:rPr>
        <w:t>社会保障和就业支出（类）行政事业单位养老支出（款）机关事业单位基本养老保险缴费支出（项）</w:t>
      </w:r>
      <w:r>
        <w:rPr>
          <w:rFonts w:hint="eastAsia" w:ascii="仿宋" w:hAnsi="微软雅黑" w:eastAsia="仿宋" w:cs="Times New Roman"/>
          <w:sz w:val="28"/>
          <w:szCs w:val="28"/>
          <w:lang w:val="en-US" w:eastAsia="zh-CN"/>
        </w:rPr>
        <w:t>:2025年预算数为27.07万元，比上年预算增加8.02万元，增长42.10%，主要原因是：</w:t>
      </w:r>
      <w:r>
        <w:rPr>
          <w:rFonts w:hint="eastAsia" w:ascii="仿宋" w:hAnsi="微软雅黑" w:eastAsia="仿宋" w:cs="Times New Roman"/>
          <w:kern w:val="2"/>
          <w:sz w:val="28"/>
          <w:szCs w:val="28"/>
          <w:lang w:val="en-US" w:eastAsia="zh-CN" w:bidi="ar-SA"/>
        </w:rPr>
        <w:t>人员增加，相应预算一并增加</w:t>
      </w:r>
      <w:r>
        <w:rPr>
          <w:rFonts w:hint="eastAsia" w:ascii="仿宋" w:hAnsi="微软雅黑" w:eastAsia="仿宋" w:cs="Times New Roman"/>
          <w:sz w:val="28"/>
          <w:szCs w:val="28"/>
          <w:lang w:val="en-US" w:eastAsia="zh-CN"/>
        </w:rPr>
        <w:t>。</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5.卫生健康</w:t>
      </w:r>
      <w:r>
        <w:rPr>
          <w:rFonts w:hint="eastAsia" w:ascii="仿宋" w:hAnsi="微软雅黑" w:eastAsia="仿宋"/>
          <w:sz w:val="28"/>
          <w:szCs w:val="28"/>
        </w:rPr>
        <w:t>支出（类）行政事业单位医疗（款）行政单位医疗（项）</w:t>
      </w:r>
      <w:r>
        <w:rPr>
          <w:rFonts w:hint="eastAsia" w:ascii="仿宋" w:hAnsi="微软雅黑" w:eastAsia="仿宋" w:cs="Times New Roman"/>
          <w:sz w:val="28"/>
          <w:szCs w:val="28"/>
          <w:lang w:val="en-US" w:eastAsia="zh-CN"/>
        </w:rPr>
        <w:t xml:space="preserve">:2025年预算数为8.46万元，比上年预算增加0.16万元，增长1.93%，主要原因是：人员增加，相应预算一并增加。      </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6.</w:t>
      </w:r>
      <w:r>
        <w:rPr>
          <w:rFonts w:hint="eastAsia" w:ascii="仿宋" w:hAnsi="微软雅黑" w:eastAsia="仿宋"/>
          <w:sz w:val="28"/>
          <w:szCs w:val="28"/>
        </w:rPr>
        <w:t>卫生健康支出（类）行政事业单位医疗（款）</w:t>
      </w:r>
      <w:r>
        <w:rPr>
          <w:rFonts w:hint="eastAsia" w:ascii="仿宋" w:hAnsi="微软雅黑" w:eastAsia="仿宋"/>
          <w:sz w:val="28"/>
          <w:szCs w:val="28"/>
          <w:lang w:val="en-US" w:eastAsia="zh-CN"/>
        </w:rPr>
        <w:t>事业单位</w:t>
      </w:r>
      <w:r>
        <w:rPr>
          <w:rFonts w:hint="eastAsia" w:ascii="仿宋" w:hAnsi="微软雅黑" w:eastAsia="仿宋"/>
          <w:sz w:val="28"/>
          <w:szCs w:val="28"/>
        </w:rPr>
        <w:t>医疗（项）</w:t>
      </w:r>
      <w:r>
        <w:rPr>
          <w:rFonts w:hint="eastAsia" w:ascii="仿宋" w:hAnsi="微软雅黑" w:eastAsia="仿宋" w:cs="Times New Roman"/>
          <w:sz w:val="28"/>
          <w:szCs w:val="28"/>
          <w:lang w:val="en-US" w:eastAsia="zh-CN"/>
        </w:rPr>
        <w:t>:2025年预算数为5.08万元，比上年预算增加0.16万元，增长3.25%，主要原因是：主要原因是：人员增加，相应预算一并增加，医疗保险基数调整。</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7.</w:t>
      </w:r>
      <w:r>
        <w:rPr>
          <w:rFonts w:hint="eastAsia" w:ascii="仿宋" w:hAnsi="微软雅黑" w:eastAsia="仿宋"/>
          <w:sz w:val="28"/>
          <w:szCs w:val="28"/>
        </w:rPr>
        <w:t>卫生健康支出（类）行政事业单位医疗（款）公务员医疗补助（项）</w:t>
      </w:r>
      <w:r>
        <w:rPr>
          <w:rFonts w:hint="eastAsia" w:ascii="仿宋" w:hAnsi="微软雅黑" w:eastAsia="仿宋" w:cs="Times New Roman"/>
          <w:sz w:val="28"/>
          <w:szCs w:val="28"/>
          <w:lang w:val="en-US" w:eastAsia="zh-CN"/>
        </w:rPr>
        <w:t>:2025年预算数为6.77万元，比上年预算增加4.09万元，增长152.61%，主要原因是：人员增加，相应预算一并增加，医疗保险基数调整。</w:t>
      </w:r>
    </w:p>
    <w:p>
      <w:pPr>
        <w:pStyle w:val="4"/>
        <w:ind w:firstLine="560" w:firstLineChars="200"/>
        <w:rPr>
          <w:rFonts w:hint="eastAsia" w:ascii="仿宋" w:hAnsi="微软雅黑" w:eastAsia="仿宋" w:cs="Times New Roman"/>
          <w:kern w:val="2"/>
          <w:sz w:val="28"/>
          <w:szCs w:val="28"/>
          <w:lang w:val="en-US" w:eastAsia="zh-CN" w:bidi="ar-SA"/>
        </w:rPr>
      </w:pPr>
      <w:r>
        <w:rPr>
          <w:rFonts w:hint="eastAsia" w:ascii="仿宋" w:hAnsi="微软雅黑" w:eastAsia="仿宋" w:cs="Times New Roman"/>
          <w:sz w:val="28"/>
          <w:szCs w:val="28"/>
          <w:lang w:val="en-US" w:eastAsia="zh-CN"/>
        </w:rPr>
        <w:t>8.</w:t>
      </w:r>
      <w:r>
        <w:rPr>
          <w:rFonts w:hint="eastAsia" w:ascii="仿宋" w:hAnsi="微软雅黑" w:eastAsia="仿宋"/>
          <w:sz w:val="28"/>
          <w:szCs w:val="28"/>
        </w:rPr>
        <w:t>卫生健康支出（类）行政事业单位医疗（款）</w:t>
      </w:r>
      <w:r>
        <w:rPr>
          <w:rFonts w:hint="eastAsia" w:ascii="仿宋" w:hAnsi="微软雅黑" w:eastAsia="仿宋"/>
          <w:sz w:val="28"/>
          <w:szCs w:val="28"/>
          <w:lang w:val="en-US" w:eastAsia="zh-CN"/>
        </w:rPr>
        <w:t>其他行政事业单位医疗</w:t>
      </w:r>
      <w:r>
        <w:rPr>
          <w:rFonts w:hint="eastAsia" w:ascii="仿宋" w:hAnsi="微软雅黑" w:eastAsia="仿宋"/>
          <w:sz w:val="28"/>
          <w:szCs w:val="28"/>
        </w:rPr>
        <w:t>（项）</w:t>
      </w:r>
      <w:r>
        <w:rPr>
          <w:rFonts w:hint="eastAsia" w:ascii="仿宋" w:hAnsi="微软雅黑" w:eastAsia="仿宋" w:cs="Times New Roman"/>
          <w:sz w:val="28"/>
          <w:szCs w:val="28"/>
          <w:lang w:val="en-US" w:eastAsia="zh-CN"/>
        </w:rPr>
        <w:t>:2025年预算数为0.17万元，比上年预算增加0.158万元，增长1316.67%，主要原</w:t>
      </w:r>
      <w:r>
        <w:rPr>
          <w:rFonts w:hint="eastAsia" w:ascii="仿宋" w:hAnsi="微软雅黑" w:eastAsia="仿宋" w:cs="Times New Roman"/>
          <w:kern w:val="2"/>
          <w:sz w:val="28"/>
          <w:szCs w:val="28"/>
          <w:lang w:val="en-US" w:eastAsia="zh-CN" w:bidi="ar-SA"/>
        </w:rPr>
        <w:t>因是：人员增加，相应预算一并增加，医疗保险基数调整。</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9.商业服务业（类）涉外发展服务支出（款）其他涉外发展服务支出（项）:2025年预算数为200万元，比上年预算增加200万元，增长100%，主要原因是：部门年初预算安排新增中央外经贸发展专项资金项目。</w:t>
      </w:r>
    </w:p>
    <w:p>
      <w:pPr>
        <w:pStyle w:val="4"/>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 xml:space="preserve">10. </w:t>
      </w:r>
      <w:r>
        <w:rPr>
          <w:rFonts w:hint="eastAsia" w:ascii="仿宋" w:hAnsi="微软雅黑" w:eastAsia="仿宋"/>
          <w:sz w:val="28"/>
          <w:szCs w:val="28"/>
        </w:rPr>
        <w:t>住房保障支出（类）住房改革支出（款）住房公积金（项）</w:t>
      </w:r>
      <w:r>
        <w:rPr>
          <w:rFonts w:hint="eastAsia" w:ascii="仿宋" w:hAnsi="微软雅黑" w:eastAsia="仿宋" w:cs="Times New Roman"/>
          <w:sz w:val="28"/>
          <w:szCs w:val="28"/>
          <w:lang w:val="en-US" w:eastAsia="zh-CN"/>
        </w:rPr>
        <w:t>:2025年预算数为22.53万元，比上年预算增加6.33万元，增长39.07%，主要原因是</w:t>
      </w:r>
      <w:r>
        <w:rPr>
          <w:rFonts w:hint="eastAsia" w:ascii="仿宋" w:hAnsi="微软雅黑" w:eastAsia="仿宋"/>
          <w:sz w:val="28"/>
          <w:szCs w:val="28"/>
          <w:lang w:val="en-US" w:eastAsia="zh-CN"/>
        </w:rPr>
        <w:t>：人员增加，相应预算一并增加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住房公积金基数调整。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六、关于呼图壁县商务和工业信息化局2025年一般公共预算基本支出情况说明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呼图壁县商务和工业信息化局2025年一般公共预算基本支出418.30万元， 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人员经费306.90万元，主要包括：基本工资、津贴补贴、奖金、绩效工资、机关事业单位基本养老保险缴费、职工基本医疗保险缴费、公务员医疗补助缴费、其他社会保障缴费、住房公积金、其他工资福利支出、离休费、奖励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公用经费111.40万元，主要包括：办公费、印刷费、电费、邮电费、差旅费、公务接待费、委托业务费、工会经费、公务用车运行维护费。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七、关于呼图壁县商务和工业信息化局2025年一般公共预算项目支出情况说明</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（一）项目名称：2025年中央外经贸发展专项资金</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设立的政策依据：昌州财建【2024】146号《关于提前下达2025年中央外经贸发展专项资金预算的通知》</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w:t>
      </w:r>
      <w:r>
        <w:rPr>
          <w:rFonts w:hint="eastAsia"/>
          <w:lang w:eastAsia="zh-CN"/>
        </w:rPr>
        <w:t>：</w:t>
      </w:r>
      <w:r>
        <w:rPr>
          <w:rFonts w:hint="eastAsia" w:ascii="仿宋" w:hAnsi="微软雅黑" w:eastAsia="仿宋" w:cs="Times New Roman"/>
          <w:sz w:val="28"/>
          <w:szCs w:val="28"/>
          <w:lang w:val="en-US" w:eastAsia="zh-CN"/>
        </w:rPr>
        <w:t>200万元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项目承担单位：呼图壁县商务和工业信息化局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资金分配情况：200万元全部用于2025年中央外经贸发展专项资金</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八</w:t>
      </w:r>
      <w:r>
        <w:rPr>
          <w:rFonts w:hint="eastAsia" w:ascii="仿宋" w:hAnsi="华文楷体" w:eastAsia="仿宋" w:cs="Times New Roman"/>
          <w:b/>
          <w:kern w:val="2"/>
          <w:sz w:val="28"/>
          <w:szCs w:val="28"/>
          <w:lang w:val="en-US" w:eastAsia="zh-CN" w:bidi="ar-SA"/>
        </w:rPr>
        <w:t>、关于呼图壁县商务和工业信息化局2025年政府性基金预算拨款情况说明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九、关于</w:t>
      </w:r>
      <w:r>
        <w:rPr>
          <w:rFonts w:hint="eastAsia" w:ascii="仿宋" w:hAnsi="华文楷体" w:eastAsia="仿宋" w:cs="Times New Roman"/>
          <w:b/>
          <w:kern w:val="2"/>
          <w:sz w:val="28"/>
          <w:szCs w:val="28"/>
          <w:lang w:val="en-US" w:eastAsia="zh-CN" w:bidi="ar-SA"/>
        </w:rPr>
        <w:t>呼图壁县商务和工业信息化局2025</w:t>
      </w:r>
      <w:r>
        <w:rPr>
          <w:rFonts w:hint="eastAsia" w:ascii="仿宋" w:hAnsi="华文楷体" w:eastAsia="仿宋" w:cs="Times New Roman"/>
          <w:b/>
          <w:kern w:val="2"/>
          <w:sz w:val="28"/>
          <w:szCs w:val="28"/>
          <w:lang w:val="en-US" w:eastAsia="zh-Hans" w:bidi="ar-SA"/>
        </w:rPr>
        <w:t>年国有资本经营预算拨款情况说明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十、关于</w:t>
      </w:r>
      <w:r>
        <w:rPr>
          <w:rFonts w:hint="eastAsia" w:ascii="仿宋" w:hAnsi="华文楷体" w:eastAsia="仿宋" w:cs="Times New Roman"/>
          <w:b/>
          <w:kern w:val="2"/>
          <w:sz w:val="28"/>
          <w:szCs w:val="28"/>
          <w:lang w:val="en-US" w:eastAsia="zh-CN" w:bidi="ar-SA"/>
        </w:rPr>
        <w:t>呼图壁县商务和工业信息化局2025</w:t>
      </w:r>
      <w:r>
        <w:rPr>
          <w:rFonts w:hint="eastAsia" w:ascii="仿宋" w:hAnsi="华文楷体" w:eastAsia="仿宋" w:cs="Times New Roman"/>
          <w:b/>
          <w:kern w:val="2"/>
          <w:sz w:val="28"/>
          <w:szCs w:val="28"/>
          <w:lang w:val="en-US" w:eastAsia="zh-Hans" w:bidi="ar-SA"/>
        </w:rPr>
        <w:t>年财政拨款“三公”经费预算情况说明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“三公”经费数为26.31万元，其中：因公出国（境）费0万元，公务用车购置费0万元，公务用车运行费7.8万元，公务接待费18.51万元。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“三公”经费比上年</w:t>
      </w:r>
      <w:r>
        <w:rPr>
          <w:rFonts w:hint="eastAsia" w:ascii="仿宋" w:hAnsi="微软雅黑" w:eastAsia="仿宋" w:cs="Times New Roman"/>
          <w:sz w:val="28"/>
          <w:szCs w:val="28"/>
          <w:lang w:val="en-US" w:eastAsia="zh-Hans"/>
        </w:rPr>
        <w:t>预算</w:t>
      </w:r>
      <w:r>
        <w:rPr>
          <w:rFonts w:hint="eastAsia" w:ascii="仿宋" w:hAnsi="微软雅黑" w:eastAsia="仿宋" w:cs="Times New Roman"/>
          <w:sz w:val="28"/>
          <w:szCs w:val="28"/>
          <w:lang w:val="en-US" w:eastAsia="zh-CN"/>
        </w:rPr>
        <w:t>增加1.24万元，增长4.95%，其中：因公出国（境）费增加0万元，增长0%，主要原因是2024年-2025年均未安排因公出国（境）费预算</w:t>
      </w:r>
      <w:r>
        <w:rPr>
          <w:rFonts w:hint="eastAsia" w:ascii="仿宋" w:hAnsi="微软雅黑" w:eastAsia="仿宋" w:cs="Times New Roman"/>
          <w:sz w:val="28"/>
          <w:szCs w:val="28"/>
          <w:lang w:val="en-US" w:eastAsia="zh-CN"/>
        </w:rPr>
        <w:t>；公务用车购置费增加0万元，增长0%，2024年-2025年均未安排公务用车购置费预算</w:t>
      </w:r>
      <w:r>
        <w:rPr>
          <w:rFonts w:hint="eastAsia" w:ascii="仿宋" w:hAnsi="微软雅黑" w:eastAsia="仿宋" w:cs="Times New Roman"/>
          <w:sz w:val="28"/>
          <w:szCs w:val="28"/>
          <w:lang w:val="en-US" w:eastAsia="zh-CN"/>
        </w:rPr>
        <w:t>；公务用车运行费增加1.24万元，增长18.90%，主要原因是2024年漏预算公务用车一辆；公务接待费增加18.51万元，增长100%，主要原因是2024年-2025年公务接待费预算保持一致</w:t>
      </w:r>
      <w:r>
        <w:rPr>
          <w:rFonts w:hint="eastAsia" w:ascii="仿宋" w:hAnsi="微软雅黑" w:eastAsia="仿宋" w:cs="Times New Roman"/>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一</w:t>
      </w:r>
      <w:r>
        <w:rPr>
          <w:rFonts w:hint="eastAsia" w:ascii="仿宋" w:hAnsi="华文楷体" w:eastAsia="仿宋" w:cs="Times New Roman"/>
          <w:b/>
          <w:kern w:val="2"/>
          <w:sz w:val="28"/>
          <w:szCs w:val="28"/>
          <w:lang w:val="en-US" w:eastAsia="zh-Hans" w:bidi="ar-SA"/>
        </w:rPr>
        <w:t>、关于</w:t>
      </w:r>
      <w:r>
        <w:rPr>
          <w:rFonts w:hint="eastAsia" w:ascii="仿宋" w:hAnsi="华文楷体" w:eastAsia="仿宋" w:cs="Times New Roman"/>
          <w:b/>
          <w:kern w:val="2"/>
          <w:sz w:val="28"/>
          <w:szCs w:val="28"/>
          <w:lang w:val="en-US" w:eastAsia="zh-CN" w:bidi="ar-SA"/>
        </w:rPr>
        <w:t>呼图壁县商务和工业信息化局2025</w:t>
      </w:r>
      <w:r>
        <w:rPr>
          <w:rFonts w:hint="eastAsia" w:ascii="仿宋" w:hAnsi="华文楷体" w:eastAsia="仿宋" w:cs="Times New Roman"/>
          <w:b/>
          <w:kern w:val="2"/>
          <w:sz w:val="28"/>
          <w:szCs w:val="28"/>
          <w:lang w:val="en-US" w:eastAsia="zh-Hans" w:bidi="ar-SA"/>
        </w:rPr>
        <w:t>年</w:t>
      </w:r>
      <w:r>
        <w:rPr>
          <w:rFonts w:hint="eastAsia" w:ascii="仿宋" w:hAnsi="华文楷体" w:eastAsia="仿宋" w:cs="Times New Roman"/>
          <w:b/>
          <w:kern w:val="2"/>
          <w:sz w:val="28"/>
          <w:szCs w:val="28"/>
          <w:lang w:val="en-US" w:eastAsia="zh-CN" w:bidi="ar-SA"/>
        </w:rPr>
        <w:t>上年结转结余</w:t>
      </w:r>
      <w:r>
        <w:rPr>
          <w:rFonts w:hint="eastAsia" w:ascii="仿宋" w:hAnsi="华文楷体" w:eastAsia="仿宋" w:cs="Times New Roman"/>
          <w:b/>
          <w:kern w:val="2"/>
          <w:sz w:val="28"/>
          <w:szCs w:val="28"/>
          <w:lang w:val="en-US" w:eastAsia="zh-Hans" w:bidi="ar-SA"/>
        </w:rPr>
        <w:t>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呼图壁县商务和工业信息化局2025年上年结转结余583.93万元，包括：财政拨款583.93万元，非财政拨款0万元，其中：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1.2024年为民办实事专项（项目）9.33万元，主要用于：通过实施该项目，为群众送信息，送服务，送温暖。进一步建强小泉村村基层党组织，切实提升强村富民、为民办实事等各项工作，发挥驻村工作后盾作用。</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2.2024年第三批自治区纺织服装企业运费电费补贴项目507.74万元。用于纺织服装企业运费电费补贴。</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3.2024年纺织服装企业贷款贴息项目66.15万元.用于纺织服装企业贷款贴息补贴。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二</w:t>
      </w:r>
      <w:r>
        <w:rPr>
          <w:rFonts w:hint="eastAsia" w:ascii="仿宋" w:hAnsi="华文楷体" w:eastAsia="仿宋" w:cs="Times New Roman"/>
          <w:b/>
          <w:kern w:val="2"/>
          <w:sz w:val="28"/>
          <w:szCs w:val="28"/>
          <w:lang w:val="en-US" w:eastAsia="zh-Hans" w:bidi="ar-SA"/>
        </w:rPr>
        <w:t>、其他重要事项的情况说明</w:t>
      </w:r>
    </w:p>
    <w:p>
      <w:pPr>
        <w:widowControl/>
        <w:spacing w:line="560" w:lineRule="exact"/>
        <w:ind w:firstLine="562" w:firstLineChars="200"/>
        <w:rPr>
          <w:rFonts w:hint="eastAsia" w:ascii="仿宋" w:hAnsi="微软雅黑" w:eastAsia="仿宋" w:cs="Times New Roman"/>
          <w:b/>
          <w:bCs/>
          <w:sz w:val="28"/>
          <w:szCs w:val="28"/>
          <w:lang w:val="en-US" w:eastAsia="zh-CN"/>
        </w:rPr>
      </w:pPr>
      <w:r>
        <w:rPr>
          <w:rFonts w:hint="eastAsia" w:ascii="仿宋" w:hAnsi="微软雅黑" w:eastAsia="仿宋" w:cs="Times New Roman"/>
          <w:b/>
          <w:bCs/>
          <w:sz w:val="28"/>
          <w:szCs w:val="28"/>
          <w:lang w:val="en-US" w:eastAsia="zh-CN"/>
        </w:rPr>
        <w:t>（一）单位运行经费情况</w:t>
      </w:r>
    </w:p>
    <w:p>
      <w:pPr>
        <w:widowControl/>
        <w:spacing w:line="560" w:lineRule="exact"/>
        <w:ind w:firstLine="560" w:firstLineChars="200"/>
        <w:rPr>
          <w:rFonts w:hint="eastAsia" w:ascii="仿宋" w:hAnsi="微软雅黑" w:eastAsia="仿宋" w:cs="Times New Roman"/>
          <w:b/>
          <w:bCs/>
          <w:sz w:val="28"/>
          <w:szCs w:val="28"/>
          <w:lang w:val="en-US" w:eastAsia="zh-CN"/>
        </w:rPr>
      </w:pPr>
      <w:r>
        <w:rPr>
          <w:rFonts w:hint="eastAsia" w:ascii="仿宋" w:hAnsi="微软雅黑" w:eastAsia="仿宋" w:cs="Times New Roman"/>
          <w:sz w:val="28"/>
          <w:szCs w:val="28"/>
          <w:lang w:val="en-US" w:eastAsia="zh-CN"/>
        </w:rPr>
        <w:t>呼图壁县商务和工业信息化局2025年的机关运行经费财政拨款预算111.40万元，比上年预算增加43.46万元，增长63.97%。主要原因是增加印刷费、邮电费、差旅费、公务接待费、委托业务费公务用车运行维护费等。</w:t>
      </w:r>
    </w:p>
    <w:p>
      <w:pPr>
        <w:widowControl/>
        <w:spacing w:line="560" w:lineRule="exact"/>
        <w:ind w:firstLine="562" w:firstLineChars="200"/>
        <w:rPr>
          <w:rFonts w:hint="eastAsia" w:ascii="仿宋" w:hAnsi="微软雅黑" w:eastAsia="仿宋" w:cs="Times New Roman"/>
          <w:b/>
          <w:bCs/>
          <w:sz w:val="28"/>
          <w:szCs w:val="28"/>
          <w:lang w:val="en-US" w:eastAsia="zh-CN"/>
        </w:rPr>
      </w:pPr>
      <w:r>
        <w:rPr>
          <w:rFonts w:hint="eastAsia" w:ascii="仿宋" w:hAnsi="微软雅黑" w:eastAsia="仿宋" w:cs="Times New Roman"/>
          <w:b/>
          <w:bCs/>
          <w:sz w:val="28"/>
          <w:szCs w:val="28"/>
          <w:lang w:val="en-US" w:eastAsia="zh-CN"/>
        </w:rPr>
        <w:t>（二）政府采购情况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2025年，呼图壁县商务和工业信息化局政府采购预算972.54万元，其中：政府采购货物预算972.54万元，政府采购工程预算0万元，政府采购服务预算0万元。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2025年，呼图壁县商务和工业信息化局面向中小企业预留政府采购项目预算金额972.54万元，小微企业预留政府采购项目预算金额972.54万元。</w:t>
      </w:r>
    </w:p>
    <w:p>
      <w:pPr>
        <w:widowControl/>
        <w:spacing w:line="560" w:lineRule="exact"/>
        <w:ind w:firstLine="562" w:firstLineChars="200"/>
        <w:rPr>
          <w:rFonts w:hint="eastAsia" w:ascii="仿宋" w:hAnsi="微软雅黑" w:eastAsia="仿宋" w:cs="Times New Roman"/>
          <w:b/>
          <w:bCs/>
          <w:sz w:val="28"/>
          <w:szCs w:val="28"/>
          <w:lang w:val="en-US" w:eastAsia="zh-CN"/>
        </w:rPr>
      </w:pPr>
      <w:r>
        <w:rPr>
          <w:rFonts w:hint="eastAsia" w:ascii="仿宋" w:hAnsi="微软雅黑" w:eastAsia="仿宋" w:cs="Times New Roman"/>
          <w:b/>
          <w:bCs/>
          <w:sz w:val="28"/>
          <w:szCs w:val="28"/>
          <w:lang w:val="en-US" w:eastAsia="zh-CN"/>
        </w:rPr>
        <w:t>（三）国有资产占用使用情况</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截至2024年底，呼图壁县商务和工业信息化局占用使用国有资产总体情况为：</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1.房屋46平方米，价值0.48万元。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2.车辆2辆，价值34.55万元；其中：一般公务用车2辆，价值34.55万元；执法执勤用车0辆，价值0万元；其他车辆0辆，价值0万元。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3.办公家具价值14.12万元。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4.其他资产价值83万元。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部门价值50万元以上大型设备0台，部门价值100万元以上大型设备</w:t>
      </w:r>
      <w:r>
        <w:rPr>
          <w:rFonts w:hint="eastAsia" w:ascii="仿宋" w:hAnsi="微软雅黑" w:eastAsia="仿宋" w:cs="Times New Roman"/>
          <w:sz w:val="28"/>
          <w:szCs w:val="28"/>
          <w:highlight w:val="none"/>
          <w:lang w:val="en-US" w:eastAsia="zh-CN"/>
        </w:rPr>
        <w:t>0台。</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2025年部门预算未安排购置车辆经费，安排购置50万元以上大型</w:t>
      </w:r>
      <w:r>
        <w:rPr>
          <w:rFonts w:hint="eastAsia" w:ascii="仿宋" w:hAnsi="微软雅黑" w:eastAsia="仿宋" w:cs="Times New Roman"/>
          <w:sz w:val="28"/>
          <w:szCs w:val="28"/>
          <w:highlight w:val="none"/>
          <w:lang w:val="en-US" w:eastAsia="zh-CN"/>
        </w:rPr>
        <w:t>设备0台，单位价值100万元以上大型设备0台。</w:t>
      </w:r>
    </w:p>
    <w:p>
      <w:pPr>
        <w:widowControl/>
        <w:spacing w:line="560" w:lineRule="exact"/>
        <w:ind w:firstLine="562" w:firstLineChars="200"/>
        <w:rPr>
          <w:rFonts w:hint="default" w:ascii="仿宋" w:hAnsi="微软雅黑" w:eastAsia="仿宋" w:cs="Times New Roman"/>
          <w:b/>
          <w:bCs/>
          <w:sz w:val="28"/>
          <w:szCs w:val="28"/>
          <w:lang w:val="en-US" w:eastAsia="zh-CN"/>
        </w:rPr>
      </w:pPr>
      <w:r>
        <w:rPr>
          <w:rFonts w:hint="eastAsia" w:ascii="仿宋" w:hAnsi="微软雅黑" w:eastAsia="仿宋" w:cs="Times New Roman"/>
          <w:b/>
          <w:bCs/>
          <w:sz w:val="28"/>
          <w:szCs w:val="28"/>
          <w:lang w:val="en-US" w:eastAsia="zh-Hans"/>
        </w:rPr>
        <w:t>（四）</w:t>
      </w:r>
      <w:r>
        <w:rPr>
          <w:rFonts w:hint="eastAsia" w:ascii="仿宋" w:hAnsi="微软雅黑" w:eastAsia="仿宋" w:cs="Times New Roman"/>
          <w:b/>
          <w:bCs/>
          <w:sz w:val="28"/>
          <w:szCs w:val="28"/>
          <w:lang w:val="en-US" w:eastAsia="zh-CN"/>
        </w:rPr>
        <w:t>预算绩效情况</w:t>
      </w:r>
    </w:p>
    <w:p>
      <w:pPr>
        <w:widowControl/>
        <w:spacing w:line="560" w:lineRule="exact"/>
        <w:ind w:firstLine="560" w:firstLineChars="200"/>
        <w:rPr>
          <w:rFonts w:hint="eastAsia" w:ascii="仿宋" w:hAnsi="微软雅黑" w:eastAsia="仿宋" w:cs="Times New Roman"/>
          <w:sz w:val="28"/>
          <w:szCs w:val="28"/>
          <w:lang w:val="en-US" w:eastAsia="zh-CN"/>
        </w:rPr>
      </w:pPr>
      <w:bookmarkStart w:id="0" w:name="OLE_LINK1"/>
      <w:r>
        <w:rPr>
          <w:rFonts w:hint="default" w:ascii="仿宋" w:hAnsi="微软雅黑" w:eastAsia="仿宋" w:cs="Times New Roman"/>
          <w:sz w:val="28"/>
          <w:szCs w:val="28"/>
          <w:lang w:val="en-US" w:eastAsia="zh-CN"/>
        </w:rPr>
        <w:t>2025</w:t>
      </w:r>
      <w:r>
        <w:rPr>
          <w:rFonts w:hint="eastAsia" w:ascii="仿宋" w:hAnsi="微软雅黑" w:eastAsia="仿宋" w:cs="Times New Roman"/>
          <w:sz w:val="28"/>
          <w:szCs w:val="28"/>
          <w:lang w:val="en-US" w:eastAsia="zh-CN"/>
        </w:rPr>
        <w:t>年，本部门预算绩效管理整体预算绩效目标1个，涉及预算金额2446.30万元；当年预算安排项目共1个，其中:</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项目涉及预算金额200万元；</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val="en-US" w:eastAsia="zh-CN"/>
        </w:rPr>
        <w:t xml:space="preserve">涉及预算金额0万元。具体情况见下表：  </w:t>
      </w:r>
    </w:p>
    <w:bookmarkEnd w:id="0"/>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891"/>
        <w:gridCol w:w="1037"/>
        <w:gridCol w:w="2563"/>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呼图壁县商务和工业信息化局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李春兰</w:t>
            </w:r>
          </w:p>
        </w:tc>
        <w:tc>
          <w:tcPr>
            <w:tcW w:w="25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09944514032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计划稳定经济运行，提升发展质效。提高工业运行的针对性和实效性，扎实推进项目建设、企业入归、企业帮扶等重点工作。支持重点领域规上工业企业建立研发机构，构建多层级的企业技术创新体系，争创自治区级企业技术中心等创新平台1家。推动制造业绿色转型工厂1个。推动中小企业实现“专业化、精细化、特色化、新颖花”发展。培育新中小企业5家以上，专精特新中小企业3家以上。坚持扩内需、促流通，推动消费扩容增量。建设或改造提升县域商业网点2个。打造一刻钟便民生活圈品质型1个、基本型2个。开展主题促销费活动4次以上（年货节、5.1消费券、美食节、10.1消费券），其中促进夜间消费活动1次，限额以上企业参与率达到95%以上。精准招商、多方发力提升招商质效。重点引进招商项目38个。其中：农副产品生产加工产业链8个，新能源产业链3个，化工产业链6个，生物制药产业链4个，文化产业链4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9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1244.78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5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891"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党政主要领导带队外出精准招商次数</w:t>
            </w:r>
          </w:p>
        </w:tc>
        <w:tc>
          <w:tcPr>
            <w:tcW w:w="103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2次</w:t>
            </w:r>
          </w:p>
        </w:tc>
        <w:tc>
          <w:tcPr>
            <w:tcW w:w="2563"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县商务工信局</w:t>
            </w:r>
            <w:r>
              <w:rPr>
                <w:rFonts w:hint="eastAsia" w:ascii="宋体" w:hAnsi="宋体" w:cs="宋体"/>
                <w:i w:val="0"/>
                <w:iCs w:val="0"/>
                <w:color w:val="000000"/>
                <w:sz w:val="20"/>
                <w:szCs w:val="20"/>
                <w:highlight w:val="none"/>
                <w:u w:val="none"/>
                <w:lang w:val="en-US" w:eastAsia="zh-CN"/>
              </w:rPr>
              <w:t>2024年工作总结及2025年工作计划</w:t>
            </w:r>
          </w:p>
        </w:tc>
        <w:tc>
          <w:tcPr>
            <w:tcW w:w="1360"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p>
        </w:tc>
        <w:tc>
          <w:tcPr>
            <w:tcW w:w="1891"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外出开展招商推介会次数</w:t>
            </w:r>
          </w:p>
        </w:tc>
        <w:tc>
          <w:tcPr>
            <w:tcW w:w="1037"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3次</w:t>
            </w:r>
          </w:p>
        </w:tc>
        <w:tc>
          <w:tcPr>
            <w:tcW w:w="256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县商务工信局</w:t>
            </w:r>
            <w:r>
              <w:rPr>
                <w:rFonts w:hint="eastAsia" w:ascii="宋体" w:hAnsi="宋体" w:cs="宋体"/>
                <w:i w:val="0"/>
                <w:iCs w:val="0"/>
                <w:color w:val="000000"/>
                <w:sz w:val="20"/>
                <w:szCs w:val="20"/>
                <w:highlight w:val="none"/>
                <w:u w:val="none"/>
                <w:lang w:val="en-US" w:eastAsia="zh-CN"/>
              </w:rPr>
              <w:t>2024年工作总结及2025年工作计划</w:t>
            </w:r>
          </w:p>
        </w:tc>
        <w:tc>
          <w:tcPr>
            <w:tcW w:w="1360" w:type="dxa"/>
            <w:tcBorders>
              <w:top w:val="single" w:color="auto"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p>
        </w:tc>
        <w:tc>
          <w:tcPr>
            <w:tcW w:w="1891"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开展促销费活动次数</w:t>
            </w:r>
          </w:p>
        </w:tc>
        <w:tc>
          <w:tcPr>
            <w:tcW w:w="1037"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3次</w:t>
            </w:r>
          </w:p>
        </w:tc>
        <w:tc>
          <w:tcPr>
            <w:tcW w:w="256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县商务工信局</w:t>
            </w:r>
            <w:r>
              <w:rPr>
                <w:rFonts w:hint="eastAsia" w:ascii="宋体" w:hAnsi="宋体" w:cs="宋体"/>
                <w:i w:val="0"/>
                <w:iCs w:val="0"/>
                <w:color w:val="000000"/>
                <w:sz w:val="20"/>
                <w:szCs w:val="20"/>
                <w:highlight w:val="none"/>
                <w:u w:val="none"/>
                <w:lang w:val="en-US" w:eastAsia="zh-CN"/>
              </w:rPr>
              <w:t>2024年工作总结及2025年工作计划</w:t>
            </w:r>
          </w:p>
        </w:tc>
        <w:tc>
          <w:tcPr>
            <w:tcW w:w="1360" w:type="dxa"/>
            <w:tcBorders>
              <w:top w:val="single" w:color="auto"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p>
        </w:tc>
        <w:tc>
          <w:tcPr>
            <w:tcW w:w="1891"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补贴企业数量</w:t>
            </w:r>
          </w:p>
        </w:tc>
        <w:tc>
          <w:tcPr>
            <w:tcW w:w="103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5家</w:t>
            </w:r>
          </w:p>
        </w:tc>
        <w:tc>
          <w:tcPr>
            <w:tcW w:w="2563"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县商务工信局</w:t>
            </w:r>
            <w:r>
              <w:rPr>
                <w:rFonts w:hint="eastAsia" w:ascii="宋体" w:hAnsi="宋体" w:cs="宋体"/>
                <w:i w:val="0"/>
                <w:iCs w:val="0"/>
                <w:color w:val="000000"/>
                <w:sz w:val="20"/>
                <w:szCs w:val="20"/>
                <w:highlight w:val="none"/>
                <w:u w:val="none"/>
                <w:lang w:val="en-US" w:eastAsia="zh-CN"/>
              </w:rPr>
              <w:t>2024年工作总结及2025年工作计划</w:t>
            </w:r>
          </w:p>
        </w:tc>
        <w:tc>
          <w:tcPr>
            <w:tcW w:w="1360" w:type="dxa"/>
            <w:tcBorders>
              <w:top w:val="single" w:color="auto"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22</w:t>
            </w:r>
          </w:p>
        </w:tc>
      </w:tr>
    </w:tbl>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531"/>
        <w:gridCol w:w="945"/>
        <w:gridCol w:w="1147"/>
        <w:gridCol w:w="1081"/>
        <w:gridCol w:w="637"/>
        <w:gridCol w:w="99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呼图壁县商务和经济信息化委员会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2025年中央外经贸发展专项资金</w:t>
            </w:r>
          </w:p>
        </w:tc>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于峰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14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为支持企业应对贸易摩擦，开展贸易调整，帮助产业企业积极应对因国外不公平贸易政策对待所造成的不利影响，提高国际市场竞争力，促进和扩大出口。本项目对辖区内企业提交的申报材料进行审核，并完成对其的补助资金发放工作。通过项目的实施，促进外贸的发展，提高当地就业率，加快呼图壁县农业产业结构优化调整</w:t>
            </w:r>
            <w:r>
              <w:rPr>
                <w:rFonts w:hint="eastAsia" w:ascii="宋体" w:hAnsi="宋体" w:cs="宋体"/>
                <w:i w:val="0"/>
                <w:iCs w:val="0"/>
                <w:color w:val="000000"/>
                <w:sz w:val="18"/>
                <w:szCs w:val="18"/>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3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支持重点外向型企业数量（家）</w:t>
            </w:r>
          </w:p>
        </w:tc>
        <w:tc>
          <w:tcPr>
            <w:tcW w:w="945"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&gt;=2个</w:t>
            </w:r>
          </w:p>
        </w:tc>
        <w:tc>
          <w:tcPr>
            <w:tcW w:w="1147"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=2个</w:t>
            </w:r>
          </w:p>
        </w:tc>
        <w:tc>
          <w:tcPr>
            <w:tcW w:w="637"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4"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531"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支持外资项目数量（个）</w:t>
            </w:r>
          </w:p>
        </w:tc>
        <w:tc>
          <w:tcPr>
            <w:tcW w:w="945"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&gt;=2个</w:t>
            </w:r>
          </w:p>
        </w:tc>
        <w:tc>
          <w:tcPr>
            <w:tcW w:w="1147"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=2个</w:t>
            </w:r>
          </w:p>
        </w:tc>
        <w:tc>
          <w:tcPr>
            <w:tcW w:w="637"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994"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补助资金申报材料的合格率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申报材料审查的及时率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对重点外向补助资金发放标准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&lt;=150万元/个</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=150万元/个</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外经贸企业营商环境</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改善</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外经贸企业的满意度</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pStyle w:val="8"/>
        <w:keepNext w:val="0"/>
        <w:keepLines w:val="0"/>
        <w:widowControl/>
        <w:suppressLineNumbers w:val="0"/>
        <w:spacing w:before="0" w:beforeAutospacing="0" w:after="0" w:afterAutospacing="0"/>
        <w:ind w:right="0" w:firstLine="560" w:firstLineChars="200"/>
        <w:rPr>
          <w:rFonts w:hint="eastAsia" w:ascii="仿宋" w:hAnsi="微软雅黑" w:eastAsia="仿宋" w:cs="Times New Roman"/>
          <w:kern w:val="2"/>
          <w:sz w:val="28"/>
          <w:szCs w:val="28"/>
          <w:lang w:val="en-US" w:eastAsia="zh-CN" w:bidi="ar-SA"/>
        </w:rPr>
      </w:pPr>
      <w:r>
        <w:rPr>
          <w:rFonts w:hint="eastAsia" w:ascii="仿宋" w:hAnsi="微软雅黑" w:eastAsia="仿宋" w:cs="Times New Roman"/>
          <w:kern w:val="2"/>
          <w:sz w:val="28"/>
          <w:szCs w:val="28"/>
          <w:lang w:val="en-US" w:eastAsia="zh-CN" w:bidi="ar-SA"/>
        </w:rPr>
        <w:t>无</w:t>
      </w:r>
      <w:bookmarkStart w:id="1" w:name="_GoBack"/>
      <w:bookmarkEnd w:id="1"/>
      <w:r>
        <w:rPr>
          <w:rFonts w:hint="eastAsia" w:ascii="仿宋" w:hAnsi="微软雅黑" w:eastAsia="仿宋" w:cs="Times New Roman"/>
          <w:kern w:val="2"/>
          <w:sz w:val="28"/>
          <w:szCs w:val="28"/>
          <w:lang w:val="en-US" w:eastAsia="zh-CN" w:bidi="ar-SA"/>
        </w:rPr>
        <w:t>。</w:t>
      </w:r>
    </w:p>
    <w:p>
      <w:pPr>
        <w:pStyle w:val="2"/>
        <w:spacing w:before="156" w:beforeLines="50" w:after="156" w:afterLines="50" w:line="560" w:lineRule="exact"/>
        <w:jc w:val="both"/>
        <w:rPr>
          <w:rFonts w:hint="default"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color w:val="auto"/>
          <w:spacing w:val="-11"/>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color w:val="auto"/>
          <w:spacing w:val="-11"/>
          <w:sz w:val="32"/>
          <w:szCs w:val="32"/>
          <w:highlight w:val="none"/>
        </w:rPr>
        <w:t xml:space="preserve">  </w:t>
      </w:r>
      <w:r>
        <w:rPr>
          <w:rFonts w:hint="eastAsia" w:ascii="仿宋_GB2312" w:hAnsi="Times New Roman" w:eastAsia="仿宋_GB2312" w:cs="Times New Roman"/>
          <w:color w:val="auto"/>
          <w:spacing w:val="-11"/>
          <w:sz w:val="32"/>
          <w:szCs w:val="32"/>
          <w:highlight w:val="none"/>
          <w:lang w:val="en-US" w:eastAsia="zh-CN"/>
        </w:rPr>
        <w:t>呼图壁县商务和工业信息化局</w:t>
      </w:r>
      <w:r>
        <w:rPr>
          <w:rFonts w:hint="eastAsia" w:ascii="仿宋_GB2312" w:hAnsi="Times New Roman" w:eastAsia="仿宋_GB2312" w:cs="Times New Roman"/>
          <w:color w:val="auto"/>
          <w:spacing w:val="-11"/>
          <w:sz w:val="32"/>
          <w:szCs w:val="32"/>
          <w:highlight w:val="none"/>
          <w:lang w:eastAsia="zh-CN"/>
        </w:rPr>
        <w:t>部门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1C3DFA"/>
    <w:rsid w:val="00253ACA"/>
    <w:rsid w:val="002D7EB3"/>
    <w:rsid w:val="0074109B"/>
    <w:rsid w:val="007F4167"/>
    <w:rsid w:val="008542B0"/>
    <w:rsid w:val="00B220EA"/>
    <w:rsid w:val="00B35604"/>
    <w:rsid w:val="00C2626C"/>
    <w:rsid w:val="00E41A1F"/>
    <w:rsid w:val="017B2F92"/>
    <w:rsid w:val="019E3E39"/>
    <w:rsid w:val="01CB20EB"/>
    <w:rsid w:val="020E507E"/>
    <w:rsid w:val="02732F8E"/>
    <w:rsid w:val="029A27C9"/>
    <w:rsid w:val="02CB7F49"/>
    <w:rsid w:val="03015F0F"/>
    <w:rsid w:val="031F2F0C"/>
    <w:rsid w:val="037800D1"/>
    <w:rsid w:val="03875C72"/>
    <w:rsid w:val="038A418F"/>
    <w:rsid w:val="03A70FC8"/>
    <w:rsid w:val="03FE45ED"/>
    <w:rsid w:val="04136C24"/>
    <w:rsid w:val="04267087"/>
    <w:rsid w:val="04267B2D"/>
    <w:rsid w:val="04473831"/>
    <w:rsid w:val="044C330C"/>
    <w:rsid w:val="04CE37ED"/>
    <w:rsid w:val="05397FD9"/>
    <w:rsid w:val="057508B7"/>
    <w:rsid w:val="057A5F58"/>
    <w:rsid w:val="05B141C4"/>
    <w:rsid w:val="05CA273A"/>
    <w:rsid w:val="05E9799C"/>
    <w:rsid w:val="0637409F"/>
    <w:rsid w:val="067B6ABD"/>
    <w:rsid w:val="067C3EDF"/>
    <w:rsid w:val="06DA4A8C"/>
    <w:rsid w:val="06DA4F3A"/>
    <w:rsid w:val="070E6657"/>
    <w:rsid w:val="075D2CF0"/>
    <w:rsid w:val="07714DFE"/>
    <w:rsid w:val="077C5D47"/>
    <w:rsid w:val="07A63F39"/>
    <w:rsid w:val="07B971A5"/>
    <w:rsid w:val="07DA147F"/>
    <w:rsid w:val="07F41364"/>
    <w:rsid w:val="080E3E4F"/>
    <w:rsid w:val="081A5DB7"/>
    <w:rsid w:val="084451C2"/>
    <w:rsid w:val="08450B28"/>
    <w:rsid w:val="08762705"/>
    <w:rsid w:val="088F5575"/>
    <w:rsid w:val="089F627A"/>
    <w:rsid w:val="08A23372"/>
    <w:rsid w:val="08B6600A"/>
    <w:rsid w:val="08C90AAC"/>
    <w:rsid w:val="08E81855"/>
    <w:rsid w:val="09123DD0"/>
    <w:rsid w:val="092E5CD3"/>
    <w:rsid w:val="09652AB0"/>
    <w:rsid w:val="096D23BF"/>
    <w:rsid w:val="098C3A57"/>
    <w:rsid w:val="09BD6B8A"/>
    <w:rsid w:val="09E97FB0"/>
    <w:rsid w:val="0A0B5ECF"/>
    <w:rsid w:val="0A4168EC"/>
    <w:rsid w:val="0A547A95"/>
    <w:rsid w:val="0A8568B6"/>
    <w:rsid w:val="0AAE20D9"/>
    <w:rsid w:val="0AB22524"/>
    <w:rsid w:val="0ABF6B8F"/>
    <w:rsid w:val="0AD672A7"/>
    <w:rsid w:val="0AE75089"/>
    <w:rsid w:val="0B247F12"/>
    <w:rsid w:val="0B7C3034"/>
    <w:rsid w:val="0B841FFD"/>
    <w:rsid w:val="0BC1518D"/>
    <w:rsid w:val="0BD56A2F"/>
    <w:rsid w:val="0BFD711D"/>
    <w:rsid w:val="0C0A3890"/>
    <w:rsid w:val="0C1E37D3"/>
    <w:rsid w:val="0C9C15A4"/>
    <w:rsid w:val="0CD20198"/>
    <w:rsid w:val="0CEC568C"/>
    <w:rsid w:val="0D0853F5"/>
    <w:rsid w:val="0D6E5FD0"/>
    <w:rsid w:val="0D7A7B08"/>
    <w:rsid w:val="0DAD380C"/>
    <w:rsid w:val="0DAF26A4"/>
    <w:rsid w:val="0DB43379"/>
    <w:rsid w:val="0E146928"/>
    <w:rsid w:val="0E320E7D"/>
    <w:rsid w:val="0E6166D7"/>
    <w:rsid w:val="0E6454CC"/>
    <w:rsid w:val="0E7C5D5A"/>
    <w:rsid w:val="0E8113E3"/>
    <w:rsid w:val="0E9208E7"/>
    <w:rsid w:val="0E9A2DDB"/>
    <w:rsid w:val="0EB9431C"/>
    <w:rsid w:val="0EBE2F84"/>
    <w:rsid w:val="0EC213ED"/>
    <w:rsid w:val="0EF1652B"/>
    <w:rsid w:val="0F097D51"/>
    <w:rsid w:val="0F242FE5"/>
    <w:rsid w:val="0F46190F"/>
    <w:rsid w:val="0FB00A11"/>
    <w:rsid w:val="0FD515D1"/>
    <w:rsid w:val="0FF918C4"/>
    <w:rsid w:val="100E750D"/>
    <w:rsid w:val="10291B38"/>
    <w:rsid w:val="103A0461"/>
    <w:rsid w:val="103E7816"/>
    <w:rsid w:val="10587512"/>
    <w:rsid w:val="105A4F2A"/>
    <w:rsid w:val="105D0E37"/>
    <w:rsid w:val="10916BDA"/>
    <w:rsid w:val="109B052E"/>
    <w:rsid w:val="10C266CA"/>
    <w:rsid w:val="10CE04D5"/>
    <w:rsid w:val="11036B00"/>
    <w:rsid w:val="11053F4A"/>
    <w:rsid w:val="112054A9"/>
    <w:rsid w:val="11301FEB"/>
    <w:rsid w:val="115A6D5A"/>
    <w:rsid w:val="11AF1315"/>
    <w:rsid w:val="11B6451D"/>
    <w:rsid w:val="120514D7"/>
    <w:rsid w:val="121E62E8"/>
    <w:rsid w:val="121F3FCA"/>
    <w:rsid w:val="123A684B"/>
    <w:rsid w:val="127B1CA3"/>
    <w:rsid w:val="12A37A61"/>
    <w:rsid w:val="12AD5A08"/>
    <w:rsid w:val="12BF41F6"/>
    <w:rsid w:val="12DD6EFB"/>
    <w:rsid w:val="138A4F06"/>
    <w:rsid w:val="13AD3C52"/>
    <w:rsid w:val="142D6F62"/>
    <w:rsid w:val="144A1488"/>
    <w:rsid w:val="147C5E29"/>
    <w:rsid w:val="147E12BF"/>
    <w:rsid w:val="15006868"/>
    <w:rsid w:val="158468D8"/>
    <w:rsid w:val="15DF13FC"/>
    <w:rsid w:val="15F672DD"/>
    <w:rsid w:val="16865A7C"/>
    <w:rsid w:val="1697741D"/>
    <w:rsid w:val="16A1460F"/>
    <w:rsid w:val="16B17C2B"/>
    <w:rsid w:val="171170E7"/>
    <w:rsid w:val="173F2AC6"/>
    <w:rsid w:val="186F1ADE"/>
    <w:rsid w:val="186F56BD"/>
    <w:rsid w:val="189F39C1"/>
    <w:rsid w:val="18E536F8"/>
    <w:rsid w:val="192C0FEA"/>
    <w:rsid w:val="19584ED1"/>
    <w:rsid w:val="197C2C5C"/>
    <w:rsid w:val="19811DB3"/>
    <w:rsid w:val="19A215AC"/>
    <w:rsid w:val="19C00E04"/>
    <w:rsid w:val="19D918CB"/>
    <w:rsid w:val="19E96BF7"/>
    <w:rsid w:val="1A132B78"/>
    <w:rsid w:val="1A2044F0"/>
    <w:rsid w:val="1A6E1EB9"/>
    <w:rsid w:val="1A954531"/>
    <w:rsid w:val="1AAD360F"/>
    <w:rsid w:val="1AAD6A0B"/>
    <w:rsid w:val="1AC437A4"/>
    <w:rsid w:val="1ADB18DF"/>
    <w:rsid w:val="1AE11ED0"/>
    <w:rsid w:val="1B005201"/>
    <w:rsid w:val="1B153D26"/>
    <w:rsid w:val="1B205F5E"/>
    <w:rsid w:val="1B913CDF"/>
    <w:rsid w:val="1BEB0544"/>
    <w:rsid w:val="1BEB54C3"/>
    <w:rsid w:val="1C3C6084"/>
    <w:rsid w:val="1C437520"/>
    <w:rsid w:val="1C4C5410"/>
    <w:rsid w:val="1C8C02F2"/>
    <w:rsid w:val="1CBE7FCB"/>
    <w:rsid w:val="1CCF2EBA"/>
    <w:rsid w:val="1D3433A9"/>
    <w:rsid w:val="1D3E1AFE"/>
    <w:rsid w:val="1D582D1B"/>
    <w:rsid w:val="1D68774B"/>
    <w:rsid w:val="1D6F3BD2"/>
    <w:rsid w:val="1D7522E4"/>
    <w:rsid w:val="1DA2430B"/>
    <w:rsid w:val="1DAB22CE"/>
    <w:rsid w:val="1DC8355D"/>
    <w:rsid w:val="1E6432D4"/>
    <w:rsid w:val="1E89232D"/>
    <w:rsid w:val="1E97355E"/>
    <w:rsid w:val="1EB067E8"/>
    <w:rsid w:val="1EB61656"/>
    <w:rsid w:val="1F1646E5"/>
    <w:rsid w:val="1F1E05CC"/>
    <w:rsid w:val="1F250A6B"/>
    <w:rsid w:val="1F552B1C"/>
    <w:rsid w:val="1FE15DDC"/>
    <w:rsid w:val="20407429"/>
    <w:rsid w:val="204D1CD5"/>
    <w:rsid w:val="20C56D7B"/>
    <w:rsid w:val="20CF3CE4"/>
    <w:rsid w:val="20D45232"/>
    <w:rsid w:val="20DD55C0"/>
    <w:rsid w:val="20F843D4"/>
    <w:rsid w:val="21297B29"/>
    <w:rsid w:val="213D4C18"/>
    <w:rsid w:val="214378F0"/>
    <w:rsid w:val="214A3AE5"/>
    <w:rsid w:val="21656BC0"/>
    <w:rsid w:val="21A617EC"/>
    <w:rsid w:val="21B636A5"/>
    <w:rsid w:val="21F3372D"/>
    <w:rsid w:val="221801DA"/>
    <w:rsid w:val="22345FD2"/>
    <w:rsid w:val="226D47F6"/>
    <w:rsid w:val="226E341B"/>
    <w:rsid w:val="227D01E4"/>
    <w:rsid w:val="22922CB8"/>
    <w:rsid w:val="22DB78DD"/>
    <w:rsid w:val="2303092B"/>
    <w:rsid w:val="23276391"/>
    <w:rsid w:val="237C28AD"/>
    <w:rsid w:val="23F1094D"/>
    <w:rsid w:val="23FB786F"/>
    <w:rsid w:val="240E7D8E"/>
    <w:rsid w:val="2448053F"/>
    <w:rsid w:val="244D65B8"/>
    <w:rsid w:val="245142E4"/>
    <w:rsid w:val="24563BE0"/>
    <w:rsid w:val="2492221D"/>
    <w:rsid w:val="24970741"/>
    <w:rsid w:val="249C5ED0"/>
    <w:rsid w:val="24B42D8E"/>
    <w:rsid w:val="24C1589B"/>
    <w:rsid w:val="24D171E9"/>
    <w:rsid w:val="250335CE"/>
    <w:rsid w:val="250855AF"/>
    <w:rsid w:val="25330352"/>
    <w:rsid w:val="256139EF"/>
    <w:rsid w:val="25787DA3"/>
    <w:rsid w:val="258128DE"/>
    <w:rsid w:val="258B383C"/>
    <w:rsid w:val="263B7010"/>
    <w:rsid w:val="266D5366"/>
    <w:rsid w:val="26B4291F"/>
    <w:rsid w:val="26BD282A"/>
    <w:rsid w:val="26CA4530"/>
    <w:rsid w:val="26E769FA"/>
    <w:rsid w:val="272E3675"/>
    <w:rsid w:val="274F546F"/>
    <w:rsid w:val="27AD12ED"/>
    <w:rsid w:val="27C9598F"/>
    <w:rsid w:val="27E84B25"/>
    <w:rsid w:val="27F40340"/>
    <w:rsid w:val="28067B3A"/>
    <w:rsid w:val="281A2F57"/>
    <w:rsid w:val="2820169D"/>
    <w:rsid w:val="282B7B4E"/>
    <w:rsid w:val="282D066E"/>
    <w:rsid w:val="28433CD3"/>
    <w:rsid w:val="286D65BC"/>
    <w:rsid w:val="28754330"/>
    <w:rsid w:val="2892676B"/>
    <w:rsid w:val="28A678A3"/>
    <w:rsid w:val="28C102E7"/>
    <w:rsid w:val="28D9041B"/>
    <w:rsid w:val="293B2E83"/>
    <w:rsid w:val="295B1263"/>
    <w:rsid w:val="29F0700C"/>
    <w:rsid w:val="2A9426E1"/>
    <w:rsid w:val="2AFC4894"/>
    <w:rsid w:val="2B0F60CC"/>
    <w:rsid w:val="2B3A05DE"/>
    <w:rsid w:val="2B6901C6"/>
    <w:rsid w:val="2B7C2EAE"/>
    <w:rsid w:val="2B8A7C36"/>
    <w:rsid w:val="2B982D56"/>
    <w:rsid w:val="2B9C3E78"/>
    <w:rsid w:val="2BD40F54"/>
    <w:rsid w:val="2BE82FFA"/>
    <w:rsid w:val="2C5059EF"/>
    <w:rsid w:val="2C9614BC"/>
    <w:rsid w:val="2CA455C9"/>
    <w:rsid w:val="2CC64926"/>
    <w:rsid w:val="2D2E0BF8"/>
    <w:rsid w:val="2D331D9E"/>
    <w:rsid w:val="2D480265"/>
    <w:rsid w:val="2D546EB7"/>
    <w:rsid w:val="2D5E0FAA"/>
    <w:rsid w:val="2D756487"/>
    <w:rsid w:val="2D932DAF"/>
    <w:rsid w:val="2D933473"/>
    <w:rsid w:val="2D977453"/>
    <w:rsid w:val="2DE010F7"/>
    <w:rsid w:val="2DE351C4"/>
    <w:rsid w:val="2DFD43B3"/>
    <w:rsid w:val="2E2943BA"/>
    <w:rsid w:val="2E5349C3"/>
    <w:rsid w:val="2E677218"/>
    <w:rsid w:val="2E7979E5"/>
    <w:rsid w:val="2E967DF8"/>
    <w:rsid w:val="2E9869B7"/>
    <w:rsid w:val="2EBC3B05"/>
    <w:rsid w:val="2EF22236"/>
    <w:rsid w:val="2F1B43C6"/>
    <w:rsid w:val="2F3F3674"/>
    <w:rsid w:val="2F6E235D"/>
    <w:rsid w:val="2F9D193D"/>
    <w:rsid w:val="2FED29FE"/>
    <w:rsid w:val="300E1D4A"/>
    <w:rsid w:val="30467917"/>
    <w:rsid w:val="30770081"/>
    <w:rsid w:val="30A51020"/>
    <w:rsid w:val="30B05F05"/>
    <w:rsid w:val="310857FE"/>
    <w:rsid w:val="310F3573"/>
    <w:rsid w:val="31186D72"/>
    <w:rsid w:val="31C86E61"/>
    <w:rsid w:val="31D32752"/>
    <w:rsid w:val="31D90821"/>
    <w:rsid w:val="31E300F4"/>
    <w:rsid w:val="32060FC4"/>
    <w:rsid w:val="32263B47"/>
    <w:rsid w:val="323F662A"/>
    <w:rsid w:val="325F6AAD"/>
    <w:rsid w:val="32B735F9"/>
    <w:rsid w:val="32D560F7"/>
    <w:rsid w:val="32E24B78"/>
    <w:rsid w:val="32EA2331"/>
    <w:rsid w:val="3311044B"/>
    <w:rsid w:val="33372699"/>
    <w:rsid w:val="33A76F60"/>
    <w:rsid w:val="33AF404D"/>
    <w:rsid w:val="33BC18EF"/>
    <w:rsid w:val="33BC4E53"/>
    <w:rsid w:val="33E81A5A"/>
    <w:rsid w:val="341E7629"/>
    <w:rsid w:val="344B06D3"/>
    <w:rsid w:val="34913C10"/>
    <w:rsid w:val="34BD6F13"/>
    <w:rsid w:val="34CF3467"/>
    <w:rsid w:val="34DD1481"/>
    <w:rsid w:val="34F33953"/>
    <w:rsid w:val="35063B13"/>
    <w:rsid w:val="354140A5"/>
    <w:rsid w:val="357C3DF1"/>
    <w:rsid w:val="35B65778"/>
    <w:rsid w:val="35DB53E8"/>
    <w:rsid w:val="35E75417"/>
    <w:rsid w:val="35F117C8"/>
    <w:rsid w:val="36170A2C"/>
    <w:rsid w:val="36445A95"/>
    <w:rsid w:val="36EC6B3A"/>
    <w:rsid w:val="37200641"/>
    <w:rsid w:val="37664257"/>
    <w:rsid w:val="37A66A17"/>
    <w:rsid w:val="37AA65BD"/>
    <w:rsid w:val="37F65954"/>
    <w:rsid w:val="37F81C64"/>
    <w:rsid w:val="38013DC6"/>
    <w:rsid w:val="3801763B"/>
    <w:rsid w:val="38167080"/>
    <w:rsid w:val="38284F1B"/>
    <w:rsid w:val="382F5193"/>
    <w:rsid w:val="385E5FB7"/>
    <w:rsid w:val="389D6E94"/>
    <w:rsid w:val="38FA0C0E"/>
    <w:rsid w:val="3923627F"/>
    <w:rsid w:val="39557E1E"/>
    <w:rsid w:val="39562836"/>
    <w:rsid w:val="398029E4"/>
    <w:rsid w:val="39A63001"/>
    <w:rsid w:val="39B0409D"/>
    <w:rsid w:val="39B646D0"/>
    <w:rsid w:val="39CB4C31"/>
    <w:rsid w:val="39EA6652"/>
    <w:rsid w:val="39F64C7C"/>
    <w:rsid w:val="3A110A5E"/>
    <w:rsid w:val="3A4213E8"/>
    <w:rsid w:val="3AAA2CD3"/>
    <w:rsid w:val="3B1C74AF"/>
    <w:rsid w:val="3B213FB2"/>
    <w:rsid w:val="3B297780"/>
    <w:rsid w:val="3B47282C"/>
    <w:rsid w:val="3B643C64"/>
    <w:rsid w:val="3B79534D"/>
    <w:rsid w:val="3B84603D"/>
    <w:rsid w:val="3BB033DD"/>
    <w:rsid w:val="3BBB76D5"/>
    <w:rsid w:val="3BDA677E"/>
    <w:rsid w:val="3BE45FB7"/>
    <w:rsid w:val="3BF21AC7"/>
    <w:rsid w:val="3C013037"/>
    <w:rsid w:val="3C2E6B68"/>
    <w:rsid w:val="3C5618AB"/>
    <w:rsid w:val="3CA253B4"/>
    <w:rsid w:val="3CA4146A"/>
    <w:rsid w:val="3D37399F"/>
    <w:rsid w:val="3D4517CD"/>
    <w:rsid w:val="3D4A76E0"/>
    <w:rsid w:val="3D4B57A9"/>
    <w:rsid w:val="3D524A9A"/>
    <w:rsid w:val="3D715033"/>
    <w:rsid w:val="3D972959"/>
    <w:rsid w:val="3DDB375B"/>
    <w:rsid w:val="3DEB131E"/>
    <w:rsid w:val="3DFB28A5"/>
    <w:rsid w:val="3E417398"/>
    <w:rsid w:val="3E5A05BE"/>
    <w:rsid w:val="3EAE5065"/>
    <w:rsid w:val="3EC21D73"/>
    <w:rsid w:val="3EE37B19"/>
    <w:rsid w:val="3EE64412"/>
    <w:rsid w:val="3EFB01E2"/>
    <w:rsid w:val="3F00417A"/>
    <w:rsid w:val="3F464493"/>
    <w:rsid w:val="3F891317"/>
    <w:rsid w:val="3FD80EE0"/>
    <w:rsid w:val="3FD8618B"/>
    <w:rsid w:val="3FDF4D23"/>
    <w:rsid w:val="406468CF"/>
    <w:rsid w:val="406B76AB"/>
    <w:rsid w:val="40FD1583"/>
    <w:rsid w:val="41083B3B"/>
    <w:rsid w:val="41270465"/>
    <w:rsid w:val="413B5EDC"/>
    <w:rsid w:val="413D6C2A"/>
    <w:rsid w:val="414A1804"/>
    <w:rsid w:val="419F4539"/>
    <w:rsid w:val="41A135E1"/>
    <w:rsid w:val="41DB2FFE"/>
    <w:rsid w:val="420219C8"/>
    <w:rsid w:val="42775D17"/>
    <w:rsid w:val="42F0160E"/>
    <w:rsid w:val="42F779C3"/>
    <w:rsid w:val="430F7001"/>
    <w:rsid w:val="434A03D4"/>
    <w:rsid w:val="434B2C20"/>
    <w:rsid w:val="43502DA9"/>
    <w:rsid w:val="436A5756"/>
    <w:rsid w:val="43A345E7"/>
    <w:rsid w:val="43C26223"/>
    <w:rsid w:val="43D8307E"/>
    <w:rsid w:val="43DA5C43"/>
    <w:rsid w:val="43E60DF9"/>
    <w:rsid w:val="440F483A"/>
    <w:rsid w:val="44507CD3"/>
    <w:rsid w:val="446420BF"/>
    <w:rsid w:val="44831A6B"/>
    <w:rsid w:val="44A81AD8"/>
    <w:rsid w:val="44AF5181"/>
    <w:rsid w:val="44D40737"/>
    <w:rsid w:val="45023483"/>
    <w:rsid w:val="45237BA4"/>
    <w:rsid w:val="455A018C"/>
    <w:rsid w:val="4592428D"/>
    <w:rsid w:val="45AC18DC"/>
    <w:rsid w:val="45DA2A53"/>
    <w:rsid w:val="45FE1FE4"/>
    <w:rsid w:val="4615329F"/>
    <w:rsid w:val="463A6CB2"/>
    <w:rsid w:val="46804ACC"/>
    <w:rsid w:val="46825295"/>
    <w:rsid w:val="469B39F8"/>
    <w:rsid w:val="469D1857"/>
    <w:rsid w:val="46A461D8"/>
    <w:rsid w:val="46B02CAB"/>
    <w:rsid w:val="46B97291"/>
    <w:rsid w:val="46C96C1A"/>
    <w:rsid w:val="46CE3131"/>
    <w:rsid w:val="471A369C"/>
    <w:rsid w:val="47267544"/>
    <w:rsid w:val="472F13FC"/>
    <w:rsid w:val="475318AA"/>
    <w:rsid w:val="47A26091"/>
    <w:rsid w:val="47AB7B57"/>
    <w:rsid w:val="47C5609F"/>
    <w:rsid w:val="47C756C5"/>
    <w:rsid w:val="47E81BDB"/>
    <w:rsid w:val="48815F68"/>
    <w:rsid w:val="48B2162B"/>
    <w:rsid w:val="48B410BB"/>
    <w:rsid w:val="490A0A47"/>
    <w:rsid w:val="491731F0"/>
    <w:rsid w:val="491C34AA"/>
    <w:rsid w:val="493059DD"/>
    <w:rsid w:val="494F7907"/>
    <w:rsid w:val="49735837"/>
    <w:rsid w:val="49E56404"/>
    <w:rsid w:val="4A3B4AFA"/>
    <w:rsid w:val="4A420B10"/>
    <w:rsid w:val="4A516D95"/>
    <w:rsid w:val="4A971B0C"/>
    <w:rsid w:val="4A985BC4"/>
    <w:rsid w:val="4AD243F9"/>
    <w:rsid w:val="4ADF73DC"/>
    <w:rsid w:val="4B090BDC"/>
    <w:rsid w:val="4B1B26BD"/>
    <w:rsid w:val="4B2F4B10"/>
    <w:rsid w:val="4B315A3D"/>
    <w:rsid w:val="4B477268"/>
    <w:rsid w:val="4B5421F8"/>
    <w:rsid w:val="4BEE60FC"/>
    <w:rsid w:val="4C0055E5"/>
    <w:rsid w:val="4C1B18CD"/>
    <w:rsid w:val="4C3677AE"/>
    <w:rsid w:val="4C4D7C84"/>
    <w:rsid w:val="4C5E517C"/>
    <w:rsid w:val="4C6B4ABA"/>
    <w:rsid w:val="4C706B3A"/>
    <w:rsid w:val="4CB661B8"/>
    <w:rsid w:val="4CE04F7E"/>
    <w:rsid w:val="4D1C76C0"/>
    <w:rsid w:val="4D4F0235"/>
    <w:rsid w:val="4D5C1D0C"/>
    <w:rsid w:val="4D5C4872"/>
    <w:rsid w:val="4D9724CF"/>
    <w:rsid w:val="4D9F12D2"/>
    <w:rsid w:val="4DDF37F4"/>
    <w:rsid w:val="4E6B744F"/>
    <w:rsid w:val="4E962A0B"/>
    <w:rsid w:val="4F3B332E"/>
    <w:rsid w:val="4FA25A65"/>
    <w:rsid w:val="4FAF3771"/>
    <w:rsid w:val="4FC12694"/>
    <w:rsid w:val="4FD83C8D"/>
    <w:rsid w:val="501939CE"/>
    <w:rsid w:val="50780DEC"/>
    <w:rsid w:val="50AD62EC"/>
    <w:rsid w:val="50CB6B86"/>
    <w:rsid w:val="50D05FA2"/>
    <w:rsid w:val="512F41D5"/>
    <w:rsid w:val="51404FC8"/>
    <w:rsid w:val="518F2415"/>
    <w:rsid w:val="51A02FE8"/>
    <w:rsid w:val="51AA003C"/>
    <w:rsid w:val="51C15CED"/>
    <w:rsid w:val="51E4685C"/>
    <w:rsid w:val="51ED4B07"/>
    <w:rsid w:val="5228595A"/>
    <w:rsid w:val="52285DEB"/>
    <w:rsid w:val="525F6430"/>
    <w:rsid w:val="526E307F"/>
    <w:rsid w:val="52AD62F0"/>
    <w:rsid w:val="534A7FBE"/>
    <w:rsid w:val="53967F14"/>
    <w:rsid w:val="539A179A"/>
    <w:rsid w:val="53A8398B"/>
    <w:rsid w:val="53A94D0A"/>
    <w:rsid w:val="53AE6433"/>
    <w:rsid w:val="53E71C57"/>
    <w:rsid w:val="53F1246B"/>
    <w:rsid w:val="540A5D65"/>
    <w:rsid w:val="544F7BF8"/>
    <w:rsid w:val="546308FE"/>
    <w:rsid w:val="54AD2B73"/>
    <w:rsid w:val="54B50E6B"/>
    <w:rsid w:val="54DE7388"/>
    <w:rsid w:val="551829FC"/>
    <w:rsid w:val="554E656F"/>
    <w:rsid w:val="55684159"/>
    <w:rsid w:val="55A53CB9"/>
    <w:rsid w:val="55F67EDC"/>
    <w:rsid w:val="55FC2803"/>
    <w:rsid w:val="56023BA1"/>
    <w:rsid w:val="560D3457"/>
    <w:rsid w:val="56233960"/>
    <w:rsid w:val="562675A3"/>
    <w:rsid w:val="562B5B7F"/>
    <w:rsid w:val="562F4DF9"/>
    <w:rsid w:val="56486D1B"/>
    <w:rsid w:val="5665217E"/>
    <w:rsid w:val="56D2479B"/>
    <w:rsid w:val="56E863FD"/>
    <w:rsid w:val="56FE59C9"/>
    <w:rsid w:val="57092E0E"/>
    <w:rsid w:val="570D735E"/>
    <w:rsid w:val="571B2674"/>
    <w:rsid w:val="57345A9A"/>
    <w:rsid w:val="578B6BB3"/>
    <w:rsid w:val="57FB2B74"/>
    <w:rsid w:val="58070E5D"/>
    <w:rsid w:val="58203B91"/>
    <w:rsid w:val="585F1909"/>
    <w:rsid w:val="586C4A91"/>
    <w:rsid w:val="589917F1"/>
    <w:rsid w:val="58A06A46"/>
    <w:rsid w:val="58EB044A"/>
    <w:rsid w:val="593B32E3"/>
    <w:rsid w:val="594173DA"/>
    <w:rsid w:val="595640F8"/>
    <w:rsid w:val="595D2FA6"/>
    <w:rsid w:val="599E0F7F"/>
    <w:rsid w:val="59B241EC"/>
    <w:rsid w:val="5A1904C9"/>
    <w:rsid w:val="5A5E27F6"/>
    <w:rsid w:val="5A6B1903"/>
    <w:rsid w:val="5A6C5D74"/>
    <w:rsid w:val="5A704801"/>
    <w:rsid w:val="5A8C5E4D"/>
    <w:rsid w:val="5AA4622B"/>
    <w:rsid w:val="5AD3598C"/>
    <w:rsid w:val="5ADE26D1"/>
    <w:rsid w:val="5AED2A9A"/>
    <w:rsid w:val="5B096E11"/>
    <w:rsid w:val="5B161050"/>
    <w:rsid w:val="5B6151AA"/>
    <w:rsid w:val="5B724859"/>
    <w:rsid w:val="5BD74BE8"/>
    <w:rsid w:val="5C744540"/>
    <w:rsid w:val="5C9E11E4"/>
    <w:rsid w:val="5CE849D5"/>
    <w:rsid w:val="5D115381"/>
    <w:rsid w:val="5D490090"/>
    <w:rsid w:val="5D5A4816"/>
    <w:rsid w:val="5D8367DA"/>
    <w:rsid w:val="5D9E1657"/>
    <w:rsid w:val="5DB65914"/>
    <w:rsid w:val="5DE42A39"/>
    <w:rsid w:val="5E225DE5"/>
    <w:rsid w:val="5E257683"/>
    <w:rsid w:val="5E7802BC"/>
    <w:rsid w:val="5E9A03D6"/>
    <w:rsid w:val="5EC46C53"/>
    <w:rsid w:val="5ED53888"/>
    <w:rsid w:val="5ED83765"/>
    <w:rsid w:val="5EE078B0"/>
    <w:rsid w:val="5F0D5523"/>
    <w:rsid w:val="5F2346ED"/>
    <w:rsid w:val="5F262DB1"/>
    <w:rsid w:val="5F3D6D4F"/>
    <w:rsid w:val="5F770BAD"/>
    <w:rsid w:val="5F861CF6"/>
    <w:rsid w:val="5F891F93"/>
    <w:rsid w:val="5FBE0ABD"/>
    <w:rsid w:val="5FD26950"/>
    <w:rsid w:val="5FE11A5B"/>
    <w:rsid w:val="60105576"/>
    <w:rsid w:val="60171782"/>
    <w:rsid w:val="60A25BCA"/>
    <w:rsid w:val="60B552A6"/>
    <w:rsid w:val="60E4736A"/>
    <w:rsid w:val="61086613"/>
    <w:rsid w:val="615769E9"/>
    <w:rsid w:val="61686204"/>
    <w:rsid w:val="617324E2"/>
    <w:rsid w:val="619F3560"/>
    <w:rsid w:val="61AD5C59"/>
    <w:rsid w:val="62086E3A"/>
    <w:rsid w:val="62917095"/>
    <w:rsid w:val="6295636F"/>
    <w:rsid w:val="62C21773"/>
    <w:rsid w:val="62C573FB"/>
    <w:rsid w:val="62C80E26"/>
    <w:rsid w:val="63060238"/>
    <w:rsid w:val="630E06E5"/>
    <w:rsid w:val="63283A59"/>
    <w:rsid w:val="63675032"/>
    <w:rsid w:val="636828A4"/>
    <w:rsid w:val="63736796"/>
    <w:rsid w:val="63A41FE8"/>
    <w:rsid w:val="6408782B"/>
    <w:rsid w:val="6460105A"/>
    <w:rsid w:val="64A018D4"/>
    <w:rsid w:val="64BA64C0"/>
    <w:rsid w:val="64D0358A"/>
    <w:rsid w:val="64D44F99"/>
    <w:rsid w:val="64D74F37"/>
    <w:rsid w:val="64EE5E1E"/>
    <w:rsid w:val="65322CBF"/>
    <w:rsid w:val="65324442"/>
    <w:rsid w:val="653754FF"/>
    <w:rsid w:val="65B35574"/>
    <w:rsid w:val="65C658ED"/>
    <w:rsid w:val="661E50E3"/>
    <w:rsid w:val="66497E39"/>
    <w:rsid w:val="664A0A7C"/>
    <w:rsid w:val="6675349F"/>
    <w:rsid w:val="66793C50"/>
    <w:rsid w:val="66871035"/>
    <w:rsid w:val="66941550"/>
    <w:rsid w:val="66DA76CA"/>
    <w:rsid w:val="67242B61"/>
    <w:rsid w:val="67A760FC"/>
    <w:rsid w:val="67D27C62"/>
    <w:rsid w:val="68063F60"/>
    <w:rsid w:val="6820426C"/>
    <w:rsid w:val="68681D3C"/>
    <w:rsid w:val="68994AFD"/>
    <w:rsid w:val="68CC52CB"/>
    <w:rsid w:val="68DE4FFE"/>
    <w:rsid w:val="69066D98"/>
    <w:rsid w:val="691B0000"/>
    <w:rsid w:val="6945766E"/>
    <w:rsid w:val="694B58D7"/>
    <w:rsid w:val="69530618"/>
    <w:rsid w:val="6984609F"/>
    <w:rsid w:val="69AD4315"/>
    <w:rsid w:val="69B50C5A"/>
    <w:rsid w:val="69C00D8B"/>
    <w:rsid w:val="69C62326"/>
    <w:rsid w:val="69CE4E15"/>
    <w:rsid w:val="6A4C37C5"/>
    <w:rsid w:val="6A777E79"/>
    <w:rsid w:val="6A7D32BD"/>
    <w:rsid w:val="6AD97F5A"/>
    <w:rsid w:val="6AF821D6"/>
    <w:rsid w:val="6AFE6966"/>
    <w:rsid w:val="6B017043"/>
    <w:rsid w:val="6B342BEF"/>
    <w:rsid w:val="6B3E7E06"/>
    <w:rsid w:val="6B5E3AE7"/>
    <w:rsid w:val="6B6824FA"/>
    <w:rsid w:val="6B7F3246"/>
    <w:rsid w:val="6B7F4567"/>
    <w:rsid w:val="6BC10D31"/>
    <w:rsid w:val="6BEE3B88"/>
    <w:rsid w:val="6BF904A6"/>
    <w:rsid w:val="6C1134DA"/>
    <w:rsid w:val="6C71367D"/>
    <w:rsid w:val="6C7A2E82"/>
    <w:rsid w:val="6C8959F2"/>
    <w:rsid w:val="6CA36CCC"/>
    <w:rsid w:val="6CAB36D8"/>
    <w:rsid w:val="6CB5251A"/>
    <w:rsid w:val="6CD01A7C"/>
    <w:rsid w:val="6CD429A0"/>
    <w:rsid w:val="6CD72B2F"/>
    <w:rsid w:val="6D8D463F"/>
    <w:rsid w:val="6DB04236"/>
    <w:rsid w:val="6DBD48FE"/>
    <w:rsid w:val="6DE15B01"/>
    <w:rsid w:val="6E1F200D"/>
    <w:rsid w:val="6E833E2F"/>
    <w:rsid w:val="6EF07839"/>
    <w:rsid w:val="6F313AC0"/>
    <w:rsid w:val="6F35777F"/>
    <w:rsid w:val="6F394982"/>
    <w:rsid w:val="6F63000B"/>
    <w:rsid w:val="6F992AA6"/>
    <w:rsid w:val="6FAF326B"/>
    <w:rsid w:val="6FCF0C72"/>
    <w:rsid w:val="703934D7"/>
    <w:rsid w:val="705159FC"/>
    <w:rsid w:val="70726F06"/>
    <w:rsid w:val="70DA2A03"/>
    <w:rsid w:val="71500A63"/>
    <w:rsid w:val="717C1858"/>
    <w:rsid w:val="71D6043E"/>
    <w:rsid w:val="71EF1BED"/>
    <w:rsid w:val="720054D5"/>
    <w:rsid w:val="7201022D"/>
    <w:rsid w:val="729A5A6D"/>
    <w:rsid w:val="72B56DCF"/>
    <w:rsid w:val="72E964BC"/>
    <w:rsid w:val="7304116A"/>
    <w:rsid w:val="730A485F"/>
    <w:rsid w:val="732F2324"/>
    <w:rsid w:val="73381A50"/>
    <w:rsid w:val="733D43A4"/>
    <w:rsid w:val="734D7983"/>
    <w:rsid w:val="735C7C42"/>
    <w:rsid w:val="744B3349"/>
    <w:rsid w:val="74560386"/>
    <w:rsid w:val="748903B7"/>
    <w:rsid w:val="74D07EF1"/>
    <w:rsid w:val="74DB2440"/>
    <w:rsid w:val="75017512"/>
    <w:rsid w:val="750D59F0"/>
    <w:rsid w:val="75127DF6"/>
    <w:rsid w:val="75546C0C"/>
    <w:rsid w:val="75B570E6"/>
    <w:rsid w:val="75BF3AC1"/>
    <w:rsid w:val="76582F1F"/>
    <w:rsid w:val="76B51D07"/>
    <w:rsid w:val="7706409E"/>
    <w:rsid w:val="77484D00"/>
    <w:rsid w:val="77526000"/>
    <w:rsid w:val="775D6B35"/>
    <w:rsid w:val="7797777E"/>
    <w:rsid w:val="780A1873"/>
    <w:rsid w:val="780B427C"/>
    <w:rsid w:val="78402291"/>
    <w:rsid w:val="78447C52"/>
    <w:rsid w:val="787D11B8"/>
    <w:rsid w:val="78A4371C"/>
    <w:rsid w:val="78A771BA"/>
    <w:rsid w:val="78AC6820"/>
    <w:rsid w:val="78DD1361"/>
    <w:rsid w:val="78EB15BA"/>
    <w:rsid w:val="792C5912"/>
    <w:rsid w:val="79322574"/>
    <w:rsid w:val="79626D28"/>
    <w:rsid w:val="79CF76FE"/>
    <w:rsid w:val="7A235449"/>
    <w:rsid w:val="7A304D8D"/>
    <w:rsid w:val="7A3C15F7"/>
    <w:rsid w:val="7A5A304A"/>
    <w:rsid w:val="7A6A0774"/>
    <w:rsid w:val="7A98718C"/>
    <w:rsid w:val="7B3E18F3"/>
    <w:rsid w:val="7B767F56"/>
    <w:rsid w:val="7B906879"/>
    <w:rsid w:val="7BAA6824"/>
    <w:rsid w:val="7C3D26C4"/>
    <w:rsid w:val="7C594AEC"/>
    <w:rsid w:val="7C8710F4"/>
    <w:rsid w:val="7CB90F52"/>
    <w:rsid w:val="7CBA4FE2"/>
    <w:rsid w:val="7D0057F7"/>
    <w:rsid w:val="7D065250"/>
    <w:rsid w:val="7D06612B"/>
    <w:rsid w:val="7D3F57D8"/>
    <w:rsid w:val="7DD94DFA"/>
    <w:rsid w:val="7DF5428B"/>
    <w:rsid w:val="7E26218A"/>
    <w:rsid w:val="7E551E0E"/>
    <w:rsid w:val="7E6735A5"/>
    <w:rsid w:val="7E880152"/>
    <w:rsid w:val="7E8B30DA"/>
    <w:rsid w:val="7EC37F33"/>
    <w:rsid w:val="7EC4008C"/>
    <w:rsid w:val="7EC4316F"/>
    <w:rsid w:val="7ECC0B34"/>
    <w:rsid w:val="7ECD6DAA"/>
    <w:rsid w:val="7F9E4CA1"/>
    <w:rsid w:val="7FA04046"/>
    <w:rsid w:val="7FBE53B5"/>
    <w:rsid w:val="7FE5225D"/>
    <w:rsid w:val="7FF657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1797</Words>
  <Characters>2145</Characters>
  <Lines>0</Lines>
  <Paragraphs>0</Paragraphs>
  <TotalTime>5</TotalTime>
  <ScaleCrop>false</ScaleCrop>
  <LinksUpToDate>false</LinksUpToDate>
  <CharactersWithSpaces>2426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2025-02-13T13:37:00Z</cp:lastPrinted>
  <dcterms:modified xsi:type="dcterms:W3CDTF">2025-05-28T05:23:46Z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