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jc w:val="center"/>
        <w:outlineLvl w:val="1"/>
        <w:rPr>
          <w:rFonts w:ascii="方正小标宋_GBK" w:hAnsi="宋体" w:eastAsia="方正小标宋_GBK"/>
          <w:kern w:val="0"/>
          <w:sz w:val="44"/>
          <w:szCs w:val="44"/>
        </w:rPr>
      </w:pPr>
    </w:p>
    <w:p>
      <w:pPr>
        <w:widowControl/>
        <w:spacing w:before="100" w:beforeAutospacing="1" w:after="100" w:afterAutospacing="1"/>
        <w:jc w:val="center"/>
        <w:outlineLvl w:val="1"/>
        <w:rPr>
          <w:rFonts w:hint="eastAsia" w:ascii="方正小标宋_GBK" w:hAnsi="宋体" w:eastAsia="方正小标宋_GBK"/>
          <w:kern w:val="0"/>
          <w:sz w:val="44"/>
          <w:szCs w:val="44"/>
        </w:rPr>
      </w:pPr>
    </w:p>
    <w:p>
      <w:pPr>
        <w:pStyle w:val="10"/>
        <w:rPr>
          <w:rFonts w:hint="eastAsia"/>
        </w:rPr>
      </w:pPr>
    </w:p>
    <w:p>
      <w:pPr>
        <w:pStyle w:val="10"/>
      </w:pPr>
    </w:p>
    <w:p>
      <w:pPr>
        <w:jc w:val="center"/>
        <w:rPr>
          <w:rFonts w:hint="eastAsia" w:ascii="黑体" w:hAnsi="ArialUnicodeMS" w:eastAsia="黑体"/>
          <w:color w:val="000000"/>
          <w:sz w:val="44"/>
          <w:szCs w:val="44"/>
          <w:lang w:eastAsia="zh-CN"/>
        </w:rPr>
      </w:pPr>
      <w:r>
        <w:rPr>
          <w:rFonts w:hint="eastAsia" w:ascii="黑体" w:hAnsi="ArialUnicodeMS" w:eastAsia="黑体"/>
          <w:color w:val="000000"/>
          <w:sz w:val="44"/>
          <w:szCs w:val="44"/>
          <w:lang w:eastAsia="zh-CN"/>
        </w:rPr>
        <w:t>呼图壁县城市管理综合服务中心</w:t>
      </w:r>
    </w:p>
    <w:p>
      <w:pPr>
        <w:jc w:val="center"/>
        <w:rPr>
          <w:rFonts w:hint="eastAsia" w:ascii="黑体" w:hAnsi="ArialUnicodeMS" w:eastAsia="黑体"/>
          <w:color w:val="000000"/>
          <w:sz w:val="44"/>
          <w:szCs w:val="44"/>
        </w:rPr>
      </w:pPr>
      <w:r>
        <w:rPr>
          <w:rFonts w:hint="eastAsia" w:ascii="黑体" w:hAnsi="ArialUnicodeMS" w:eastAsia="黑体"/>
          <w:color w:val="000000"/>
          <w:sz w:val="44"/>
          <w:szCs w:val="44"/>
        </w:rPr>
        <w:t>202</w:t>
      </w:r>
      <w:r>
        <w:rPr>
          <w:rFonts w:hint="eastAsia" w:ascii="黑体" w:hAnsi="ArialUnicodeMS" w:eastAsia="黑体"/>
          <w:color w:val="000000"/>
          <w:sz w:val="44"/>
          <w:szCs w:val="44"/>
          <w:lang w:val="en-US" w:eastAsia="zh-CN"/>
        </w:rPr>
        <w:t>5</w:t>
      </w:r>
      <w:r>
        <w:rPr>
          <w:rFonts w:hint="eastAsia" w:ascii="黑体" w:hAnsi="ArialUnicodeMS" w:eastAsia="黑体"/>
          <w:color w:val="000000"/>
          <w:sz w:val="44"/>
          <w:szCs w:val="44"/>
        </w:rPr>
        <w:t>年部门预算公开</w:t>
      </w:r>
    </w:p>
    <w:p>
      <w:pPr>
        <w:widowControl/>
        <w:spacing w:line="440" w:lineRule="exact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widowControl/>
        <w:spacing w:line="440" w:lineRule="exact"/>
        <w:outlineLvl w:val="1"/>
        <w:rPr>
          <w:rFonts w:ascii="黑体" w:hAnsi="黑体" w:eastAsia="黑体"/>
          <w:kern w:val="0"/>
          <w:sz w:val="36"/>
          <w:szCs w:val="32"/>
        </w:rPr>
      </w:pPr>
    </w:p>
    <w:p>
      <w:pPr>
        <w:spacing w:line="600" w:lineRule="exact"/>
        <w:jc w:val="center"/>
        <w:rPr>
          <w:rFonts w:hint="eastAsia" w:ascii="黑体" w:hAnsi="黑体" w:eastAsia="黑体" w:cs="黑体"/>
          <w:kern w:val="0"/>
          <w:sz w:val="32"/>
          <w:szCs w:val="32"/>
        </w:rPr>
      </w:pPr>
    </w:p>
    <w:p>
      <w:pPr>
        <w:spacing w:line="600" w:lineRule="exact"/>
        <w:jc w:val="center"/>
        <w:rPr>
          <w:rFonts w:ascii="仿宋_GB2312" w:hAnsi="仿宋_GB2312" w:eastAsia="仿宋_GB2312" w:cs="仿宋_GB2312"/>
          <w:b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目 录</w:t>
      </w:r>
    </w:p>
    <w:p>
      <w:pPr>
        <w:spacing w:line="560" w:lineRule="exact"/>
        <w:ind w:firstLine="562" w:firstLineChars="200"/>
        <w:jc w:val="left"/>
        <w:rPr>
          <w:rFonts w:hint="eastAsia" w:ascii="仿宋" w:hAnsi="仿宋" w:eastAsia="仿宋" w:cs="Times New Roman"/>
          <w:b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>第一部分  202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>年呼图壁县城市管理综合服务中心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lang w:val="en-US" w:eastAsia="zh-CN"/>
        </w:rPr>
        <w:t>部门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>概况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主要职能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机构设置及人员情况</w:t>
      </w:r>
    </w:p>
    <w:p>
      <w:pPr>
        <w:spacing w:line="560" w:lineRule="exact"/>
        <w:ind w:firstLine="562" w:firstLineChars="200"/>
        <w:jc w:val="left"/>
        <w:rPr>
          <w:rFonts w:hint="eastAsia" w:ascii="仿宋" w:hAnsi="仿宋" w:eastAsia="仿宋" w:cs="Times New Roman"/>
          <w:b/>
          <w:color w:val="000000"/>
          <w:sz w:val="28"/>
          <w:szCs w:val="28"/>
        </w:rPr>
      </w:pP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>第二部分  202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>年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  <w:lang w:val="en-US" w:eastAsia="zh-CN"/>
        </w:rPr>
        <w:t>部门</w:t>
      </w:r>
      <w:r>
        <w:rPr>
          <w:rFonts w:hint="eastAsia" w:ascii="仿宋" w:hAnsi="仿宋" w:eastAsia="仿宋" w:cs="Times New Roman"/>
          <w:b/>
          <w:color w:val="000000"/>
          <w:sz w:val="28"/>
          <w:szCs w:val="28"/>
        </w:rPr>
        <w:t>预算公开表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 部门收支总体情况表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 部门收入总体情况表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 部门支出总体情况表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 财政拨款收支预算总体情况表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 一般公共预算支出情况表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 一般公共预算基本支出情况表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 一般公共预算项目支出情况表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 政府性基金预算支出情况表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 国有资本经营预算支出情况表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 财政拨款“三公”经费支出情况表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 上年结转结余情况明细表</w:t>
      </w:r>
    </w:p>
    <w:p>
      <w:pPr>
        <w:spacing w:line="560" w:lineRule="exact"/>
        <w:ind w:firstLine="562" w:firstLineChars="200"/>
        <w:jc w:val="left"/>
        <w:rPr>
          <w:rFonts w:hint="eastAsia" w:ascii="仿宋" w:hAnsi="仿宋" w:eastAsia="仿宋"/>
          <w:b/>
          <w:color w:val="000000"/>
          <w:sz w:val="28"/>
          <w:szCs w:val="28"/>
        </w:rPr>
      </w:pPr>
      <w:r>
        <w:rPr>
          <w:rFonts w:hint="eastAsia" w:ascii="仿宋" w:hAnsi="仿宋" w:eastAsia="仿宋"/>
          <w:b/>
          <w:color w:val="000000"/>
          <w:sz w:val="28"/>
          <w:szCs w:val="28"/>
        </w:rPr>
        <w:t>第三部分 202</w:t>
      </w:r>
      <w:r>
        <w:rPr>
          <w:rFonts w:hint="eastAsia" w:ascii="仿宋" w:hAnsi="仿宋" w:eastAsia="仿宋"/>
          <w:b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b/>
          <w:color w:val="000000"/>
          <w:sz w:val="28"/>
          <w:szCs w:val="28"/>
        </w:rPr>
        <w:t>年部门预算情况说明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一、关于呼图壁县城市管理综合服务中心202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28"/>
          <w:szCs w:val="28"/>
        </w:rPr>
        <w:t>年收支预算情况的总体说明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二、关于呼图壁县城市管理综合服务中心202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28"/>
          <w:szCs w:val="28"/>
        </w:rPr>
        <w:t>年收入预算情况说明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三、关于呼图壁县城市管理综合服务中心202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28"/>
          <w:szCs w:val="28"/>
        </w:rPr>
        <w:t>年支出预算情况说明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四、关于呼图壁县城市管理综合服务中心202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28"/>
          <w:szCs w:val="28"/>
        </w:rPr>
        <w:t>年财政拨款收支预算情况的总体说明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五、关于呼图壁县城市管理综合服务中心202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28"/>
          <w:szCs w:val="28"/>
        </w:rPr>
        <w:t>年一般公共预算当年拨款情况说明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六、关于呼图壁县城市管理综合服务中心202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28"/>
          <w:szCs w:val="28"/>
        </w:rPr>
        <w:t>年一般公共预算基本支出情况说明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七、关于呼图壁县城市管理综合服务中心202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28"/>
          <w:szCs w:val="28"/>
        </w:rPr>
        <w:t>年一般公共预算项目支出情况说明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八、关于呼图壁县城市管理综合服务中心202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28"/>
          <w:szCs w:val="28"/>
        </w:rPr>
        <w:t>年政府性基金预算拨款情况说明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九、关于呼图壁县城市管理综合服务中心202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28"/>
          <w:szCs w:val="28"/>
        </w:rPr>
        <w:t>年国有资本经营预算拨款情况说明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十、关于呼图壁县城市管理综合服务中心202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28"/>
          <w:szCs w:val="28"/>
        </w:rPr>
        <w:t>年财政拨款“三公”经费预算情况说明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十一、关于呼图壁县城市管理综合服务中心202</w:t>
      </w:r>
      <w:r>
        <w:rPr>
          <w:rFonts w:hint="eastAsia" w:ascii="仿宋" w:hAnsi="仿宋" w:eastAsia="仿宋"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/>
          <w:color w:val="000000"/>
          <w:sz w:val="28"/>
          <w:szCs w:val="28"/>
        </w:rPr>
        <w:t>年上年结转结余预算情况说明</w:t>
      </w:r>
    </w:p>
    <w:p>
      <w:pPr>
        <w:spacing w:line="560" w:lineRule="exact"/>
        <w:ind w:firstLine="560" w:firstLineChars="200"/>
        <w:jc w:val="left"/>
        <w:rPr>
          <w:rFonts w:hint="eastAsia" w:ascii="仿宋" w:hAnsi="仿宋" w:eastAsia="仿宋"/>
          <w:color w:val="000000"/>
          <w:sz w:val="28"/>
          <w:szCs w:val="28"/>
        </w:rPr>
      </w:pPr>
      <w:r>
        <w:rPr>
          <w:rFonts w:hint="eastAsia" w:ascii="仿宋" w:hAnsi="仿宋" w:eastAsia="仿宋"/>
          <w:color w:val="000000"/>
          <w:sz w:val="28"/>
          <w:szCs w:val="28"/>
        </w:rPr>
        <w:t>十二、其他重要事项的情况说明</w:t>
      </w:r>
    </w:p>
    <w:p>
      <w:pPr>
        <w:spacing w:line="600" w:lineRule="exact"/>
        <w:ind w:firstLine="643" w:firstLineChars="200"/>
        <w:rPr>
          <w:rFonts w:ascii="仿宋_GB2312" w:hAnsi="仿宋_GB2312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第四部分  名词解释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  <w:sectPr>
          <w:footerReference r:id="rId3" w:type="default"/>
          <w:pgSz w:w="11906" w:h="16838"/>
          <w:pgMar w:top="2098" w:right="1418" w:bottom="1928" w:left="1588" w:header="851" w:footer="992" w:gutter="0"/>
          <w:pgNumType w:fmt="numberInDash"/>
          <w:cols w:space="720" w:num="1"/>
          <w:docGrid w:linePitch="312" w:charSpace="0"/>
        </w:sectPr>
      </w:pPr>
    </w:p>
    <w:p>
      <w:pPr>
        <w:widowControl/>
        <w:spacing w:line="540" w:lineRule="exact"/>
        <w:jc w:val="center"/>
        <w:outlineLvl w:val="1"/>
        <w:rPr>
          <w:rFonts w:hint="eastAsia" w:ascii="黑体" w:hAnsi="Times New Roman" w:eastAsia="黑体" w:cs="Times New Roman"/>
          <w:b/>
          <w:kern w:val="44"/>
          <w:sz w:val="30"/>
          <w:szCs w:val="30"/>
          <w:lang w:val="en-US" w:eastAsia="zh-CN"/>
        </w:rPr>
      </w:pPr>
      <w:r>
        <w:rPr>
          <w:rFonts w:hint="eastAsia" w:ascii="黑体" w:hAnsi="Times New Roman" w:eastAsia="黑体" w:cs="Times New Roman"/>
          <w:b/>
          <w:kern w:val="44"/>
          <w:sz w:val="30"/>
          <w:szCs w:val="30"/>
          <w:lang w:val="en-US" w:eastAsia="zh-CN"/>
        </w:rPr>
        <w:t>第一部分   2025年呼图壁县城市管理综合服务中心部门概况</w:t>
      </w:r>
    </w:p>
    <w:p>
      <w:pPr>
        <w:widowControl/>
        <w:spacing w:line="540" w:lineRule="exact"/>
        <w:jc w:val="center"/>
        <w:outlineLvl w:val="1"/>
        <w:rPr>
          <w:rFonts w:ascii="宋体" w:hAnsi="宋体"/>
          <w:b/>
          <w:kern w:val="0"/>
          <w:sz w:val="32"/>
          <w:szCs w:val="32"/>
        </w:rPr>
      </w:pPr>
    </w:p>
    <w:p>
      <w:pPr>
        <w:widowControl/>
        <w:spacing w:line="540" w:lineRule="exact"/>
        <w:ind w:firstLine="643" w:firstLineChars="200"/>
        <w:jc w:val="left"/>
        <w:rPr>
          <w:rFonts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一、主要职能</w:t>
      </w:r>
    </w:p>
    <w:p>
      <w:pPr>
        <w:widowControl/>
        <w:spacing w:line="540" w:lineRule="exact"/>
        <w:ind w:firstLine="641"/>
        <w:jc w:val="lef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主要职能:城市管理综合服务中心主要负责城市环境卫生服务；清扫保洁作业、清扫、冰雪清除；垃圾清运、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填埋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；公共市政设施维护；城区园林绿化、公园、道路绿地养护服务、病虫害防治服务及绿化监督管理；供热供气公用事业技术指导；代收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垃圾清运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费、国有资产补偿及赔偿款；道路、街头游园量化美化，提升居民群众宜居生活环境。</w:t>
      </w:r>
    </w:p>
    <w:p>
      <w:pPr>
        <w:widowControl/>
        <w:spacing w:line="540" w:lineRule="exact"/>
        <w:ind w:firstLine="643" w:firstLineChars="200"/>
        <w:jc w:val="left"/>
        <w:rPr>
          <w:rFonts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二、机构设置及人员情况</w:t>
      </w:r>
    </w:p>
    <w:p>
      <w:pPr>
        <w:widowControl/>
        <w:spacing w:line="54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呼图壁县城市管理综合服务中心</w:t>
      </w:r>
      <w:r>
        <w:rPr>
          <w:rFonts w:hint="eastAsia" w:ascii="仿宋_GB2312" w:hAnsi="黑体" w:eastAsia="仿宋_GB2312" w:cs="宋体"/>
          <w:bCs/>
          <w:kern w:val="0"/>
          <w:sz w:val="32"/>
          <w:szCs w:val="32"/>
        </w:rPr>
        <w:t>无下属预算单位，下设5   个处室，分别是：</w:t>
      </w:r>
      <w:r>
        <w:rPr>
          <w:rFonts w:hint="eastAsia" w:ascii="仿宋" w:hAnsi="仿宋" w:eastAsia="仿宋" w:cs="仿宋"/>
          <w:sz w:val="32"/>
          <w:szCs w:val="32"/>
        </w:rPr>
        <w:t xml:space="preserve">综合科、公共设施维护科、设施设备科、供热燃气服务科、园林绿化服务科。 </w:t>
      </w:r>
    </w:p>
    <w:p>
      <w:pPr>
        <w:widowControl/>
        <w:spacing w:line="540" w:lineRule="exact"/>
        <w:ind w:firstLine="640"/>
        <w:jc w:val="lef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呼图壁县城市管理综合服务中心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编制数4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，实有人数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83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人，其中：在职4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，减少3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人；退休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42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人，增加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3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人；离休0人，增加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0人。</w:t>
      </w:r>
    </w:p>
    <w:p>
      <w:pPr>
        <w:widowControl/>
        <w:spacing w:line="540" w:lineRule="exact"/>
        <w:ind w:firstLine="640"/>
        <w:jc w:val="left"/>
        <w:rPr>
          <w:rFonts w:ascii="仿宋_GB2312" w:hAnsi="宋体" w:eastAsia="仿宋_GB2312" w:cs="宋体"/>
          <w:color w:val="0000FF"/>
          <w:kern w:val="0"/>
          <w:sz w:val="32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line="440" w:lineRule="exact"/>
        <w:jc w:val="center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widowControl/>
        <w:spacing w:line="440" w:lineRule="exact"/>
        <w:jc w:val="both"/>
        <w:outlineLvl w:val="1"/>
        <w:rPr>
          <w:rFonts w:hint="eastAsia" w:ascii="黑体" w:hAnsi="黑体" w:eastAsia="黑体"/>
          <w:kern w:val="0"/>
          <w:sz w:val="32"/>
          <w:szCs w:val="32"/>
        </w:rPr>
      </w:pPr>
    </w:p>
    <w:p>
      <w:pPr>
        <w:pStyle w:val="2"/>
        <w:spacing w:before="156" w:beforeLines="50" w:after="156" w:afterLines="50" w:line="400" w:lineRule="exact"/>
        <w:jc w:val="center"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黑体" w:eastAsia="黑体"/>
          <w:sz w:val="30"/>
          <w:szCs w:val="30"/>
        </w:rPr>
        <w:t>第二部分 2024年部门预算公开表</w:t>
      </w:r>
    </w:p>
    <w:p>
      <w:pPr>
        <w:widowControl/>
        <w:spacing w:line="240" w:lineRule="exact"/>
        <w:jc w:val="left"/>
        <w:textAlignment w:val="bottom"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>表1</w:t>
      </w:r>
    </w:p>
    <w:p>
      <w:pPr>
        <w:jc w:val="center"/>
        <w:rPr>
          <w:rFonts w:hint="default" w:ascii="仿宋" w:hAnsi="宋体" w:eastAsia="仿宋"/>
          <w:b/>
          <w:color w:val="000000"/>
          <w:sz w:val="28"/>
          <w:szCs w:val="28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部门收支总体情况表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>部门</w:t>
      </w:r>
      <w:r>
        <w:rPr>
          <w:rFonts w:hint="eastAsia" w:ascii="仿宋_GB2312" w:hAnsi="宋体" w:eastAsia="仿宋_GB2312"/>
          <w:kern w:val="0"/>
          <w:sz w:val="24"/>
        </w:rPr>
        <w:t xml:space="preserve">：呼图壁县城市管理综合服务中心           单位：万元                                        </w:t>
      </w:r>
    </w:p>
    <w:tbl>
      <w:tblPr>
        <w:tblStyle w:val="11"/>
        <w:tblW w:w="866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92"/>
        <w:gridCol w:w="1668"/>
        <w:gridCol w:w="2353"/>
        <w:gridCol w:w="164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46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收     入</w:t>
            </w:r>
          </w:p>
        </w:tc>
        <w:tc>
          <w:tcPr>
            <w:tcW w:w="400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支     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项     目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预算数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功能分类</w:t>
            </w:r>
          </w:p>
        </w:tc>
        <w:tc>
          <w:tcPr>
            <w:tcW w:w="1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预算数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一、本年收入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4389.98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1.一般公共预算拨款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2097.98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其中：一般财力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2097.98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上级一般公共预算安排转移支付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2.政府性基金预算拨款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ab/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1220.00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其中：政府性基金收入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1220.00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上级政府性基金安排转移支付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3.国有资本经营预算拨款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203.42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其中：国有资本经营收入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上级国有资本经营预算安排转移支付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210卫生健康支出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136.17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4.财政专户核拨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5.单位资金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1072.00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3933.88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其中：事业收入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上级补助收入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附属单位上缴收入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事业单位经营收入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其他收入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1072.00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二、上年结转结余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1.财政拨款结转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其中：一般公共预算拨款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116.51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政府性基金预算拨款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国有资本经营预算拨款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2.非财政拨款结余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224灾害防治及应急管理支出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其中：财政专户核拨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单位资金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6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5"/>
                <w:szCs w:val="15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230转移性支出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6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234抗疫特别国债安排的支出</w:t>
            </w:r>
          </w:p>
        </w:tc>
        <w:tc>
          <w:tcPr>
            <w:tcW w:w="1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</w:p>
        </w:tc>
        <w:tc>
          <w:tcPr>
            <w:tcW w:w="1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textAlignment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2992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收  入  总  计</w:t>
            </w:r>
          </w:p>
        </w:tc>
        <w:tc>
          <w:tcPr>
            <w:tcW w:w="16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lang w:val="en-US" w:eastAsia="zh-CN"/>
              </w:rPr>
              <w:t>4389.98</w:t>
            </w:r>
          </w:p>
        </w:tc>
        <w:tc>
          <w:tcPr>
            <w:tcW w:w="235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支  出  总  计</w:t>
            </w:r>
          </w:p>
        </w:tc>
        <w:tc>
          <w:tcPr>
            <w:tcW w:w="16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lang w:val="en-US" w:eastAsia="zh-CN"/>
              </w:rPr>
              <w:t>4389.98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</w:tr>
    </w:tbl>
    <w:p>
      <w:pPr>
        <w:widowControl/>
        <w:jc w:val="left"/>
        <w:textAlignment w:val="bottom"/>
        <w:rPr>
          <w:rFonts w:hint="eastAsia" w:ascii="宋体" w:hAnsi="宋体" w:cs="宋体"/>
          <w:kern w:val="0"/>
          <w:sz w:val="20"/>
          <w:szCs w:val="20"/>
        </w:rPr>
      </w:pPr>
    </w:p>
    <w:p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>表2</w:t>
      </w:r>
    </w:p>
    <w:p>
      <w:pPr>
        <w:jc w:val="center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部门收入总体情况表</w:t>
      </w:r>
    </w:p>
    <w:p>
      <w:pPr>
        <w:widowControl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>部门</w:t>
      </w:r>
      <w:r>
        <w:rPr>
          <w:rFonts w:hint="eastAsia" w:ascii="仿宋_GB2312" w:hAnsi="宋体" w:eastAsia="仿宋_GB2312"/>
          <w:kern w:val="0"/>
          <w:sz w:val="24"/>
        </w:rPr>
        <w:t xml:space="preserve">：呼图壁县城市管理综合服务中心                  单位：万元                                             </w:t>
      </w:r>
    </w:p>
    <w:tbl>
      <w:tblPr>
        <w:tblStyle w:val="11"/>
        <w:tblW w:w="10015" w:type="dxa"/>
        <w:tblInd w:w="-4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"/>
        <w:gridCol w:w="417"/>
        <w:gridCol w:w="404"/>
        <w:gridCol w:w="1303"/>
        <w:gridCol w:w="875"/>
        <w:gridCol w:w="893"/>
        <w:gridCol w:w="929"/>
        <w:gridCol w:w="425"/>
        <w:gridCol w:w="945"/>
        <w:gridCol w:w="240"/>
        <w:gridCol w:w="312"/>
        <w:gridCol w:w="420"/>
        <w:gridCol w:w="655"/>
        <w:gridCol w:w="1020"/>
        <w:gridCol w:w="309"/>
        <w:gridCol w:w="37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</w:trPr>
        <w:tc>
          <w:tcPr>
            <w:tcW w:w="13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功能分类科目编码</w:t>
            </w:r>
          </w:p>
        </w:tc>
        <w:tc>
          <w:tcPr>
            <w:tcW w:w="130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功能分类科目名称</w:t>
            </w:r>
          </w:p>
        </w:tc>
        <w:tc>
          <w:tcPr>
            <w:tcW w:w="8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总  计</w:t>
            </w:r>
          </w:p>
        </w:tc>
        <w:tc>
          <w:tcPr>
            <w:tcW w:w="416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sz w:val="24"/>
              </w:rPr>
              <w:t>财  政  拨  款  (  补  助  )</w:t>
            </w:r>
          </w:p>
        </w:tc>
        <w:tc>
          <w:tcPr>
            <w:tcW w:w="65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财政专户（教育收费）</w:t>
            </w:r>
          </w:p>
        </w:tc>
        <w:tc>
          <w:tcPr>
            <w:tcW w:w="102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单位资金</w:t>
            </w:r>
          </w:p>
        </w:tc>
        <w:tc>
          <w:tcPr>
            <w:tcW w:w="3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财政拨款结转</w:t>
            </w:r>
          </w:p>
        </w:tc>
        <w:tc>
          <w:tcPr>
            <w:tcW w:w="3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非财政拨款结转结余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9" w:hRule="atLeast"/>
        </w:trPr>
        <w:tc>
          <w:tcPr>
            <w:tcW w:w="4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eastAsia="仿宋_GB2312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类</w:t>
            </w:r>
          </w:p>
        </w:tc>
        <w:tc>
          <w:tcPr>
            <w:tcW w:w="417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eastAsia="仿宋_GB2312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款</w:t>
            </w:r>
          </w:p>
        </w:tc>
        <w:tc>
          <w:tcPr>
            <w:tcW w:w="404" w:type="dxa"/>
            <w:tcBorders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eastAsia="仿宋_GB2312"/>
                <w:b/>
                <w:sz w:val="20"/>
                <w:szCs w:val="20"/>
              </w:rPr>
            </w:pPr>
            <w:r>
              <w:rPr>
                <w:rFonts w:hint="eastAsia" w:ascii="仿宋_GB2312" w:eastAsia="仿宋_GB2312"/>
                <w:b/>
                <w:sz w:val="20"/>
                <w:szCs w:val="20"/>
              </w:rPr>
              <w:t>项</w:t>
            </w:r>
          </w:p>
        </w:tc>
        <w:tc>
          <w:tcPr>
            <w:tcW w:w="1303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87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0"/>
                <w:szCs w:val="20"/>
              </w:rPr>
              <w:t>财政拨款(补助)小计</w:t>
            </w:r>
          </w:p>
        </w:tc>
        <w:tc>
          <w:tcPr>
            <w:tcW w:w="929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0"/>
                <w:szCs w:val="20"/>
              </w:rPr>
              <w:t>一般公共预算</w:t>
            </w:r>
          </w:p>
        </w:tc>
        <w:tc>
          <w:tcPr>
            <w:tcW w:w="42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0"/>
                <w:szCs w:val="20"/>
              </w:rPr>
              <w:t>上级一般公共预算安排的转移支付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0"/>
                <w:szCs w:val="20"/>
              </w:rPr>
              <w:t>政府性基金预算</w:t>
            </w:r>
          </w:p>
        </w:tc>
        <w:tc>
          <w:tcPr>
            <w:tcW w:w="24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0"/>
                <w:szCs w:val="20"/>
              </w:rPr>
              <w:t>上级政府性基金安排的转移支付</w:t>
            </w:r>
          </w:p>
        </w:tc>
        <w:tc>
          <w:tcPr>
            <w:tcW w:w="31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0"/>
                <w:szCs w:val="20"/>
              </w:rPr>
              <w:t>国有资本经营预算</w:t>
            </w:r>
          </w:p>
        </w:tc>
        <w:tc>
          <w:tcPr>
            <w:tcW w:w="420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b/>
                <w:bCs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 w:val="20"/>
                <w:szCs w:val="20"/>
              </w:rPr>
              <w:t>上级国有资本经营预算安排的转移支付</w:t>
            </w:r>
          </w:p>
        </w:tc>
        <w:tc>
          <w:tcPr>
            <w:tcW w:w="655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1020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309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  <w:tc>
          <w:tcPr>
            <w:tcW w:w="378" w:type="dxa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208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</w:rPr>
              <w:t>社会保障和就业支出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203.42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86.42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hint="default" w:ascii="仿宋_GB2312" w:hAnsi="宋体" w:eastAsia="仿宋_GB2312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86.42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117.00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05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行政事业单位养老支出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203.42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86.42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86.42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117.00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05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02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事业单位离退休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18.75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18.75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18.75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rPr>
          <w:trHeight w:val="796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05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05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机关事业单位基本养老保险缴费支出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168.67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67.67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67.67</w:t>
            </w:r>
            <w:r>
              <w:rPr>
                <w:rFonts w:ascii="仿宋_GB2312" w:hAnsi="宋体" w:eastAsia="仿宋_GB2312" w:cs="宋体"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101.00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208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05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06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机关事业单位职业年金缴费支出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16.00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 xml:space="preserve">0.00 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hAnsi="宋体" w:eastAsia="仿宋_GB2312" w:cs="宋体"/>
                <w:sz w:val="18"/>
                <w:szCs w:val="18"/>
              </w:rPr>
              <w:t xml:space="preserve">0.00 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16.00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210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卫生健康支出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136.17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51.17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51.17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85.00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210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11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行政事业单位医疗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136.17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51.17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51.17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85.00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210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11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02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事业单位医疗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78.83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33.83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 w:val="18"/>
                <w:szCs w:val="18"/>
                <w:lang w:val="en-US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33.83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45.00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210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11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03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公务员医疗补助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26.92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16.92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16.92</w:t>
            </w:r>
            <w:r>
              <w:rPr>
                <w:rFonts w:ascii="仿宋_GB2312" w:hAnsi="宋体" w:eastAsia="仿宋_GB2312" w:cs="宋体"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10.00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210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11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99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其他行政事业单位医疗支出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30.42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0.42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 w:val="18"/>
                <w:szCs w:val="18"/>
                <w:lang w:val="en-US" w:eastAsia="zh-CN"/>
              </w:rPr>
            </w:pPr>
            <w:r>
              <w:rPr>
                <w:rFonts w:ascii="仿宋_GB2312" w:hAnsi="宋体" w:eastAsia="仿宋_GB2312" w:cs="宋体"/>
                <w:sz w:val="18"/>
                <w:szCs w:val="18"/>
              </w:rPr>
              <w:t>0</w:t>
            </w: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.42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30.00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212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城乡社区支出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3933.88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3123.88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1903.88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hAnsi="宋体" w:eastAsia="仿宋_GB2312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1220.00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810.00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212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</w:t>
            </w: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hAnsi="宋体" w:eastAsia="仿宋_GB2312" w:cs="宋体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城乡社区</w:t>
            </w: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环境卫生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2713.88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1903.88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1903.88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810.00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212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</w:t>
            </w: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城乡社区环境卫生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2713.88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1903.88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1903.88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810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.00 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212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18"/>
                <w:szCs w:val="18"/>
                <w:lang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城市基础设施配套费安排的支出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1220.00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1220.00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 w:val="18"/>
                <w:szCs w:val="18"/>
                <w:lang w:val="en-US" w:eastAsia="zh-CN"/>
              </w:rPr>
            </w:pPr>
            <w:r>
              <w:rPr>
                <w:rFonts w:ascii="仿宋_GB2312" w:hAnsi="宋体" w:eastAsia="仿宋_GB2312" w:cs="宋体"/>
                <w:sz w:val="18"/>
                <w:szCs w:val="18"/>
              </w:rPr>
              <w:t xml:space="preserve"> </w:t>
            </w: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1220.00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212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13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</w:t>
            </w: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城市</w:t>
            </w:r>
            <w:r>
              <w:rPr>
                <w:rFonts w:hint="eastAsia" w:ascii="仿宋_GB2312" w:eastAsia="仿宋_GB2312"/>
                <w:sz w:val="18"/>
                <w:szCs w:val="18"/>
              </w:rPr>
              <w:t>环境卫生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1220.00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1220.00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1220.00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0.00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住房保障支出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116.51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56.51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56.51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 xml:space="preserve">60.00 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02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住房改革支出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116.51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56.51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56.51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 xml:space="preserve">60.00 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221</w:t>
            </w:r>
          </w:p>
        </w:tc>
        <w:tc>
          <w:tcPr>
            <w:tcW w:w="4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02</w:t>
            </w:r>
          </w:p>
        </w:tc>
        <w:tc>
          <w:tcPr>
            <w:tcW w:w="4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>01</w:t>
            </w:r>
          </w:p>
        </w:tc>
        <w:tc>
          <w:tcPr>
            <w:tcW w:w="13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住房公积金</w:t>
            </w:r>
          </w:p>
        </w:tc>
        <w:tc>
          <w:tcPr>
            <w:tcW w:w="8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116.51</w:t>
            </w:r>
          </w:p>
        </w:tc>
        <w:tc>
          <w:tcPr>
            <w:tcW w:w="8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56.51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sz w:val="18"/>
                <w:szCs w:val="18"/>
                <w:lang w:val="en-US" w:eastAsia="zh-CN"/>
              </w:rPr>
              <w:t>56.51</w:t>
            </w: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ascii="仿宋_GB2312" w:eastAsia="仿宋_GB2312"/>
                <w:sz w:val="18"/>
                <w:szCs w:val="18"/>
              </w:rPr>
              <w:t xml:space="preserve">60.00 </w:t>
            </w:r>
          </w:p>
        </w:tc>
        <w:tc>
          <w:tcPr>
            <w:tcW w:w="30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4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130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 w:val="18"/>
                <w:szCs w:val="18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</w:rPr>
              <w:t>合  计</w:t>
            </w:r>
            <w:r>
              <w:rPr>
                <w:rFonts w:hint="eastAsia" w:ascii="仿宋_GB2312" w:eastAsia="仿宋_GB2312"/>
                <w:sz w:val="18"/>
                <w:szCs w:val="18"/>
              </w:rPr>
              <w:t>　</w:t>
            </w:r>
          </w:p>
        </w:tc>
        <w:tc>
          <w:tcPr>
            <w:tcW w:w="8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  <w:lang w:val="en-US" w:eastAsia="zh-CN"/>
              </w:rPr>
              <w:t>4389.98</w:t>
            </w:r>
          </w:p>
        </w:tc>
        <w:tc>
          <w:tcPr>
            <w:tcW w:w="8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  <w:lang w:val="en-US" w:eastAsia="zh-CN"/>
              </w:rPr>
              <w:t>3317.98</w:t>
            </w:r>
          </w:p>
        </w:tc>
        <w:tc>
          <w:tcPr>
            <w:tcW w:w="9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  <w:lang w:val="en-US" w:eastAsia="zh-CN"/>
              </w:rPr>
              <w:t>2097.98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  <w:lang w:val="en-US" w:eastAsia="zh-CN"/>
              </w:rPr>
              <w:t>1220.00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3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仿宋_GB2312" w:eastAsia="仿宋_GB2312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18"/>
                <w:szCs w:val="18"/>
                <w:lang w:val="en-US" w:eastAsia="zh-CN"/>
              </w:rPr>
              <w:t>1072.00</w:t>
            </w:r>
          </w:p>
        </w:tc>
        <w:tc>
          <w:tcPr>
            <w:tcW w:w="3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bCs/>
                <w:sz w:val="18"/>
                <w:szCs w:val="18"/>
              </w:rPr>
            </w:pPr>
          </w:p>
        </w:tc>
        <w:tc>
          <w:tcPr>
            <w:tcW w:w="3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18"/>
                <w:szCs w:val="18"/>
              </w:rPr>
            </w:pPr>
          </w:p>
        </w:tc>
      </w:tr>
    </w:tbl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18"/>
          <w:szCs w:val="18"/>
        </w:rPr>
      </w:pPr>
      <w:r>
        <w:rPr>
          <w:rFonts w:ascii="仿宋_GB2312" w:hAnsi="宋体" w:eastAsia="仿宋_GB2312"/>
          <w:b/>
          <w:kern w:val="0"/>
          <w:sz w:val="18"/>
          <w:szCs w:val="18"/>
        </w:rPr>
        <w:t xml:space="preserve"> </w:t>
      </w: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18"/>
          <w:szCs w:val="18"/>
        </w:rPr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18"/>
          <w:szCs w:val="18"/>
        </w:rPr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18"/>
          <w:szCs w:val="18"/>
        </w:rPr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18"/>
          <w:szCs w:val="18"/>
        </w:rPr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18"/>
          <w:szCs w:val="18"/>
        </w:rPr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18"/>
          <w:szCs w:val="18"/>
        </w:rPr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18"/>
          <w:szCs w:val="18"/>
        </w:rPr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18"/>
          <w:szCs w:val="18"/>
        </w:rPr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20"/>
          <w:szCs w:val="20"/>
        </w:rPr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20"/>
          <w:szCs w:val="20"/>
        </w:rPr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20"/>
          <w:szCs w:val="20"/>
        </w:rPr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20"/>
          <w:szCs w:val="20"/>
        </w:rPr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20"/>
          <w:szCs w:val="20"/>
        </w:rPr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20"/>
          <w:szCs w:val="20"/>
        </w:rPr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20"/>
          <w:szCs w:val="20"/>
        </w:rPr>
      </w:pPr>
    </w:p>
    <w:p>
      <w:pPr>
        <w:pStyle w:val="10"/>
      </w:pPr>
    </w:p>
    <w:p>
      <w:pPr>
        <w:widowControl/>
        <w:spacing w:line="360" w:lineRule="exact"/>
        <w:jc w:val="left"/>
        <w:outlineLvl w:val="1"/>
        <w:rPr>
          <w:rFonts w:ascii="宋体" w:hAnsi="宋体" w:cs="宋体"/>
          <w:kern w:val="0"/>
          <w:sz w:val="20"/>
          <w:szCs w:val="20"/>
        </w:rPr>
      </w:pPr>
    </w:p>
    <w:p>
      <w:pPr>
        <w:widowControl/>
        <w:spacing w:line="360" w:lineRule="exact"/>
        <w:jc w:val="left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宋体" w:hAnsi="宋体" w:cs="宋体"/>
          <w:kern w:val="0"/>
          <w:sz w:val="20"/>
          <w:szCs w:val="20"/>
        </w:rPr>
        <w:t>表3</w:t>
      </w:r>
      <w:r>
        <w:rPr>
          <w:rFonts w:ascii="宋体" w:hAnsi="宋体" w:cs="宋体"/>
          <w:kern w:val="0"/>
          <w:sz w:val="20"/>
          <w:szCs w:val="20"/>
        </w:rPr>
        <w:t xml:space="preserve"> </w:t>
      </w:r>
    </w:p>
    <w:p>
      <w:pPr>
        <w:jc w:val="center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" w:hAnsi="宋体" w:eastAsia="仿宋"/>
          <w:b/>
          <w:color w:val="000000"/>
          <w:sz w:val="28"/>
          <w:szCs w:val="28"/>
        </w:rPr>
        <w:t>部门支出总体情况表</w:t>
      </w:r>
    </w:p>
    <w:p>
      <w:pPr>
        <w:widowControl/>
        <w:spacing w:line="280" w:lineRule="exact"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>部门</w:t>
      </w:r>
      <w:r>
        <w:rPr>
          <w:rFonts w:hint="eastAsia" w:ascii="仿宋_GB2312" w:hAnsi="宋体" w:eastAsia="仿宋_GB2312"/>
          <w:kern w:val="0"/>
          <w:sz w:val="24"/>
        </w:rPr>
        <w:t xml:space="preserve">：呼图壁县城市管理综合服务中心                   单位：万元                                              </w:t>
      </w:r>
    </w:p>
    <w:tbl>
      <w:tblPr>
        <w:tblStyle w:val="11"/>
        <w:tblW w:w="9399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426"/>
        <w:gridCol w:w="426"/>
        <w:gridCol w:w="2513"/>
        <w:gridCol w:w="1819"/>
        <w:gridCol w:w="1820"/>
        <w:gridCol w:w="18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389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科    目</w:t>
            </w:r>
          </w:p>
        </w:tc>
        <w:tc>
          <w:tcPr>
            <w:tcW w:w="550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</w:rPr>
              <w:t>支出预算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38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5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181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18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86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5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1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6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仿宋_GB2312" w:eastAsia="仿宋_GB2312" w:cs="仿宋_GB2312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208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社会保障和就业支出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203.42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203.42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208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05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行政事业单位养老支出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203.42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203.42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208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05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02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事业单位离退休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18.75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18.75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208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05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05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机关事业单位基本养老保险缴费支出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168.67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168.67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208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05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06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机关事业单位职业年金缴费支出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16.00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16.00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210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卫生健康支出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136.17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136.17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210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行政事业单位医疗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136.17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136.17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210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02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事业单位医疗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78.83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78.83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210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03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公务员医疗补助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26.92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26.92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210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99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其他行政事业单位医疗支出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30.42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30.42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212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城乡社区支出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3933.88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2713.88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1220.00</w:t>
            </w:r>
            <w:r>
              <w:rPr>
                <w:rFonts w:hint="eastAsia"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212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城乡社区公共设施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2713.88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2713.88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212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城乡社区环境卫生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2713.88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2713.88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212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城市基础设施配套费安排的支出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1220.00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1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212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13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ascii="仿宋_GB2312" w:eastAsia="仿宋_GB2312"/>
                <w:szCs w:val="21"/>
                <w:lang w:val="en-US" w:eastAsia="zh-CN"/>
              </w:rPr>
            </w:pPr>
            <w:r>
              <w:rPr>
                <w:rFonts w:ascii="仿宋_GB2312" w:eastAsia="仿宋_GB2312"/>
                <w:szCs w:val="21"/>
              </w:rPr>
              <w:t>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eastAsia="zh-CN"/>
              </w:rPr>
              <w:t>城市</w:t>
            </w:r>
            <w:r>
              <w:rPr>
                <w:rFonts w:hint="eastAsia" w:ascii="仿宋_GB2312" w:eastAsia="仿宋_GB2312"/>
                <w:sz w:val="18"/>
                <w:szCs w:val="18"/>
              </w:rPr>
              <w:t>环境卫生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  <w:lang w:val="en-US" w:eastAsia="zh-CN"/>
              </w:rPr>
              <w:t>1220.00</w:t>
            </w:r>
            <w:r>
              <w:rPr>
                <w:rFonts w:ascii="仿宋_GB2312" w:eastAsia="仿宋_GB2312"/>
                <w:sz w:val="18"/>
                <w:szCs w:val="18"/>
              </w:rPr>
              <w:t xml:space="preserve"> 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eastAsia="zh-CN"/>
              </w:rPr>
              <w:t>1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220.00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221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住房保障支出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116.51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116.51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221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02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住房改革支出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116.51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116.51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221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02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01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住房公积金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116.51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116.51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5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合  计</w:t>
            </w:r>
          </w:p>
        </w:tc>
        <w:tc>
          <w:tcPr>
            <w:tcW w:w="18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  <w:lang w:val="en-US" w:eastAsia="zh-CN"/>
              </w:rPr>
              <w:t>4389.88</w:t>
            </w:r>
          </w:p>
        </w:tc>
        <w:tc>
          <w:tcPr>
            <w:tcW w:w="18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  <w:lang w:val="en-US" w:eastAsia="zh-CN"/>
              </w:rPr>
              <w:t>3169.98</w:t>
            </w:r>
          </w:p>
        </w:tc>
        <w:tc>
          <w:tcPr>
            <w:tcW w:w="186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eastAsia="仿宋_GB2312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　</w:t>
            </w:r>
            <w:r>
              <w:rPr>
                <w:rFonts w:hint="eastAsia" w:ascii="仿宋_GB2312" w:eastAsia="仿宋_GB2312"/>
                <w:b/>
                <w:bCs/>
                <w:szCs w:val="21"/>
                <w:lang w:val="en-US" w:eastAsia="zh-CN"/>
              </w:rPr>
              <w:t>1220.00</w:t>
            </w:r>
          </w:p>
        </w:tc>
      </w:tr>
    </w:tbl>
    <w:p>
      <w:pPr>
        <w:widowControl/>
        <w:jc w:val="left"/>
        <w:textAlignment w:val="bottom"/>
        <w:rPr>
          <w:rFonts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>表4</w:t>
      </w:r>
    </w:p>
    <w:p>
      <w:pPr>
        <w:widowControl/>
        <w:spacing w:beforeLines="50" w:line="280" w:lineRule="exact"/>
        <w:jc w:val="center"/>
        <w:outlineLvl w:val="1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财政拨款收支预算总体情况表</w:t>
      </w:r>
    </w:p>
    <w:p>
      <w:pPr>
        <w:widowControl/>
        <w:spacing w:beforeLines="50" w:line="280" w:lineRule="exact"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>部门</w:t>
      </w:r>
      <w:r>
        <w:rPr>
          <w:rFonts w:hint="eastAsia" w:ascii="仿宋_GB2312" w:hAnsi="宋体" w:eastAsia="仿宋_GB2312"/>
          <w:kern w:val="0"/>
          <w:sz w:val="24"/>
        </w:rPr>
        <w:t xml:space="preserve">：呼图壁县城市管理综合服务中心           单位：万元                                          </w:t>
      </w:r>
    </w:p>
    <w:tbl>
      <w:tblPr>
        <w:tblStyle w:val="11"/>
        <w:tblW w:w="9449" w:type="dxa"/>
        <w:tblInd w:w="-24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1"/>
        <w:gridCol w:w="1325"/>
        <w:gridCol w:w="2019"/>
        <w:gridCol w:w="1325"/>
        <w:gridCol w:w="1325"/>
        <w:gridCol w:w="942"/>
        <w:gridCol w:w="9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8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财政拨款收入</w:t>
            </w:r>
          </w:p>
        </w:tc>
        <w:tc>
          <w:tcPr>
            <w:tcW w:w="6553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财政拨款支出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项    目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仿宋_GB2312" w:hAnsi="宋体" w:eastAsia="仿宋_GB2312" w:cs="宋体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20"/>
                <w:szCs w:val="20"/>
              </w:rPr>
              <w:t>合  计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功  能  分  类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一般公共预算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0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政府性基金预算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00" w:lineRule="exac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国有资本经营预算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一、财政拨款（补助）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3317.98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201 一般公共服务支出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firstLine="180" w:firstLineChars="100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一般公共预算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2097.98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202 外交支出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政府性基金预算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1220.00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203 国防支出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 xml:space="preserve">  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国有资本经营预算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204 公共安全支出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205 教育支出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206 科学技术支出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207 文化旅游体育与传媒支出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208 社会保障和就业支出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86.42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86.42</w:t>
            </w:r>
            <w:r>
              <w:rPr>
                <w:rFonts w:ascii="仿宋_GB2312" w:hAnsi="宋体" w:eastAsia="仿宋_GB2312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209 社会保险基金支出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210卫生健康支出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51.17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51.17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211 节能环保支出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212 城乡社区支出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3123.88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1903.88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1220.00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213 农林水支出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214 交通运输支出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215 资源勘探工业信息等支出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216 商业服务业等支出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217 金融支出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219 援助其他地区支出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220 自然资源海洋气象等支出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221 住房保障支出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56.51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  <w:lang w:val="en-US" w:eastAsia="zh-CN"/>
              </w:rPr>
              <w:t>56.51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222 粮油物资储备支出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223 国有资本经营预算支出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224灾害防治及应急管理支出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227 预备费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229 其他支出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230转移性支出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231 债务还本支出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232 债务付息支出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233 债务发行费用支出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234抗疫特别国债安排的支出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exact"/>
        </w:trPr>
        <w:tc>
          <w:tcPr>
            <w:tcW w:w="157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收  入  总  计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lang w:val="en-US" w:eastAsia="zh-CN"/>
              </w:rPr>
              <w:t>3317.98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　</w:t>
            </w:r>
          </w:p>
        </w:tc>
        <w:tc>
          <w:tcPr>
            <w:tcW w:w="20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0"/>
                <w:szCs w:val="20"/>
              </w:rPr>
              <w:t>支  出  总  计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lang w:val="en-US" w:eastAsia="zh-CN"/>
              </w:rPr>
              <w:t>3317.98</w:t>
            </w:r>
          </w:p>
        </w:tc>
        <w:tc>
          <w:tcPr>
            <w:tcW w:w="13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hint="default" w:ascii="仿宋_GB2312" w:hAnsi="宋体" w:eastAsia="仿宋_GB2312" w:cs="宋体"/>
                <w:b/>
                <w:bCs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lang w:val="en-US" w:eastAsia="zh-CN"/>
              </w:rPr>
              <w:t>2097.98</w:t>
            </w:r>
          </w:p>
        </w:tc>
        <w:tc>
          <w:tcPr>
            <w:tcW w:w="18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  <w:lang w:val="en-US" w:eastAsia="zh-CN"/>
              </w:rPr>
              <w:t>1220.00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　</w:t>
            </w:r>
          </w:p>
        </w:tc>
      </w:tr>
    </w:tbl>
    <w:p>
      <w:pPr>
        <w:widowControl/>
        <w:jc w:val="left"/>
        <w:textAlignment w:val="bottom"/>
        <w:rPr>
          <w:rFonts w:ascii="仿宋_GB2312" w:hAnsi="宋体" w:eastAsia="仿宋_GB2312"/>
          <w:b/>
          <w:kern w:val="0"/>
          <w:sz w:val="28"/>
          <w:szCs w:val="32"/>
        </w:rPr>
      </w:pPr>
      <w:r>
        <w:rPr>
          <w:rFonts w:ascii="仿宋_GB2312" w:hAnsi="宋体" w:eastAsia="仿宋_GB2312"/>
          <w:b/>
          <w:kern w:val="0"/>
          <w:sz w:val="28"/>
          <w:szCs w:val="32"/>
        </w:rPr>
        <w:t xml:space="preserve"> </w:t>
      </w:r>
    </w:p>
    <w:p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仿宋_GB2312" w:hAnsi="宋体" w:eastAsia="仿宋_GB2312"/>
          <w:b/>
          <w:kern w:val="0"/>
          <w:sz w:val="28"/>
          <w:szCs w:val="32"/>
        </w:rPr>
        <w:t xml:space="preserve"> </w:t>
      </w:r>
    </w:p>
    <w:p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</w:rPr>
      </w:pPr>
    </w:p>
    <w:p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>表5</w:t>
      </w:r>
    </w:p>
    <w:tbl>
      <w:tblPr>
        <w:tblStyle w:val="11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1"/>
        <w:gridCol w:w="498"/>
        <w:gridCol w:w="501"/>
        <w:gridCol w:w="2486"/>
        <w:gridCol w:w="1675"/>
        <w:gridCol w:w="216"/>
        <w:gridCol w:w="1616"/>
        <w:gridCol w:w="169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921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方正小标宋_GBK" w:hAnsi="方正小标宋_GBK" w:eastAsia="方正小标宋_GBK" w:cs="方正小标宋_GBK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32"/>
                <w:szCs w:val="32"/>
              </w:rPr>
              <w:t>一般公共预算支出情况表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590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编制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：呼图壁县城市管理综合服务中心</w:t>
            </w:r>
          </w:p>
        </w:tc>
        <w:tc>
          <w:tcPr>
            <w:tcW w:w="33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40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科  目</w:t>
            </w:r>
          </w:p>
        </w:tc>
        <w:tc>
          <w:tcPr>
            <w:tcW w:w="519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一般公共预算支出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48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功能分类科目名称</w:t>
            </w:r>
          </w:p>
        </w:tc>
        <w:tc>
          <w:tcPr>
            <w:tcW w:w="167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1832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691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项</w:t>
            </w:r>
          </w:p>
        </w:tc>
        <w:tc>
          <w:tcPr>
            <w:tcW w:w="248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7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691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208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b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社会保障和就业支出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86.42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86.42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208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05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行政事业单位养老支出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86.42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86.42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208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05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02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事业单位离退休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18.75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18.75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208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05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05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机关事业单位基本养老保险缴费支出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67.67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67.67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210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卫生健康支出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51.17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51.17</w:t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 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210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行政事业单位医疗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51.17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51.17</w:t>
            </w:r>
            <w:r>
              <w:rPr>
                <w:rFonts w:hint="eastAsia" w:ascii="仿宋_GB2312" w:hAnsi="宋体" w:eastAsia="仿宋_GB2312" w:cs="宋体"/>
                <w:szCs w:val="21"/>
              </w:rPr>
              <w:t xml:space="preserve"> 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210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02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事业单位医疗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33.83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33.83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210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03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公务员医疗补助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16.92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16.92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210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11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99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其他行政事业单位医疗支出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0.42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</w:rPr>
              <w:t>0.</w:t>
            </w: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42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212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城乡社区支出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1903.88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1903.88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212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城乡社区环境卫生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1903.88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1903.88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212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>5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城乡社区环境卫生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1903.88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1903.88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221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住房保障支出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56.51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56.51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221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02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仿宋_GB2312" w:eastAsia="仿宋_GB2312"/>
                <w:szCs w:val="21"/>
              </w:rPr>
              <w:t>住房改革支出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56.51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56.51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eastAsia="仿宋_GB2312"/>
                <w:szCs w:val="21"/>
              </w:rPr>
              <w:t>221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eastAsia="仿宋_GB2312"/>
                <w:szCs w:val="21"/>
              </w:rPr>
              <w:t>02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eastAsia="仿宋_GB2312"/>
                <w:szCs w:val="21"/>
                <w:lang w:val="en-US" w:eastAsia="zh-CN"/>
              </w:rPr>
              <w:t>01</w:t>
            </w:r>
            <w:r>
              <w:rPr>
                <w:rFonts w:hint="eastAsia" w:ascii="仿宋_GB2312" w:eastAsia="仿宋_GB2312"/>
                <w:szCs w:val="21"/>
              </w:rPr>
              <w:t>　</w:t>
            </w: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eastAsia="仿宋_GB2312"/>
                <w:szCs w:val="21"/>
              </w:rPr>
              <w:t>住房改革支出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56.51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szCs w:val="21"/>
                <w:lang w:val="en-US" w:eastAsia="zh-CN"/>
              </w:rPr>
              <w:t>56.51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3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4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4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Cs w:val="21"/>
              </w:rPr>
              <w:t>合  计</w:t>
            </w:r>
          </w:p>
        </w:tc>
        <w:tc>
          <w:tcPr>
            <w:tcW w:w="16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Cs w:val="21"/>
                <w:lang w:val="en-US" w:eastAsia="zh-CN"/>
              </w:rPr>
              <w:t>2097.98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="仿宋_GB2312" w:hAnsi="宋体" w:eastAsia="仿宋_GB2312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szCs w:val="21"/>
                <w:lang w:val="en-US" w:eastAsia="zh-CN"/>
              </w:rPr>
              <w:t>2097.98</w:t>
            </w:r>
          </w:p>
        </w:tc>
        <w:tc>
          <w:tcPr>
            <w:tcW w:w="16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hAnsi="宋体" w:eastAsia="仿宋_GB2312" w:cs="宋体"/>
                <w:b/>
                <w:bCs/>
                <w:szCs w:val="21"/>
              </w:rPr>
            </w:pPr>
          </w:p>
        </w:tc>
      </w:tr>
    </w:tbl>
    <w:p>
      <w:pPr>
        <w:widowControl/>
        <w:jc w:val="left"/>
        <w:textAlignment w:val="bottom"/>
        <w:rPr>
          <w:rFonts w:hint="eastAsia" w:ascii="宋体" w:hAnsi="宋体" w:cs="宋体"/>
          <w:kern w:val="0"/>
          <w:sz w:val="20"/>
          <w:szCs w:val="20"/>
        </w:rPr>
      </w:pPr>
    </w:p>
    <w:p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>表6</w:t>
      </w:r>
    </w:p>
    <w:tbl>
      <w:tblPr>
        <w:tblStyle w:val="11"/>
        <w:tblW w:w="9480" w:type="dxa"/>
        <w:tblInd w:w="-14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586"/>
        <w:gridCol w:w="3174"/>
        <w:gridCol w:w="1490"/>
        <w:gridCol w:w="995"/>
        <w:gridCol w:w="731"/>
        <w:gridCol w:w="17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9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方正小标宋_GBK" w:hAnsi="方正小标宋_GBK" w:eastAsia="方正小标宋_GBK" w:cs="方正小标宋_GBK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32"/>
                <w:szCs w:val="32"/>
              </w:rPr>
              <w:t>一般公共预算基本支出情况表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701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编制</w:t>
            </w:r>
            <w:r>
              <w:rPr>
                <w:rFonts w:hint="eastAsia"/>
                <w:lang w:val="en-US"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：呼图壁县城市管理综合服务中心</w:t>
            </w:r>
          </w:p>
        </w:tc>
        <w:tc>
          <w:tcPr>
            <w:tcW w:w="2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720" w:firstLineChars="300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 xml:space="preserve">  单位：万元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45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科  目</w:t>
            </w:r>
          </w:p>
        </w:tc>
        <w:tc>
          <w:tcPr>
            <w:tcW w:w="49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一般公共预算基本支出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3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经济分类科目编码</w:t>
            </w:r>
          </w:p>
        </w:tc>
        <w:tc>
          <w:tcPr>
            <w:tcW w:w="3174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经济分类科目名称</w:t>
            </w:r>
          </w:p>
        </w:tc>
        <w:tc>
          <w:tcPr>
            <w:tcW w:w="149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1726" w:type="dxa"/>
            <w:gridSpan w:val="2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1736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公用经费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类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款</w:t>
            </w:r>
          </w:p>
        </w:tc>
        <w:tc>
          <w:tcPr>
            <w:tcW w:w="3174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49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26" w:type="dxa"/>
            <w:gridSpan w:val="2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736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工资福利支出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2030.42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2030.42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01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基本工资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169.66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169.66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02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津贴补贴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53.6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53.6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03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奖金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1</w:t>
            </w: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38.04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138.04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07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绩效工资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109.65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109.65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08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机关事业单位基本养老保险缴费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67.67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67.67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10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职工基本医疗保险缴费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33.83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33.83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11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公务员医疗补助缴费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16.92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16.92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12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其他社会保障缴费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4.23 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4.23 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13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住房公积金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56.51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5</w:t>
            </w: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6.51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301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99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其他工资福利支出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1380.3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1380.3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商品和服务支出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42.8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42.8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01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办公费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3.46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3.46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02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印刷费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0.5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07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邮电费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2.00 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2.00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08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取暖费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19.</w:t>
            </w: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86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19.</w:t>
            </w: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11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差旅费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eastAsia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1.55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eastAsia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1.55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13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维修（护）费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0.6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0.6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16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eastAsia="zh-CN"/>
              </w:rPr>
              <w:t>培训费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0.25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0.25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28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工会经费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8</w:t>
            </w: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.18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>8.</w:t>
            </w: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31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公务用车运行维护费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6.40 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6.40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302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对个人和家庭的补助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24.76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24.76</w:t>
            </w:r>
            <w:r>
              <w:rPr>
                <w:rFonts w:hint="eastAsia" w:ascii="仿宋_GB2312" w:hAnsi="宋体" w:eastAsia="仿宋_GB2312"/>
                <w:kern w:val="0"/>
                <w:szCs w:val="21"/>
              </w:rPr>
              <w:t xml:space="preserve"> 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303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02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退休费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21.99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21.99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303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0</w:t>
            </w: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9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ascii="仿宋_GB2312" w:hAnsi="宋体" w:eastAsia="仿宋_GB2312"/>
                <w:kern w:val="0"/>
                <w:szCs w:val="21"/>
              </w:rPr>
              <w:t>奖励金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kern w:val="0"/>
                <w:szCs w:val="21"/>
                <w:lang w:val="en-US" w:eastAsia="zh-CN"/>
              </w:rPr>
              <w:t>2.77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Times New Roman"/>
                <w:kern w:val="0"/>
                <w:sz w:val="21"/>
                <w:szCs w:val="21"/>
                <w:lang w:val="en-US" w:eastAsia="zh-CN" w:bidi="ar-SA"/>
              </w:rPr>
              <w:t>2.77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76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58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</w:rPr>
              <w:t>　</w:t>
            </w:r>
          </w:p>
        </w:tc>
        <w:tc>
          <w:tcPr>
            <w:tcW w:w="31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</w:rPr>
              <w:t>合  计</w:t>
            </w:r>
          </w:p>
        </w:tc>
        <w:tc>
          <w:tcPr>
            <w:tcW w:w="149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  <w:lang w:val="en-US" w:eastAsia="zh-CN"/>
              </w:rPr>
              <w:t>2097.98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  <w:lang w:val="en-US" w:eastAsia="zh-CN"/>
              </w:rPr>
              <w:t>2055.18</w:t>
            </w:r>
          </w:p>
        </w:tc>
        <w:tc>
          <w:tcPr>
            <w:tcW w:w="1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bCs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Cs w:val="21"/>
                <w:lang w:val="en-US" w:eastAsia="zh-CN"/>
              </w:rPr>
              <w:t>42.8</w:t>
            </w:r>
          </w:p>
        </w:tc>
      </w:tr>
    </w:tbl>
    <w:p>
      <w:pPr>
        <w:widowControl/>
        <w:jc w:val="left"/>
        <w:textAlignment w:val="bottom"/>
        <w:rPr>
          <w:rFonts w:ascii="仿宋_GB2312" w:hAnsi="宋体" w:eastAsia="仿宋_GB2312"/>
          <w:b/>
          <w:kern w:val="0"/>
          <w:sz w:val="28"/>
          <w:szCs w:val="32"/>
        </w:rPr>
      </w:pPr>
      <w:r>
        <w:rPr>
          <w:rFonts w:ascii="仿宋_GB2312" w:hAnsi="宋体" w:eastAsia="仿宋_GB2312"/>
          <w:b/>
          <w:kern w:val="0"/>
          <w:sz w:val="28"/>
          <w:szCs w:val="32"/>
        </w:rPr>
        <w:t xml:space="preserve"> </w:t>
      </w:r>
    </w:p>
    <w:p>
      <w:pPr>
        <w:widowControl/>
        <w:jc w:val="left"/>
        <w:textAlignment w:val="bottom"/>
        <w:rPr>
          <w:rFonts w:hint="eastAsia"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仿宋_GB2312" w:hAnsi="宋体" w:eastAsia="仿宋_GB2312"/>
          <w:b/>
          <w:kern w:val="0"/>
          <w:sz w:val="28"/>
          <w:szCs w:val="32"/>
        </w:rPr>
        <w:t xml:space="preserve"> </w:t>
      </w:r>
      <w:r>
        <w:rPr>
          <w:rFonts w:hint="eastAsia" w:ascii="宋体" w:hAnsi="宋体" w:cs="宋体"/>
          <w:kern w:val="0"/>
          <w:sz w:val="20"/>
          <w:szCs w:val="20"/>
        </w:rPr>
        <w:t>表7</w:t>
      </w:r>
    </w:p>
    <w:tbl>
      <w:tblPr>
        <w:tblStyle w:val="11"/>
        <w:tblW w:w="9540" w:type="dxa"/>
        <w:tblInd w:w="-36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"/>
        <w:gridCol w:w="477"/>
        <w:gridCol w:w="417"/>
        <w:gridCol w:w="417"/>
        <w:gridCol w:w="995"/>
        <w:gridCol w:w="1200"/>
        <w:gridCol w:w="817"/>
        <w:gridCol w:w="683"/>
        <w:gridCol w:w="834"/>
        <w:gridCol w:w="300"/>
        <w:gridCol w:w="350"/>
        <w:gridCol w:w="633"/>
        <w:gridCol w:w="850"/>
        <w:gridCol w:w="527"/>
        <w:gridCol w:w="240"/>
        <w:gridCol w:w="351"/>
        <w:gridCol w:w="380"/>
        <w:gridCol w:w="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" w:type="dxa"/>
          <w:wAfter w:w="60" w:type="dxa"/>
          <w:trHeight w:val="375" w:hRule="atLeast"/>
        </w:trPr>
        <w:tc>
          <w:tcPr>
            <w:tcW w:w="9471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方正小标宋_GBK" w:hAnsi="方正小标宋_GBK" w:eastAsia="方正小标宋_GBK" w:cs="方正小标宋_GBK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32"/>
                <w:szCs w:val="32"/>
              </w:rPr>
              <w:t>一般公共预算项目支出情况表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gridAfter w:val="1"/>
          <w:wBefore w:w="9" w:type="dxa"/>
          <w:wAfter w:w="60" w:type="dxa"/>
          <w:trHeight w:val="307" w:hRule="atLeast"/>
        </w:trPr>
        <w:tc>
          <w:tcPr>
            <w:tcW w:w="712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编制</w:t>
            </w:r>
            <w:r>
              <w:rPr>
                <w:rFonts w:hint="eastAsia" w:ascii="仿宋_GB2312" w:hAnsi="宋体" w:eastAsia="仿宋_GB2312" w:cs="宋体"/>
                <w:kern w:val="0"/>
                <w:sz w:val="24"/>
                <w:lang w:val="en-US" w:eastAsia="zh-CN"/>
              </w:rPr>
              <w:t>部门</w:t>
            </w: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：呼图壁县城市管理综合服务中心</w:t>
            </w:r>
          </w:p>
        </w:tc>
        <w:tc>
          <w:tcPr>
            <w:tcW w:w="234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960" w:firstLineChars="400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20" w:type="dxa"/>
            <w:gridSpan w:val="4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科 目 编 码</w:t>
            </w:r>
          </w:p>
        </w:tc>
        <w:tc>
          <w:tcPr>
            <w:tcW w:w="99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科目</w:t>
            </w:r>
          </w:p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名称</w:t>
            </w:r>
          </w:p>
        </w:tc>
        <w:tc>
          <w:tcPr>
            <w:tcW w:w="1200" w:type="dxa"/>
            <w:vMerge w:val="restart"/>
            <w:vAlign w:val="center"/>
          </w:tcPr>
          <w:p>
            <w:pPr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817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项目支出合计</w:t>
            </w:r>
          </w:p>
        </w:tc>
        <w:tc>
          <w:tcPr>
            <w:tcW w:w="683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工资福利支出</w:t>
            </w:r>
          </w:p>
        </w:tc>
        <w:tc>
          <w:tcPr>
            <w:tcW w:w="834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商品和服务支出</w:t>
            </w:r>
          </w:p>
        </w:tc>
        <w:tc>
          <w:tcPr>
            <w:tcW w:w="30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对个人和家庭的补助</w:t>
            </w:r>
          </w:p>
        </w:tc>
        <w:tc>
          <w:tcPr>
            <w:tcW w:w="35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债务利息及费用支出</w:t>
            </w:r>
          </w:p>
        </w:tc>
        <w:tc>
          <w:tcPr>
            <w:tcW w:w="633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资本性支出（基本建设）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资本性支出</w:t>
            </w:r>
          </w:p>
        </w:tc>
        <w:tc>
          <w:tcPr>
            <w:tcW w:w="527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对企业补助（基本建设）</w:t>
            </w:r>
          </w:p>
        </w:tc>
        <w:tc>
          <w:tcPr>
            <w:tcW w:w="240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对企业补助</w:t>
            </w:r>
          </w:p>
        </w:tc>
        <w:tc>
          <w:tcPr>
            <w:tcW w:w="351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对社会保障基金补助</w:t>
            </w:r>
          </w:p>
        </w:tc>
        <w:tc>
          <w:tcPr>
            <w:tcW w:w="440" w:type="dxa"/>
            <w:gridSpan w:val="2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其他支出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</w:trPr>
        <w:tc>
          <w:tcPr>
            <w:tcW w:w="486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类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款</w:t>
            </w:r>
          </w:p>
        </w:tc>
        <w:tc>
          <w:tcPr>
            <w:tcW w:w="417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0"/>
                <w:szCs w:val="20"/>
              </w:rPr>
              <w:t>项</w:t>
            </w:r>
          </w:p>
        </w:tc>
        <w:tc>
          <w:tcPr>
            <w:tcW w:w="99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1200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817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683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834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300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350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633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527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240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351" w:type="dxa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  <w:tc>
          <w:tcPr>
            <w:tcW w:w="440" w:type="dxa"/>
            <w:gridSpan w:val="2"/>
            <w:vMerge w:val="continue"/>
            <w:tcBorders>
              <w:bottom w:val="single" w:color="auto" w:sz="4" w:space="0"/>
            </w:tcBorders>
          </w:tcPr>
          <w:p>
            <w:pPr>
              <w:widowControl/>
              <w:jc w:val="left"/>
              <w:outlineLvl w:val="1"/>
              <w:rPr>
                <w:rFonts w:ascii="仿宋_GB2312" w:hAnsi="宋体" w:eastAsia="仿宋_GB2312"/>
                <w:b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486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</w:trPr>
        <w:tc>
          <w:tcPr>
            <w:tcW w:w="486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7" w:hRule="atLeast"/>
        </w:trPr>
        <w:tc>
          <w:tcPr>
            <w:tcW w:w="486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7" w:hRule="atLeast"/>
        </w:trPr>
        <w:tc>
          <w:tcPr>
            <w:tcW w:w="486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486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486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8" w:hRule="atLeast"/>
        </w:trPr>
        <w:tc>
          <w:tcPr>
            <w:tcW w:w="486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atLeast"/>
        </w:trPr>
        <w:tc>
          <w:tcPr>
            <w:tcW w:w="486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995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8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34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52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51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440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2" w:hRule="atLeast"/>
        </w:trPr>
        <w:tc>
          <w:tcPr>
            <w:tcW w:w="486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995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12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bCs/>
                <w:kern w:val="0"/>
                <w:sz w:val="20"/>
                <w:szCs w:val="20"/>
              </w:rPr>
              <w:t>合 计</w:t>
            </w:r>
          </w:p>
        </w:tc>
        <w:tc>
          <w:tcPr>
            <w:tcW w:w="81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Cs w:val="21"/>
              </w:rPr>
            </w:pPr>
          </w:p>
        </w:tc>
        <w:tc>
          <w:tcPr>
            <w:tcW w:w="68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834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18"/>
                <w:szCs w:val="18"/>
              </w:rPr>
            </w:pPr>
          </w:p>
        </w:tc>
        <w:tc>
          <w:tcPr>
            <w:tcW w:w="30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3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633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527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240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351" w:type="dxa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  <w:tc>
          <w:tcPr>
            <w:tcW w:w="440" w:type="dxa"/>
            <w:gridSpan w:val="2"/>
            <w:vAlign w:val="center"/>
          </w:tcPr>
          <w:p>
            <w:pPr>
              <w:widowControl/>
              <w:outlineLvl w:val="1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</w:tc>
      </w:tr>
    </w:tbl>
    <w:p>
      <w:pPr>
        <w:widowControl/>
        <w:spacing w:line="280" w:lineRule="exact"/>
        <w:outlineLvl w:val="1"/>
        <w:rPr>
          <w:rFonts w:ascii="仿宋_GB2312" w:hAnsi="宋体" w:eastAsia="仿宋_GB2312"/>
          <w:b/>
          <w:kern w:val="0"/>
          <w:sz w:val="28"/>
          <w:szCs w:val="32"/>
        </w:rPr>
      </w:pPr>
      <w:r>
        <w:rPr>
          <w:rFonts w:hint="eastAsia" w:ascii="仿宋" w:eastAsia="仿宋"/>
          <w:b/>
          <w:color w:val="000000"/>
          <w:szCs w:val="21"/>
        </w:rPr>
        <w:t xml:space="preserve"> 备注：呼图壁县城市管理综合服务中心202</w:t>
      </w:r>
      <w:r>
        <w:rPr>
          <w:rFonts w:hint="eastAsia" w:ascii="仿宋" w:eastAsia="仿宋"/>
          <w:b/>
          <w:color w:val="000000"/>
          <w:szCs w:val="21"/>
          <w:lang w:val="en-US" w:eastAsia="zh-CN"/>
        </w:rPr>
        <w:t>5</w:t>
      </w:r>
      <w:r>
        <w:rPr>
          <w:rFonts w:hint="eastAsia" w:ascii="仿宋" w:eastAsia="仿宋"/>
          <w:b/>
          <w:color w:val="000000"/>
          <w:szCs w:val="21"/>
        </w:rPr>
        <w:t>年没有使用一般公共预算安排项目支出，一般公共预算项目支出情况表为空表。</w:t>
      </w:r>
    </w:p>
    <w:p>
      <w:pPr>
        <w:widowControl/>
        <w:jc w:val="left"/>
        <w:textAlignment w:val="bottom"/>
        <w:rPr>
          <w:rFonts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jc w:val="left"/>
        <w:textAlignment w:val="bottom"/>
        <w:rPr>
          <w:rFonts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jc w:val="left"/>
        <w:textAlignment w:val="bottom"/>
        <w:rPr>
          <w:rFonts w:hint="eastAsia" w:ascii="仿宋_GB2312" w:hAnsi="宋体" w:eastAsia="仿宋_GB2312"/>
          <w:b/>
          <w:kern w:val="0"/>
          <w:sz w:val="28"/>
          <w:szCs w:val="32"/>
        </w:rPr>
      </w:pPr>
      <w:r>
        <w:rPr>
          <w:rFonts w:hint="eastAsia" w:ascii="仿宋_GB2312" w:hAnsi="宋体" w:eastAsia="仿宋_GB2312"/>
          <w:b/>
          <w:kern w:val="0"/>
          <w:sz w:val="28"/>
          <w:szCs w:val="32"/>
        </w:rPr>
        <w:t xml:space="preserve"> </w:t>
      </w:r>
    </w:p>
    <w:p>
      <w:pPr>
        <w:widowControl/>
        <w:jc w:val="left"/>
        <w:textAlignment w:val="bottom"/>
        <w:rPr>
          <w:rFonts w:hint="eastAsia"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>表</w:t>
      </w:r>
      <w:r>
        <w:rPr>
          <w:rFonts w:ascii="宋体" w:hAnsi="宋体" w:cs="宋体"/>
          <w:kern w:val="0"/>
          <w:sz w:val="20"/>
          <w:szCs w:val="20"/>
        </w:rPr>
        <w:t>8</w:t>
      </w:r>
    </w:p>
    <w:p>
      <w:pPr>
        <w:widowControl/>
        <w:jc w:val="center"/>
        <w:rPr>
          <w:rFonts w:hint="eastAsia" w:ascii="仿宋_GB2312" w:hAnsi="宋体" w:eastAsia="仿宋_GB2312"/>
          <w:b/>
          <w:kern w:val="0"/>
          <w:sz w:val="32"/>
          <w:szCs w:val="32"/>
        </w:rPr>
      </w:pPr>
    </w:p>
    <w:p>
      <w:pPr>
        <w:widowControl/>
        <w:jc w:val="center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政府性基金预算支出情况表</w:t>
      </w: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>部门</w:t>
      </w:r>
      <w:r>
        <w:rPr>
          <w:rFonts w:hint="eastAsia" w:ascii="仿宋_GB2312" w:hAnsi="宋体" w:eastAsia="仿宋_GB2312"/>
          <w:kern w:val="0"/>
          <w:sz w:val="24"/>
        </w:rPr>
        <w:t xml:space="preserve">： 呼图壁县城市管理综合服务中心               单位：万元                                    </w:t>
      </w:r>
    </w:p>
    <w:tbl>
      <w:tblPr>
        <w:tblStyle w:val="11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科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政府性基金预算支出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人员经费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  <w:t>212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</w:pP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hint="default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  <w:t>城乡社区支出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  <w:t>1220.00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  <w:t>1220.00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  <w:t>212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  <w:t>13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城市基础设施配套费安排的支出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  <w:t>1220.00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  <w:t>1220.00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  <w:t>212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default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  <w:t>13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  <w:t>02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  <w:lang w:eastAsia="zh-CN"/>
              </w:rPr>
              <w:t>城市环境卫生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hint="default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  <w:t>1220.00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  <w:lang w:val="en-US" w:eastAsia="zh-CN"/>
              </w:rPr>
              <w:t>1220.00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2"/>
                <w:szCs w:val="2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lang w:val="en-US" w:eastAsia="zh-CN"/>
              </w:rPr>
              <w:t>1220.00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  <w:lang w:val="en-US" w:eastAsia="zh-CN"/>
              </w:rPr>
              <w:t>1220.00</w:t>
            </w: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　</w:t>
            </w:r>
          </w:p>
        </w:tc>
      </w:tr>
    </w:tbl>
    <w:p>
      <w:pPr>
        <w:widowControl/>
        <w:jc w:val="left"/>
        <w:textAlignment w:val="bottom"/>
        <w:rPr>
          <w:rFonts w:ascii="仿宋_GB2312" w:hAnsi="宋体" w:eastAsia="仿宋_GB2312"/>
          <w:b/>
          <w:kern w:val="0"/>
          <w:sz w:val="28"/>
          <w:szCs w:val="32"/>
        </w:rPr>
      </w:pPr>
    </w:p>
    <w:p>
      <w:pPr>
        <w:pStyle w:val="10"/>
      </w:pPr>
    </w:p>
    <w:p>
      <w:pPr>
        <w:widowControl/>
        <w:jc w:val="left"/>
        <w:textAlignment w:val="bottom"/>
        <w:rPr>
          <w:rFonts w:ascii="仿宋_GB2312" w:hAnsi="宋体" w:eastAsia="仿宋_GB2312"/>
          <w:b/>
          <w:kern w:val="0"/>
          <w:sz w:val="28"/>
          <w:szCs w:val="32"/>
        </w:rPr>
      </w:pPr>
      <w:r>
        <w:rPr>
          <w:rFonts w:hint="eastAsia" w:ascii="宋体" w:hAnsi="宋体" w:cs="宋体"/>
          <w:kern w:val="0"/>
          <w:sz w:val="20"/>
          <w:szCs w:val="20"/>
        </w:rPr>
        <w:t>表9</w:t>
      </w:r>
    </w:p>
    <w:p>
      <w:pPr>
        <w:widowControl/>
        <w:jc w:val="center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国有资本经营预算支出情况表</w:t>
      </w:r>
    </w:p>
    <w:p>
      <w:pPr>
        <w:widowControl/>
        <w:spacing w:line="280" w:lineRule="exact"/>
        <w:outlineLvl w:val="1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>部门</w:t>
      </w:r>
      <w:r>
        <w:rPr>
          <w:rFonts w:hint="eastAsia" w:ascii="仿宋_GB2312" w:hAnsi="宋体" w:eastAsia="仿宋_GB2312"/>
          <w:kern w:val="0"/>
          <w:sz w:val="24"/>
        </w:rPr>
        <w:t>：呼图壁县城市管理综合服务中心                    单位：万元</w:t>
      </w:r>
    </w:p>
    <w:tbl>
      <w:tblPr>
        <w:tblStyle w:val="11"/>
        <w:tblW w:w="9214" w:type="dxa"/>
        <w:tblInd w:w="-34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687"/>
        <w:gridCol w:w="656"/>
        <w:gridCol w:w="2357"/>
        <w:gridCol w:w="1374"/>
        <w:gridCol w:w="1055"/>
        <w:gridCol w:w="1102"/>
        <w:gridCol w:w="13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42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科  目</w:t>
            </w:r>
          </w:p>
        </w:tc>
        <w:tc>
          <w:tcPr>
            <w:tcW w:w="492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4"/>
              </w:rPr>
              <w:t>国有资本经营预算支出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92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功能分类科目编码</w:t>
            </w:r>
          </w:p>
        </w:tc>
        <w:tc>
          <w:tcPr>
            <w:tcW w:w="2357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功能分类科目名称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374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合 计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15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39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项目支出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类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款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项</w:t>
            </w:r>
          </w:p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35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7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0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人员经费　</w:t>
            </w:r>
          </w:p>
        </w:tc>
        <w:tc>
          <w:tcPr>
            <w:tcW w:w="1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39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35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3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32"/>
                <w:szCs w:val="32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8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　</w:t>
            </w:r>
          </w:p>
        </w:tc>
        <w:tc>
          <w:tcPr>
            <w:tcW w:w="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235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合  计</w:t>
            </w:r>
          </w:p>
        </w:tc>
        <w:tc>
          <w:tcPr>
            <w:tcW w:w="13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  <w:tc>
          <w:tcPr>
            <w:tcW w:w="105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1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right"/>
              <w:rPr>
                <w:rFonts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4"/>
              </w:rPr>
              <w:t>　</w:t>
            </w:r>
          </w:p>
        </w:tc>
      </w:tr>
    </w:tbl>
    <w:p>
      <w:pPr>
        <w:widowControl/>
        <w:spacing w:line="280" w:lineRule="exact"/>
        <w:outlineLvl w:val="1"/>
        <w:rPr>
          <w:rFonts w:ascii="仿宋_GB2312" w:hAnsi="宋体" w:eastAsia="仿宋_GB2312"/>
          <w:b/>
          <w:kern w:val="0"/>
          <w:sz w:val="28"/>
          <w:szCs w:val="32"/>
        </w:rPr>
      </w:pPr>
    </w:p>
    <w:p>
      <w:pPr>
        <w:widowControl/>
        <w:jc w:val="left"/>
        <w:rPr>
          <w:rFonts w:hint="default" w:ascii="仿宋" w:hAnsi="Calibri" w:eastAsia="仿宋" w:cs="Times New Roman"/>
          <w:b/>
          <w:color w:val="000000"/>
          <w:szCs w:val="21"/>
          <w:lang w:val="en-US" w:eastAsia="zh-CN"/>
        </w:rPr>
      </w:pPr>
      <w:r>
        <w:rPr>
          <w:rFonts w:hint="eastAsia" w:ascii="仿宋" w:hAnsi="Calibri" w:eastAsia="仿宋" w:cs="Times New Roman"/>
          <w:b/>
          <w:color w:val="000000"/>
          <w:szCs w:val="21"/>
        </w:rPr>
        <w:t>备注：呼图壁县城市管理综合服务中心</w:t>
      </w:r>
      <w:r>
        <w:rPr>
          <w:rFonts w:hint="eastAsia" w:ascii="仿宋" w:hAnsi="Calibri" w:eastAsia="仿宋" w:cs="Times New Roman"/>
          <w:b/>
          <w:color w:val="000000"/>
          <w:szCs w:val="21"/>
          <w:lang w:val="en-US" w:eastAsia="zh-CN"/>
        </w:rPr>
        <w:t>2025年</w:t>
      </w:r>
      <w:r>
        <w:rPr>
          <w:rFonts w:hint="eastAsia" w:ascii="仿宋" w:hAnsi="Calibri" w:eastAsia="仿宋" w:cs="Times New Roman"/>
          <w:b/>
          <w:color w:val="000000"/>
          <w:szCs w:val="21"/>
        </w:rPr>
        <w:t>无国有资本经营预算安排，国有资本经营预算支出情况表</w:t>
      </w:r>
      <w:r>
        <w:rPr>
          <w:rFonts w:hint="eastAsia" w:ascii="仿宋" w:hAnsi="Calibri" w:eastAsia="仿宋" w:cs="Times New Roman"/>
          <w:b/>
          <w:color w:val="000000"/>
          <w:szCs w:val="21"/>
          <w:lang w:val="en-US" w:eastAsia="zh-CN"/>
        </w:rPr>
        <w:t>为空表</w:t>
      </w:r>
    </w:p>
    <w:p>
      <w:pPr>
        <w:widowControl/>
        <w:jc w:val="left"/>
        <w:textAlignment w:val="bottom"/>
        <w:rPr>
          <w:rFonts w:hint="eastAsia" w:ascii="宋体" w:hAnsi="宋体" w:cs="宋体"/>
          <w:kern w:val="0"/>
          <w:sz w:val="20"/>
          <w:szCs w:val="20"/>
        </w:rPr>
      </w:pPr>
    </w:p>
    <w:p>
      <w:pPr>
        <w:widowControl/>
        <w:jc w:val="left"/>
        <w:textAlignment w:val="bottom"/>
        <w:rPr>
          <w:rFonts w:hint="eastAsia" w:ascii="宋体" w:hAnsi="宋体" w:cs="宋体"/>
          <w:kern w:val="0"/>
          <w:sz w:val="20"/>
          <w:szCs w:val="20"/>
        </w:rPr>
      </w:pPr>
    </w:p>
    <w:p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</w:rPr>
      </w:pPr>
      <w:r>
        <w:rPr>
          <w:rFonts w:hint="eastAsia" w:ascii="宋体" w:hAnsi="宋体" w:cs="宋体"/>
          <w:kern w:val="0"/>
          <w:sz w:val="20"/>
          <w:szCs w:val="20"/>
        </w:rPr>
        <w:t>表</w:t>
      </w:r>
      <w:r>
        <w:rPr>
          <w:rFonts w:ascii="宋体" w:hAnsi="宋体" w:cs="宋体"/>
          <w:kern w:val="0"/>
          <w:sz w:val="20"/>
          <w:szCs w:val="20"/>
        </w:rPr>
        <w:t>10</w:t>
      </w:r>
    </w:p>
    <w:p>
      <w:pPr>
        <w:widowControl/>
        <w:jc w:val="center"/>
        <w:rPr>
          <w:rFonts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财政拨款“三公”经费支出情况表</w:t>
      </w:r>
    </w:p>
    <w:p>
      <w:pPr>
        <w:widowControl/>
        <w:jc w:val="left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>编制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>部门</w:t>
      </w:r>
      <w:r>
        <w:rPr>
          <w:rFonts w:hint="eastAsia" w:ascii="仿宋_GB2312" w:hAnsi="宋体" w:eastAsia="仿宋_GB2312"/>
          <w:kern w:val="0"/>
          <w:sz w:val="24"/>
        </w:rPr>
        <w:t>：呼图壁县城市管理综合服务中心                    单位：万元</w:t>
      </w:r>
    </w:p>
    <w:p>
      <w:pPr>
        <w:widowControl/>
        <w:jc w:val="left"/>
        <w:rPr>
          <w:rFonts w:ascii="仿宋_GB2312" w:hAnsi="宋体" w:eastAsia="仿宋_GB2312"/>
          <w:kern w:val="0"/>
          <w:sz w:val="24"/>
        </w:rPr>
      </w:pPr>
      <w:r>
        <w:rPr>
          <w:rFonts w:hint="eastAsia" w:ascii="仿宋_GB2312" w:hAnsi="宋体" w:eastAsia="仿宋_GB2312"/>
          <w:kern w:val="0"/>
          <w:sz w:val="24"/>
        </w:rPr>
        <w:t xml:space="preserve">                                            </w:t>
      </w:r>
    </w:p>
    <w:tbl>
      <w:tblPr>
        <w:tblStyle w:val="12"/>
        <w:tblW w:w="0" w:type="auto"/>
        <w:tblInd w:w="-50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8"/>
        <w:gridCol w:w="1215"/>
        <w:gridCol w:w="1314"/>
        <w:gridCol w:w="1595"/>
        <w:gridCol w:w="16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“三公”经费支出内容</w:t>
            </w:r>
          </w:p>
        </w:tc>
        <w:tc>
          <w:tcPr>
            <w:tcW w:w="1215" w:type="dxa"/>
            <w:vMerge w:val="restart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合计</w:t>
            </w:r>
          </w:p>
        </w:tc>
        <w:tc>
          <w:tcPr>
            <w:tcW w:w="4530" w:type="dxa"/>
            <w:gridSpan w:val="3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资金来源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Merge w:val="continue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215" w:type="dxa"/>
            <w:vMerge w:val="continue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314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一般公共预算</w:t>
            </w:r>
          </w:p>
        </w:tc>
        <w:tc>
          <w:tcPr>
            <w:tcW w:w="1595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政府性基金</w:t>
            </w:r>
          </w:p>
        </w:tc>
        <w:tc>
          <w:tcPr>
            <w:tcW w:w="1621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国有资本经营预算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合计</w:t>
            </w:r>
          </w:p>
        </w:tc>
        <w:tc>
          <w:tcPr>
            <w:tcW w:w="1215" w:type="dxa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kern w:val="0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6.</w:t>
            </w: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  <w:lang w:val="en-US" w:eastAsia="zh-CN"/>
              </w:rPr>
              <w:t>40</w:t>
            </w:r>
          </w:p>
        </w:tc>
        <w:tc>
          <w:tcPr>
            <w:tcW w:w="1314" w:type="dxa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kern w:val="0"/>
                <w:sz w:val="28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6.</w:t>
            </w: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  <w:lang w:val="en-US" w:eastAsia="zh-CN"/>
              </w:rPr>
              <w:t>40</w:t>
            </w:r>
          </w:p>
        </w:tc>
        <w:tc>
          <w:tcPr>
            <w:tcW w:w="1595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621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因公出国（境）费</w:t>
            </w:r>
          </w:p>
        </w:tc>
        <w:tc>
          <w:tcPr>
            <w:tcW w:w="1215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314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595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621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公务接待费</w:t>
            </w:r>
          </w:p>
        </w:tc>
        <w:tc>
          <w:tcPr>
            <w:tcW w:w="1215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314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595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621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  <w:vAlign w:val="center"/>
          </w:tcPr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  <w:highlight w:val="none"/>
              </w:rPr>
              <w:t>公务用车购置及运行费</w:t>
            </w:r>
          </w:p>
          <w:p>
            <w:pPr>
              <w:widowControl/>
              <w:jc w:val="center"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  <w:highlight w:val="none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  <w:highlight w:val="none"/>
              </w:rPr>
              <w:t>（小计）</w:t>
            </w:r>
          </w:p>
        </w:tc>
        <w:tc>
          <w:tcPr>
            <w:tcW w:w="1215" w:type="dxa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kern w:val="0"/>
                <w:sz w:val="28"/>
                <w:szCs w:val="32"/>
                <w:highlight w:val="none"/>
                <w:lang w:val="en-US"/>
              </w:rPr>
            </w:pPr>
            <w:r>
              <w:rPr>
                <w:rFonts w:hint="default" w:ascii="仿宋_GB2312" w:hAnsi="宋体" w:eastAsia="仿宋_GB2312"/>
                <w:b/>
                <w:kern w:val="0"/>
                <w:sz w:val="28"/>
                <w:szCs w:val="32"/>
                <w:highlight w:val="none"/>
                <w:lang w:val="en-US"/>
              </w:rPr>
              <w:t>6.40</w:t>
            </w:r>
          </w:p>
        </w:tc>
        <w:tc>
          <w:tcPr>
            <w:tcW w:w="1314" w:type="dxa"/>
          </w:tcPr>
          <w:p>
            <w:pPr>
              <w:widowControl/>
              <w:outlineLvl w:val="1"/>
              <w:rPr>
                <w:rFonts w:hint="default" w:ascii="仿宋_GB2312" w:hAnsi="宋体" w:eastAsia="仿宋_GB2312"/>
                <w:b/>
                <w:kern w:val="0"/>
                <w:sz w:val="28"/>
                <w:szCs w:val="32"/>
                <w:highlight w:val="none"/>
                <w:lang w:val="en-US"/>
              </w:rPr>
            </w:pPr>
            <w:r>
              <w:rPr>
                <w:rFonts w:hint="default" w:ascii="仿宋_GB2312" w:hAnsi="宋体" w:eastAsia="仿宋_GB2312"/>
                <w:b/>
                <w:kern w:val="0"/>
                <w:sz w:val="28"/>
                <w:szCs w:val="32"/>
                <w:highlight w:val="none"/>
                <w:lang w:val="en-US"/>
              </w:rPr>
              <w:t>6.40</w:t>
            </w:r>
          </w:p>
        </w:tc>
        <w:tc>
          <w:tcPr>
            <w:tcW w:w="1595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621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</w:tcPr>
          <w:p>
            <w:pPr>
              <w:widowControl/>
              <w:ind w:firstLine="281" w:firstLineChars="100"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其中：公务用车购置费</w:t>
            </w:r>
          </w:p>
        </w:tc>
        <w:tc>
          <w:tcPr>
            <w:tcW w:w="1215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314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595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621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18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 xml:space="preserve">     </w:t>
            </w:r>
            <w:r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  <w:t xml:space="preserve">  </w:t>
            </w: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 xml:space="preserve"> 公务用车运行费</w:t>
            </w:r>
          </w:p>
        </w:tc>
        <w:tc>
          <w:tcPr>
            <w:tcW w:w="1215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6.40</w:t>
            </w:r>
          </w:p>
        </w:tc>
        <w:tc>
          <w:tcPr>
            <w:tcW w:w="1314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/>
                <w:b/>
                <w:kern w:val="0"/>
                <w:sz w:val="28"/>
                <w:szCs w:val="32"/>
              </w:rPr>
              <w:t>6.40</w:t>
            </w:r>
          </w:p>
        </w:tc>
        <w:tc>
          <w:tcPr>
            <w:tcW w:w="1595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  <w:tc>
          <w:tcPr>
            <w:tcW w:w="1621" w:type="dxa"/>
          </w:tcPr>
          <w:p>
            <w:pPr>
              <w:widowControl/>
              <w:outlineLvl w:val="1"/>
              <w:rPr>
                <w:rFonts w:ascii="仿宋_GB2312" w:hAnsi="宋体" w:eastAsia="仿宋_GB2312"/>
                <w:b/>
                <w:kern w:val="0"/>
                <w:sz w:val="28"/>
                <w:szCs w:val="32"/>
              </w:rPr>
            </w:pPr>
          </w:p>
        </w:tc>
      </w:tr>
    </w:tbl>
    <w:p>
      <w:pPr>
        <w:spacing w:line="600" w:lineRule="exact"/>
        <w:ind w:left="640"/>
        <w:jc w:val="center"/>
        <w:rPr>
          <w:rFonts w:ascii="仿宋" w:hAnsi="仿宋" w:eastAsia="仿宋" w:cs="仿宋_GB2312"/>
          <w:bCs/>
          <w:kern w:val="0"/>
          <w:sz w:val="28"/>
          <w:szCs w:val="28"/>
        </w:rPr>
      </w:pPr>
      <w:r>
        <w:rPr>
          <w:rFonts w:hint="eastAsia" w:ascii="仿宋_GB2312" w:hAnsi="宋体" w:eastAsia="仿宋_GB2312"/>
          <w:b/>
          <w:kern w:val="0"/>
          <w:sz w:val="28"/>
          <w:szCs w:val="32"/>
          <w:lang w:val="en-US" w:eastAsia="zh-CN"/>
        </w:rPr>
        <w:t xml:space="preserve"> </w:t>
      </w:r>
      <w:r>
        <w:rPr>
          <w:rFonts w:hint="eastAsia" w:ascii="仿宋_GB2312" w:hAnsi="宋体" w:eastAsia="仿宋_GB2312"/>
          <w:b/>
          <w:kern w:val="0"/>
          <w:sz w:val="28"/>
          <w:szCs w:val="32"/>
        </w:rPr>
        <w:t xml:space="preserve"> </w:t>
      </w:r>
    </w:p>
    <w:p>
      <w:pPr>
        <w:spacing w:line="600" w:lineRule="exact"/>
        <w:ind w:left="640"/>
        <w:jc w:val="center"/>
        <w:rPr>
          <w:rFonts w:ascii="仿宋" w:hAnsi="仿宋" w:eastAsia="仿宋" w:cs="仿宋_GB2312"/>
          <w:bCs/>
          <w:kern w:val="0"/>
          <w:sz w:val="28"/>
          <w:szCs w:val="28"/>
        </w:rPr>
      </w:pPr>
    </w:p>
    <w:p>
      <w:pPr>
        <w:spacing w:line="600" w:lineRule="exact"/>
        <w:ind w:left="640"/>
        <w:jc w:val="center"/>
        <w:rPr>
          <w:rFonts w:ascii="仿宋" w:hAnsi="仿宋" w:eastAsia="仿宋" w:cs="仿宋_GB2312"/>
          <w:bCs/>
          <w:kern w:val="0"/>
          <w:sz w:val="28"/>
          <w:szCs w:val="28"/>
        </w:rPr>
      </w:pPr>
    </w:p>
    <w:p>
      <w:pPr>
        <w:spacing w:line="600" w:lineRule="exact"/>
        <w:ind w:left="640"/>
        <w:jc w:val="center"/>
        <w:rPr>
          <w:rFonts w:ascii="仿宋" w:hAnsi="仿宋" w:eastAsia="仿宋" w:cs="仿宋_GB2312"/>
          <w:bCs/>
          <w:kern w:val="0"/>
          <w:sz w:val="28"/>
          <w:szCs w:val="28"/>
        </w:rPr>
      </w:pPr>
    </w:p>
    <w:p>
      <w:pPr>
        <w:spacing w:line="600" w:lineRule="exact"/>
        <w:ind w:left="640"/>
        <w:jc w:val="center"/>
        <w:rPr>
          <w:rFonts w:ascii="仿宋" w:hAnsi="仿宋" w:eastAsia="仿宋" w:cs="仿宋_GB2312"/>
          <w:bCs/>
          <w:kern w:val="0"/>
          <w:sz w:val="28"/>
          <w:szCs w:val="28"/>
        </w:rPr>
      </w:pPr>
    </w:p>
    <w:p>
      <w:pPr>
        <w:spacing w:line="600" w:lineRule="exact"/>
        <w:ind w:left="640"/>
        <w:jc w:val="center"/>
        <w:rPr>
          <w:rFonts w:ascii="仿宋" w:hAnsi="仿宋" w:eastAsia="仿宋" w:cs="仿宋_GB2312"/>
          <w:bCs/>
          <w:kern w:val="0"/>
          <w:sz w:val="28"/>
          <w:szCs w:val="28"/>
        </w:rPr>
      </w:pPr>
    </w:p>
    <w:p>
      <w:pPr>
        <w:spacing w:line="600" w:lineRule="exact"/>
        <w:ind w:left="640"/>
        <w:jc w:val="center"/>
        <w:rPr>
          <w:rFonts w:ascii="仿宋" w:hAnsi="仿宋" w:eastAsia="仿宋" w:cs="仿宋_GB2312"/>
          <w:bCs/>
          <w:kern w:val="0"/>
          <w:sz w:val="28"/>
          <w:szCs w:val="28"/>
        </w:rPr>
      </w:pPr>
    </w:p>
    <w:p>
      <w:pPr>
        <w:spacing w:line="600" w:lineRule="exact"/>
        <w:ind w:left="640"/>
        <w:jc w:val="center"/>
        <w:rPr>
          <w:rFonts w:ascii="仿宋" w:hAnsi="仿宋" w:eastAsia="仿宋" w:cs="仿宋_GB2312"/>
          <w:bCs/>
          <w:kern w:val="0"/>
          <w:sz w:val="28"/>
          <w:szCs w:val="28"/>
        </w:rPr>
      </w:pPr>
    </w:p>
    <w:p>
      <w:pPr>
        <w:spacing w:line="600" w:lineRule="exact"/>
        <w:ind w:left="640"/>
        <w:jc w:val="center"/>
        <w:rPr>
          <w:rFonts w:ascii="仿宋" w:hAnsi="仿宋" w:eastAsia="仿宋" w:cs="仿宋_GB2312"/>
          <w:bCs/>
          <w:kern w:val="0"/>
          <w:sz w:val="28"/>
          <w:szCs w:val="28"/>
        </w:rPr>
      </w:pPr>
    </w:p>
    <w:p>
      <w:pPr>
        <w:spacing w:line="600" w:lineRule="exact"/>
        <w:ind w:left="640"/>
        <w:jc w:val="center"/>
        <w:rPr>
          <w:rFonts w:ascii="仿宋" w:hAnsi="仿宋" w:eastAsia="仿宋" w:cs="仿宋_GB2312"/>
          <w:bCs/>
          <w:kern w:val="0"/>
          <w:sz w:val="28"/>
          <w:szCs w:val="28"/>
        </w:rPr>
      </w:pPr>
    </w:p>
    <w:p>
      <w:pPr>
        <w:spacing w:line="600" w:lineRule="exact"/>
        <w:rPr>
          <w:rFonts w:ascii="仿宋" w:hAnsi="仿宋" w:eastAsia="仿宋" w:cs="仿宋_GB2312"/>
          <w:bCs/>
          <w:kern w:val="0"/>
          <w:sz w:val="28"/>
          <w:szCs w:val="28"/>
        </w:rPr>
      </w:pPr>
    </w:p>
    <w:p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</w:rPr>
      </w:pPr>
    </w:p>
    <w:p>
      <w:pPr>
        <w:pStyle w:val="10"/>
      </w:pPr>
    </w:p>
    <w:p>
      <w:pPr>
        <w:widowControl/>
        <w:jc w:val="left"/>
        <w:textAlignment w:val="bottom"/>
        <w:rPr>
          <w:rFonts w:ascii="宋体" w:hAnsi="宋体" w:cs="宋体"/>
          <w:kern w:val="0"/>
          <w:sz w:val="20"/>
          <w:szCs w:val="20"/>
        </w:rPr>
      </w:pPr>
    </w:p>
    <w:p>
      <w:pPr>
        <w:widowControl/>
        <w:jc w:val="left"/>
        <w:textAlignment w:val="bottom"/>
        <w:rPr>
          <w:rFonts w:ascii="仿宋" w:hAnsi="仿宋" w:eastAsia="仿宋" w:cs="仿宋_GB2312"/>
          <w:bCs/>
          <w:kern w:val="0"/>
          <w:sz w:val="28"/>
          <w:szCs w:val="28"/>
        </w:rPr>
      </w:pPr>
      <w:r>
        <w:rPr>
          <w:rFonts w:hint="eastAsia" w:ascii="宋体" w:hAnsi="宋体" w:cs="宋体"/>
          <w:kern w:val="0"/>
          <w:sz w:val="20"/>
          <w:szCs w:val="20"/>
        </w:rPr>
        <w:t>表</w:t>
      </w:r>
      <w:r>
        <w:rPr>
          <w:rFonts w:ascii="宋体" w:hAnsi="宋体" w:cs="宋体"/>
          <w:kern w:val="0"/>
          <w:sz w:val="20"/>
          <w:szCs w:val="20"/>
        </w:rPr>
        <w:t>1</w:t>
      </w:r>
      <w:r>
        <w:rPr>
          <w:rFonts w:hint="eastAsia" w:ascii="宋体" w:hAnsi="宋体" w:cs="宋体"/>
          <w:kern w:val="0"/>
          <w:sz w:val="20"/>
          <w:szCs w:val="20"/>
        </w:rPr>
        <w:t>1</w:t>
      </w:r>
    </w:p>
    <w:p>
      <w:pPr>
        <w:widowControl/>
        <w:jc w:val="center"/>
        <w:rPr>
          <w:rFonts w:hint="eastAsia" w:ascii="仿宋_GB2312" w:hAnsi="宋体" w:eastAsia="仿宋_GB2312"/>
          <w:b/>
          <w:kern w:val="0"/>
          <w:sz w:val="32"/>
          <w:szCs w:val="32"/>
        </w:rPr>
      </w:pPr>
      <w:r>
        <w:rPr>
          <w:rFonts w:hint="eastAsia" w:ascii="仿宋_GB2312" w:hAnsi="宋体" w:eastAsia="仿宋_GB2312"/>
          <w:b/>
          <w:kern w:val="0"/>
          <w:sz w:val="32"/>
          <w:szCs w:val="32"/>
        </w:rPr>
        <w:t>上年结转结余情况明细表</w:t>
      </w:r>
    </w:p>
    <w:p>
      <w:pPr>
        <w:widowControl/>
        <w:jc w:val="left"/>
      </w:pPr>
      <w:r>
        <w:rPr>
          <w:rFonts w:hint="eastAsia" w:ascii="仿宋_GB2312" w:hAnsi="宋体" w:eastAsia="仿宋_GB2312"/>
          <w:kern w:val="0"/>
          <w:sz w:val="24"/>
        </w:rPr>
        <w:t>编制</w:t>
      </w:r>
      <w:r>
        <w:rPr>
          <w:rFonts w:hint="eastAsia" w:ascii="仿宋_GB2312" w:hAnsi="宋体" w:eastAsia="仿宋_GB2312"/>
          <w:kern w:val="0"/>
          <w:sz w:val="24"/>
          <w:lang w:val="en-US" w:eastAsia="zh-CN"/>
        </w:rPr>
        <w:t>部门</w:t>
      </w:r>
      <w:r>
        <w:rPr>
          <w:rFonts w:hint="eastAsia" w:ascii="仿宋_GB2312" w:hAnsi="宋体" w:eastAsia="仿宋_GB2312"/>
          <w:kern w:val="0"/>
          <w:sz w:val="24"/>
        </w:rPr>
        <w:t>：呼图壁县城市管理综合服务中心                    单位：万元</w:t>
      </w:r>
    </w:p>
    <w:tbl>
      <w:tblPr>
        <w:tblStyle w:val="12"/>
        <w:tblpPr w:leftFromText="180" w:rightFromText="180" w:vertAnchor="text" w:horzAnchor="page" w:tblpX="852" w:tblpY="190"/>
        <w:tblOverlap w:val="never"/>
        <w:tblW w:w="9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850"/>
        <w:gridCol w:w="1054"/>
        <w:gridCol w:w="890"/>
        <w:gridCol w:w="714"/>
        <w:gridCol w:w="1211"/>
        <w:gridCol w:w="797"/>
        <w:gridCol w:w="723"/>
        <w:gridCol w:w="881"/>
        <w:gridCol w:w="12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项目</w:t>
            </w:r>
          </w:p>
        </w:tc>
        <w:tc>
          <w:tcPr>
            <w:tcW w:w="850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总计</w:t>
            </w:r>
          </w:p>
        </w:tc>
        <w:tc>
          <w:tcPr>
            <w:tcW w:w="3869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财政拨款</w:t>
            </w:r>
          </w:p>
        </w:tc>
        <w:tc>
          <w:tcPr>
            <w:tcW w:w="3612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非财政拨款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287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160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项目支出</w:t>
            </w:r>
          </w:p>
        </w:tc>
        <w:tc>
          <w:tcPr>
            <w:tcW w:w="797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合计</w:t>
            </w:r>
          </w:p>
        </w:tc>
        <w:tc>
          <w:tcPr>
            <w:tcW w:w="160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基本支出</w:t>
            </w:r>
          </w:p>
        </w:tc>
        <w:tc>
          <w:tcPr>
            <w:tcW w:w="1211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项目支出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1287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11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97" w:type="dxa"/>
            <w:vMerge w:val="continue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人员经费</w:t>
            </w:r>
          </w:p>
        </w:tc>
        <w:tc>
          <w:tcPr>
            <w:tcW w:w="88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 w:val="20"/>
                <w:szCs w:val="20"/>
              </w:rPr>
              <w:t>公用经费</w:t>
            </w:r>
          </w:p>
        </w:tc>
        <w:tc>
          <w:tcPr>
            <w:tcW w:w="1211" w:type="dxa"/>
            <w:vMerge w:val="continue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</w:trPr>
        <w:tc>
          <w:tcPr>
            <w:tcW w:w="128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50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054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9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714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仿宋_GB2312" w:hAnsi="宋体" w:eastAsia="仿宋_GB2312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97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723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88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  <w:tc>
          <w:tcPr>
            <w:tcW w:w="1211" w:type="dxa"/>
            <w:vAlign w:val="center"/>
          </w:tcPr>
          <w:p>
            <w:pPr>
              <w:spacing w:line="600" w:lineRule="exact"/>
              <w:jc w:val="center"/>
              <w:rPr>
                <w:rFonts w:ascii="仿宋" w:hAnsi="仿宋" w:eastAsia="仿宋" w:cs="仿宋_GB2312"/>
                <w:bCs/>
                <w:kern w:val="0"/>
                <w:sz w:val="28"/>
                <w:szCs w:val="28"/>
              </w:rPr>
            </w:pPr>
          </w:p>
        </w:tc>
      </w:tr>
    </w:tbl>
    <w:p>
      <w:pPr>
        <w:widowControl/>
        <w:jc w:val="left"/>
        <w:rPr>
          <w:rFonts w:hint="eastAsia" w:ascii="仿宋" w:hAnsi="Calibri" w:eastAsia="仿宋" w:cs="Times New Roman"/>
          <w:b/>
          <w:color w:val="000000"/>
          <w:szCs w:val="21"/>
        </w:rPr>
      </w:pPr>
      <w:r>
        <w:rPr>
          <w:rFonts w:hint="eastAsia" w:ascii="仿宋" w:hAnsi="Calibri" w:eastAsia="仿宋" w:cs="Times New Roman"/>
          <w:b/>
          <w:color w:val="000000"/>
          <w:szCs w:val="21"/>
        </w:rPr>
        <w:t>备注：呼图壁县城市管理综合服务中心</w:t>
      </w:r>
      <w:r>
        <w:rPr>
          <w:rFonts w:hint="eastAsia" w:ascii="仿宋" w:hAnsi="Calibri" w:eastAsia="仿宋" w:cs="Times New Roman"/>
          <w:b/>
          <w:color w:val="000000"/>
          <w:szCs w:val="21"/>
          <w:lang w:val="en-US" w:eastAsia="zh-CN"/>
        </w:rPr>
        <w:t>2025年没有</w:t>
      </w:r>
      <w:r>
        <w:rPr>
          <w:rFonts w:hint="eastAsia" w:ascii="仿宋" w:eastAsia="仿宋"/>
          <w:b/>
          <w:color w:val="000000"/>
          <w:szCs w:val="21"/>
        </w:rPr>
        <w:t>上年结转结余预算安排的支出</w:t>
      </w:r>
      <w:r>
        <w:rPr>
          <w:rFonts w:hint="eastAsia" w:ascii="仿宋" w:hAnsi="Calibri" w:eastAsia="仿宋" w:cs="Times New Roman"/>
          <w:b/>
          <w:color w:val="000000"/>
          <w:szCs w:val="21"/>
        </w:rPr>
        <w:t>，此表为空</w:t>
      </w:r>
    </w:p>
    <w:p>
      <w:pPr>
        <w:widowControl/>
        <w:outlineLvl w:val="1"/>
        <w:rPr>
          <w:rFonts w:ascii="仿宋_GB2312" w:hAnsi="宋体" w:eastAsia="仿宋_GB2312"/>
          <w:kern w:val="0"/>
          <w:sz w:val="32"/>
          <w:szCs w:val="32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kern w:val="0"/>
          <w:sz w:val="32"/>
          <w:szCs w:val="32"/>
        </w:rPr>
      </w:pPr>
    </w:p>
    <w:p>
      <w:pPr>
        <w:widowControl/>
        <w:spacing w:line="280" w:lineRule="exact"/>
        <w:jc w:val="left"/>
        <w:outlineLvl w:val="1"/>
        <w:rPr>
          <w:rFonts w:ascii="仿宋_GB2312" w:hAnsi="宋体" w:eastAsia="仿宋_GB2312"/>
          <w:kern w:val="0"/>
          <w:sz w:val="32"/>
          <w:szCs w:val="32"/>
        </w:rPr>
        <w:sectPr>
          <w:footerReference r:id="rId4" w:type="default"/>
          <w:pgSz w:w="11906" w:h="16838"/>
          <w:pgMar w:top="2098" w:right="1531" w:bottom="1984" w:left="1531" w:header="851" w:footer="992" w:gutter="0"/>
          <w:pgNumType w:fmt="numberInDash" w:start="1"/>
          <w:cols w:space="720" w:num="1"/>
          <w:docGrid w:linePitch="312" w:charSpace="0"/>
        </w:sectPr>
      </w:pPr>
    </w:p>
    <w:p>
      <w:pPr>
        <w:spacing w:line="600" w:lineRule="exact"/>
        <w:jc w:val="center"/>
        <w:rPr>
          <w:rFonts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第三部分  202</w:t>
      </w:r>
      <w:r>
        <w:rPr>
          <w:rFonts w:hint="eastAsia" w:ascii="黑体" w:hAnsi="黑体" w:eastAsia="黑体"/>
          <w:kern w:val="0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/>
          <w:kern w:val="0"/>
          <w:sz w:val="32"/>
          <w:szCs w:val="32"/>
        </w:rPr>
        <w:t>年部门预算情况说明</w:t>
      </w:r>
    </w:p>
    <w:p>
      <w:pPr>
        <w:spacing w:line="600" w:lineRule="exact"/>
        <w:ind w:firstLine="640" w:firstLineChars="200"/>
        <w:rPr>
          <w:rFonts w:ascii="黑体" w:hAnsi="黑体" w:eastAsia="黑体"/>
          <w:kern w:val="0"/>
          <w:sz w:val="32"/>
          <w:szCs w:val="32"/>
        </w:rPr>
      </w:pPr>
    </w:p>
    <w:p>
      <w:pPr>
        <w:spacing w:line="600" w:lineRule="exact"/>
        <w:ind w:firstLine="643" w:firstLineChars="200"/>
        <w:rPr>
          <w:rFonts w:ascii="楷体_GB2312" w:hAnsi="楷体_GB2312" w:eastAsia="楷体_GB2312" w:cs="楷体_GB2312"/>
          <w:b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</w:rPr>
        <w:t>一、关于呼图壁县城市管理综合服务中心202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</w:rPr>
        <w:t>年收支预算情况的总体说明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按照全口径预算的原则，呼图壁县城市管理综合服务中心202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年所有收入和支出均纳入呼图壁县城市管理综合服务中心预算管理。收支总预算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4389.98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收入预算包括：一般公共预算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政府性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基金预算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单位资金。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b/>
          <w:color w:val="FF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支出预算包括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社会保障和就业支出、卫生健康支出、城乡社区支出、住房保障支出。</w:t>
      </w:r>
      <w:r>
        <w:rPr>
          <w:rFonts w:hint="eastAsia" w:ascii="仿宋_GB2312" w:hAnsi="宋体" w:eastAsia="仿宋_GB2312" w:cs="宋体"/>
          <w:color w:val="FF0000"/>
          <w:kern w:val="0"/>
          <w:sz w:val="32"/>
          <w:szCs w:val="32"/>
        </w:rPr>
        <w:t xml:space="preserve"> </w:t>
      </w:r>
    </w:p>
    <w:p>
      <w:pPr>
        <w:spacing w:line="600" w:lineRule="exact"/>
        <w:ind w:firstLine="643" w:firstLineChars="200"/>
        <w:rPr>
          <w:rFonts w:ascii="楷体_GB2312" w:hAnsi="楷体_GB2312" w:eastAsia="楷体_GB2312" w:cs="楷体_GB2312"/>
          <w:b/>
          <w:bCs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</w:rPr>
        <w:t>二、关于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highlight w:val="none"/>
        </w:rPr>
        <w:t>呼图壁县城市管理综合服务中心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</w:rPr>
        <w:t>202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</w:rPr>
        <w:t>年收入预算情况说明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呼图壁县城市管理综合服务中心收入预算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4389.98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万元，其中：</w:t>
      </w:r>
    </w:p>
    <w:p>
      <w:pPr>
        <w:widowControl/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一般公共预算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2097.98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47.79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821.36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28.14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与上年度相比，职称结构发生变化、调资等原因，造成人员经费减少。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项目预算资金2025年调整到政府性预算资金拨款。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上级一般公共预算安排的转移支付资金未安排。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政府性基金预算安排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27.79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增长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100 %，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上年度项目资金在一般公共预算中列支，2025年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项目预算资金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列支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到政府性预算资金里，增加了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1220万元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上级政府性基金安排的转移支付资金未安排。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国有资本经营预算未安排。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上级国有资本经营预算安排的转移支付资金未安排。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  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单位资金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1072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24.42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385.2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56.09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%，主要原因是：与上年度相比，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单位机构改革合并运行经费增加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所以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单位资金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预算增加。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 </w:t>
      </w:r>
    </w:p>
    <w:p>
      <w:pPr>
        <w:spacing w:line="600" w:lineRule="exact"/>
        <w:ind w:firstLine="640" w:firstLineChars="200"/>
        <w:rPr>
          <w:rFonts w:ascii="楷体_GB2312" w:hAnsi="楷体_GB2312" w:eastAsia="楷体_GB2312" w:cs="楷体_GB2312"/>
          <w:b/>
          <w:bCs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 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</w:rPr>
        <w:t>三、关于</w:t>
      </w:r>
      <w:r>
        <w:rPr>
          <w:rFonts w:hint="eastAsia" w:ascii="楷体_GB2312" w:hAnsi="楷体_GB2312" w:eastAsia="楷体_GB2312" w:cs="楷体_GB2312"/>
          <w:b/>
          <w:kern w:val="0"/>
          <w:sz w:val="32"/>
          <w:szCs w:val="32"/>
          <w:highlight w:val="none"/>
        </w:rPr>
        <w:t>呼图壁县城市管理综合服务中心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</w:rPr>
        <w:t>202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</w:rPr>
        <w:t>年支出预算情况说明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呼图壁县城市管理综合服务中心202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年支出预算    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4389.98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万元，其中：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基本支出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3169.98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72.21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 xml:space="preserve"> 363.84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12.97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与上年度相比，职称结构发生变化、调资等原因，造成人员经费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增加。</w:t>
      </w:r>
    </w:p>
    <w:p>
      <w:pPr>
        <w:spacing w:line="60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1220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27.79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%，比上年预算增加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420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52.50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城区绿化养护费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支出增加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spacing w:line="600" w:lineRule="exact"/>
        <w:ind w:firstLine="619" w:firstLineChars="200"/>
        <w:rPr>
          <w:rFonts w:ascii="楷体_GB2312" w:hAnsi="楷体_GB2312" w:eastAsia="楷体_GB2312" w:cs="楷体_GB2312"/>
          <w:b/>
          <w:bCs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b/>
          <w:color w:val="FF0000"/>
          <w:spacing w:val="-6"/>
          <w:kern w:val="0"/>
          <w:sz w:val="32"/>
          <w:szCs w:val="32"/>
          <w:highlight w:val="none"/>
        </w:rPr>
        <w:t xml:space="preserve"> 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</w:rPr>
        <w:t>四、关于呼图壁县城市管理综合服务中心202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</w:rPr>
        <w:t>年财政拨款收支预算情况的总体说明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2024年财政拨款收支总预算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3317.98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收入预算包括：一般公共预算拨款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2097.98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万元，政府性基金预算拨款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1220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eastAsia="zh-CN"/>
        </w:rPr>
        <w:t>。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color w:val="auto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一般公共预算支出包括：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社会保障和就业支出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86.42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万元，主要用于职工社会保险缴费。卫生健康支出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51.17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万元，主要用于工医疗保险缴费。卫生健康支出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51.17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万元，主要用于工医疗保险缴费。城乡社区支出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1903.88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万元，主要用于人员经费和日常市政公共实施维护业务公用经费支出。住房保障支出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56.51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万元，主要用于职工住房公积金支出 。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color w:val="auto"/>
          <w:kern w:val="0"/>
          <w:sz w:val="32"/>
          <w:szCs w:val="32"/>
          <w:highlight w:val="none"/>
          <w:lang w:val="en-US"/>
        </w:rPr>
      </w:pP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政府性基金预算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支出包括：城乡社区支出1220万元，主要用于支付特种车运行及垃圾场运行维护费500万元；城区绿化养护费720万元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 xml:space="preserve">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。</w:t>
      </w:r>
    </w:p>
    <w:p>
      <w:pPr>
        <w:spacing w:line="600" w:lineRule="exact"/>
        <w:ind w:firstLine="643" w:firstLineChars="200"/>
        <w:rPr>
          <w:rFonts w:ascii="楷体_GB2312" w:hAnsi="楷体_GB2312" w:eastAsia="楷体_GB2312" w:cs="楷体_GB2312"/>
          <w:b/>
          <w:bCs/>
          <w:spacing w:val="-6"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</w:rPr>
        <w:t>五、</w:t>
      </w:r>
      <w:r>
        <w:rPr>
          <w:rFonts w:hint="eastAsia" w:ascii="楷体_GB2312" w:hAnsi="楷体_GB2312" w:eastAsia="楷体_GB2312" w:cs="楷体_GB2312"/>
          <w:b/>
          <w:bCs/>
          <w:spacing w:val="-6"/>
          <w:kern w:val="0"/>
          <w:sz w:val="32"/>
          <w:szCs w:val="32"/>
          <w:highlight w:val="none"/>
        </w:rPr>
        <w:t>关于呼图壁县城市管理综合服务中心202</w:t>
      </w:r>
      <w:r>
        <w:rPr>
          <w:rFonts w:hint="eastAsia" w:ascii="楷体_GB2312" w:hAnsi="楷体_GB2312" w:eastAsia="楷体_GB2312" w:cs="楷体_GB2312"/>
          <w:b/>
          <w:bCs/>
          <w:spacing w:val="-6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spacing w:val="-6"/>
          <w:kern w:val="0"/>
          <w:sz w:val="32"/>
          <w:szCs w:val="32"/>
          <w:highlight w:val="none"/>
        </w:rPr>
        <w:t>年一般公共预算当年拨款情况说明</w:t>
      </w:r>
    </w:p>
    <w:p>
      <w:pPr>
        <w:spacing w:line="600" w:lineRule="exact"/>
        <w:ind w:firstLine="643" w:firstLineChars="200"/>
        <w:rPr>
          <w:rFonts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  <w:t>（一）一般公共预算当年拨款规模变化情况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jc w:val="both"/>
        <w:textAlignment w:val="auto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呼图壁县城市管理综合服务中心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年一般公共预算拨款合计2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097.98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万元，其中：基本支出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2097.98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708.16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25.24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%。主要原因是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与上年度相比，职称结构发生变化、调资等原因，造成人员经费减少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项目支出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与上年相比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预算增加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万元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近年未申请项目预算。</w:t>
      </w:r>
    </w:p>
    <w:p>
      <w:pPr>
        <w:spacing w:line="600" w:lineRule="exact"/>
        <w:ind w:firstLine="643" w:firstLineChars="200"/>
        <w:rPr>
          <w:rFonts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  <w:t>（二）一般公共预算当年拨款结构情况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1.社会保障和就业支出（类）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86.42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4.12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%。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2.卫生健康支出（类）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51.17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2.44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%。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3.城乡社区支出（类）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1903.88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万元，占9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0.75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%。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4.住房保障支出（类）5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6.51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万元，占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2.69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%。</w:t>
      </w:r>
    </w:p>
    <w:p>
      <w:pPr>
        <w:spacing w:line="600" w:lineRule="exact"/>
        <w:ind w:firstLine="643" w:firstLineChars="200"/>
        <w:rPr>
          <w:rFonts w:ascii="仿宋_GB2312" w:hAnsi="仿宋_GB2312" w:eastAsia="仿宋_GB2312" w:cs="仿宋_GB2312"/>
          <w:b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  <w:t>（三）一般公共预算当年拨款具体使用情况</w:t>
      </w:r>
    </w:p>
    <w:p>
      <w:pPr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1.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社会保障和就业支出（类）行政事业单位养老支出（款）事业单位离退休（项）：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18.75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14.17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43.04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根据医保政策，退休人员医疗期满后不用再交医疗保险，预算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经费减少。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2.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社会保障和就业支出（类）行政事业单位养老支出（款）机关事业单位基本养老保险缴费支出（项）: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年预算数为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67.67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2.56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3.65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上一年度此类资金部分款项运用错误，2025年进行了纠错，调至正确款项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。</w:t>
      </w:r>
    </w:p>
    <w:p>
      <w:pPr>
        <w:widowControl/>
        <w:spacing w:line="56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3.卫生健康支出（类）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行政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事业单位医疗（款）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事业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单位医疗（项）:202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33.83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1.28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3.65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%，主要原因是:政策变化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年的预算中减少了退休人员的基本医疗和公务员医疗补贴。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4.卫生健康支出（类）行政事业单位医疗（款）公务员医疗补助（项）:202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16.92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 ，比上年预算增加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7.26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75.16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%，主要原因是:政策变化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年的预算退休人员公务员医疗补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助是在此款项中列支，上一年无此项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5.卫生健康支出（类）行政事业单位医疗（款）其他行政事业单位医疗支出（项）:202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0.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 ，比上年预算增加0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.14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%，主要原因是:</w:t>
      </w:r>
      <w:r>
        <w:rPr>
          <w:rFonts w:hint="eastAsia" w:ascii="仿宋" w:hAnsi="微软雅黑" w:eastAsia="仿宋"/>
          <w:sz w:val="32"/>
          <w:szCs w:val="32"/>
        </w:rPr>
        <w:t>本年度在职人员的缴费基数比例有所调整</w:t>
      </w:r>
      <w:r>
        <w:rPr>
          <w:rFonts w:hint="eastAsia" w:ascii="仿宋" w:hAnsi="微软雅黑" w:eastAsia="仿宋"/>
          <w:sz w:val="32"/>
          <w:szCs w:val="32"/>
          <w:lang w:eastAsia="zh-CN"/>
        </w:rPr>
        <w:t>，</w:t>
      </w:r>
      <w:r>
        <w:rPr>
          <w:rFonts w:hint="eastAsia" w:ascii="仿宋" w:hAnsi="微软雅黑" w:eastAsia="仿宋"/>
          <w:sz w:val="32"/>
          <w:szCs w:val="32"/>
          <w:lang w:val="en-US" w:eastAsia="zh-CN"/>
        </w:rPr>
        <w:t>预算增加</w:t>
      </w:r>
      <w:r>
        <w:rPr>
          <w:rFonts w:hint="eastAsia" w:ascii="仿宋" w:hAnsi="微软雅黑" w:eastAsia="仿宋"/>
          <w:sz w:val="32"/>
          <w:szCs w:val="32"/>
        </w:rPr>
        <w:t xml:space="preserve"> 。</w:t>
      </w:r>
    </w:p>
    <w:p>
      <w:pPr>
        <w:widowControl/>
        <w:spacing w:line="560" w:lineRule="exact"/>
        <w:ind w:firstLine="640" w:firstLineChars="200"/>
        <w:rPr>
          <w:rFonts w:ascii="仿宋" w:hAnsi="微软雅黑" w:eastAsia="仿宋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.城乡社区支出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类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城乡社区环境卫生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（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款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城乡社区环境卫生（项）:202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1903.88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 ，比上年预算增加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481.44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33.85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" w:hAnsi="微软雅黑" w:eastAsia="仿宋"/>
          <w:sz w:val="32"/>
          <w:szCs w:val="32"/>
        </w:rPr>
        <w:t>与上年度相比，职称结构发生变化、调资等原因，造成人员</w:t>
      </w:r>
      <w:r>
        <w:rPr>
          <w:rFonts w:hint="eastAsia" w:ascii="仿宋" w:hAnsi="微软雅黑" w:eastAsia="仿宋"/>
          <w:sz w:val="32"/>
          <w:szCs w:val="32"/>
          <w:lang w:eastAsia="zh-CN"/>
        </w:rPr>
        <w:t>及运行</w:t>
      </w:r>
      <w:r>
        <w:rPr>
          <w:rFonts w:hint="eastAsia" w:ascii="仿宋" w:hAnsi="微软雅黑" w:eastAsia="仿宋"/>
          <w:sz w:val="32"/>
          <w:szCs w:val="32"/>
        </w:rPr>
        <w:t>经费</w:t>
      </w:r>
      <w:r>
        <w:rPr>
          <w:rFonts w:hint="eastAsia" w:ascii="仿宋" w:hAnsi="微软雅黑" w:eastAsia="仿宋"/>
          <w:sz w:val="32"/>
          <w:szCs w:val="32"/>
          <w:lang w:eastAsia="zh-CN"/>
        </w:rPr>
        <w:t>增加</w:t>
      </w:r>
      <w:r>
        <w:rPr>
          <w:rFonts w:hint="eastAsia" w:ascii="仿宋" w:hAnsi="微软雅黑" w:eastAsia="仿宋"/>
          <w:sz w:val="32"/>
          <w:szCs w:val="32"/>
        </w:rPr>
        <w:t>。</w:t>
      </w:r>
    </w:p>
    <w:p>
      <w:pPr>
        <w:spacing w:line="56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.住房保障支出（类）住房改革支出（款）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住房改革支出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（项）:202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</w:t>
      </w:r>
      <w:r>
        <w:rPr>
          <w:rFonts w:ascii="仿宋_GB2312" w:hAnsi="宋体" w:eastAsia="仿宋_GB2312" w:cs="宋体"/>
          <w:kern w:val="0"/>
          <w:sz w:val="32"/>
          <w:szCs w:val="32"/>
          <w:highlight w:val="none"/>
        </w:rPr>
        <w:t>预算数为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56.51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 ，比上年预算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2.19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3.73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上一年度此类资金部分款项运用错误，2025年进行了纠错，调至正确款项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。</w:t>
      </w:r>
    </w:p>
    <w:p>
      <w:pPr>
        <w:spacing w:line="600" w:lineRule="exact"/>
        <w:ind w:firstLine="643" w:firstLineChars="200"/>
        <w:rPr>
          <w:rFonts w:ascii="楷体_GB2312" w:hAnsi="楷体_GB2312" w:eastAsia="楷体_GB2312" w:cs="楷体_GB2312"/>
          <w:b/>
          <w:bCs/>
          <w:spacing w:val="-6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六、</w:t>
      </w:r>
      <w:r>
        <w:rPr>
          <w:rFonts w:hint="eastAsia" w:ascii="楷体_GB2312" w:hAnsi="楷体_GB2312" w:eastAsia="楷体_GB2312" w:cs="楷体_GB2312"/>
          <w:b/>
          <w:bCs/>
          <w:spacing w:val="-6"/>
          <w:kern w:val="0"/>
          <w:sz w:val="32"/>
          <w:szCs w:val="32"/>
        </w:rPr>
        <w:t>关于呼图壁县城市管理综合服务中心202</w:t>
      </w:r>
      <w:r>
        <w:rPr>
          <w:rFonts w:hint="eastAsia" w:ascii="楷体_GB2312" w:hAnsi="楷体_GB2312" w:eastAsia="楷体_GB2312" w:cs="楷体_GB2312"/>
          <w:b/>
          <w:bCs/>
          <w:spacing w:val="-6"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spacing w:val="-6"/>
          <w:kern w:val="0"/>
          <w:sz w:val="32"/>
          <w:szCs w:val="32"/>
        </w:rPr>
        <w:t>年一般公共预算基本支出情况说明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spacing w:val="-6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呼图壁县城市管理综合服务中心</w:t>
      </w: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</w:rPr>
        <w:t>年一般公共预算基本支出</w:t>
      </w: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  <w:lang w:val="en-US" w:eastAsia="zh-CN"/>
        </w:rPr>
        <w:t>2097.98</w:t>
      </w:r>
      <w:r>
        <w:rPr>
          <w:rFonts w:hint="eastAsia" w:ascii="仿宋_GB2312" w:hAnsi="宋体" w:eastAsia="仿宋_GB2312" w:cs="宋体"/>
          <w:spacing w:val="-6"/>
          <w:kern w:val="0"/>
          <w:sz w:val="32"/>
          <w:szCs w:val="32"/>
        </w:rPr>
        <w:t>万元，其中：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人员经费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2055.18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主要包括：基本工资、津贴补贴、奖金、绩效工资、机关事业单位基本养老保险缴费、职工基本医疗保险缴费、公务员医疗补助缴费、其他社会保障缴费、住房公积金、其他工资福利支出、退休费、奖励金。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公用经费4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2.8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万元，主要包括：办公费、邮电费、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印刷费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、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取暖费、差旅费、维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修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护费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、培训费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、工会经费、公务用车运行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600" w:lineRule="exact"/>
        <w:ind w:firstLine="619" w:firstLineChars="200"/>
        <w:rPr>
          <w:rFonts w:hint="eastAsia" w:ascii="楷体_GB2312" w:hAnsi="楷体_GB2312" w:eastAsia="楷体_GB2312" w:cs="楷体_GB2312"/>
          <w:b/>
          <w:bCs/>
          <w:spacing w:val="-6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pacing w:val="-6"/>
          <w:kern w:val="0"/>
          <w:sz w:val="32"/>
          <w:szCs w:val="32"/>
        </w:rPr>
        <w:t>关于呼图壁县城市管理综合服务中心202</w:t>
      </w:r>
      <w:r>
        <w:rPr>
          <w:rFonts w:hint="eastAsia" w:ascii="楷体_GB2312" w:hAnsi="楷体_GB2312" w:eastAsia="楷体_GB2312" w:cs="楷体_GB2312"/>
          <w:b/>
          <w:bCs/>
          <w:spacing w:val="-6"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spacing w:val="-6"/>
          <w:kern w:val="0"/>
          <w:sz w:val="32"/>
          <w:szCs w:val="32"/>
        </w:rPr>
        <w:t>年一般公共预算项目支出情况说明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3" w:firstLineChars="200"/>
        <w:jc w:val="both"/>
        <w:textAlignment w:val="auto"/>
        <w:rPr>
          <w:rFonts w:hint="default" w:eastAsia="宋体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FF0000"/>
          <w:kern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呼图壁县城市管理综合服务中心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</w:rPr>
        <w:t>年没有使用一般公共预算项目支出，一般公共预算项目支出情况表为空表。</w:t>
      </w:r>
    </w:p>
    <w:p>
      <w:pPr>
        <w:numPr>
          <w:ilvl w:val="0"/>
          <w:numId w:val="1"/>
        </w:numPr>
        <w:spacing w:line="600" w:lineRule="exact"/>
        <w:ind w:left="0" w:leftChars="0" w:firstLine="643" w:firstLineChars="200"/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关于呼图壁县城市管理综合服务中心202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年政府性基金预算拨款情况说明</w:t>
      </w:r>
    </w:p>
    <w:p>
      <w:pPr>
        <w:spacing w:line="600" w:lineRule="exact"/>
        <w:ind w:firstLine="643" w:firstLineChars="200"/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FF0000"/>
          <w:kern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呼图壁县城市管理综合服务中心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highlight w:val="none"/>
          <w:lang w:val="en-US" w:eastAsia="zh-CN"/>
        </w:rPr>
        <w:t>2025年政府性基金支出预算支出1220万元。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与上年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相比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420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52.50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城市基础设施配套费收入预计增加，相应城市基础配套费安排的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城区绿化养护费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其中：</w:t>
      </w:r>
    </w:p>
    <w:p>
      <w:pPr>
        <w:spacing w:line="600" w:lineRule="exact"/>
        <w:ind w:firstLine="640" w:firstLineChars="200"/>
        <w:rPr>
          <w:rFonts w:hint="default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1.城乡社区支出（类）城市基础设施配套费安排的支出（款）城市环境卫生（项）支出1220万元，与上年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相比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420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52.50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政府性基金收入城市基础设施配套费收入预计增加，相应政府性基金城市基础配套费安排的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城区绿化养护费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。</w:t>
      </w:r>
    </w:p>
    <w:p>
      <w:pPr>
        <w:spacing w:line="600" w:lineRule="exact"/>
        <w:ind w:firstLine="643" w:firstLineChars="200"/>
        <w:rPr>
          <w:rFonts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FF0000"/>
          <w:kern w:val="0"/>
          <w:sz w:val="32"/>
          <w:szCs w:val="32"/>
        </w:rPr>
        <w:t xml:space="preserve"> 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九、关于呼图壁县城市管理综合服务中心202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年国有资本经营预算拨款情况说明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呼图壁县城市管理综合服务中心202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年没有使用国有资本经营预算拨款安排的支出，国有资本经营预算支出情况表为空表。</w:t>
      </w:r>
    </w:p>
    <w:p>
      <w:pPr>
        <w:spacing w:line="600" w:lineRule="exact"/>
        <w:ind w:firstLine="640" w:firstLineChars="200"/>
        <w:rPr>
          <w:rFonts w:ascii="楷体_GB2312" w:hAnsi="楷体_GB2312" w:eastAsia="楷体_GB2312" w:cs="楷体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</w:rPr>
        <w:t xml:space="preserve"> 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十、关于呼图壁县城市管理综合服务中心202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年财政拨款“三公”经费预算情况说明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呼图壁县城市管理综合服务中心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年财政拨款“三公”经费数为6.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万元，其中：因公出国（境）费0万元，公务用车购置费0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.00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万元，公务用车运行费6.4万元，公务接待费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万元。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  <w:highlight w:val="none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年财政拨款“三公”经费比上年预算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减少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0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.38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下降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5.60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%，其中：因公出国（境）费增加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0.0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0万元，增长0%，主要原因是：2024年-2025年均未安排此项经费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公务用车购置费增加0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.00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万元，增长0%，主要原因是：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2024年-2025年均未安排此项经费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eastAsia="zh-CN"/>
        </w:rPr>
        <w:t>；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公务用车运行费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比上年预算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增加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万元，增长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0.00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 xml:space="preserve">% 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主要原因是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  <w:lang w:val="en-US" w:eastAsia="zh-CN"/>
        </w:rPr>
        <w:t>2024年、2025年均未安排</w:t>
      </w:r>
      <w:r>
        <w:rPr>
          <w:rFonts w:hint="eastAsia" w:ascii="仿宋_GB2312" w:hAnsi="宋体" w:eastAsia="仿宋_GB2312" w:cs="宋体"/>
          <w:color w:val="auto"/>
          <w:kern w:val="0"/>
          <w:sz w:val="32"/>
          <w:szCs w:val="32"/>
          <w:highlight w:val="none"/>
        </w:rPr>
        <w:t>公务用车费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；公务接待费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比上年预算减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少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0.38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%，主要原因是：202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宋体" w:eastAsia="仿宋_GB2312" w:cs="宋体"/>
          <w:kern w:val="0"/>
          <w:sz w:val="32"/>
          <w:szCs w:val="32"/>
          <w:highlight w:val="none"/>
        </w:rPr>
        <w:t>年未安排公务接待费。</w:t>
      </w:r>
    </w:p>
    <w:p>
      <w:pPr>
        <w:spacing w:line="600" w:lineRule="exact"/>
        <w:ind w:firstLine="643" w:firstLineChars="200"/>
        <w:rPr>
          <w:rFonts w:ascii="仿宋_GB2312" w:hAnsi="仿宋_GB2312" w:eastAsia="仿宋_GB2312" w:cs="仿宋_GB2312"/>
          <w:b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十一、关于呼图壁县城市管理综合服务中心202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</w:rPr>
        <w:t>年上年结转结余预算情况说明</w:t>
      </w:r>
    </w:p>
    <w:p>
      <w:pPr>
        <w:spacing w:line="600" w:lineRule="exact"/>
        <w:ind w:firstLine="643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color w:val="FF0000"/>
          <w:kern w:val="0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呼图壁县城市管理综合服务中心202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年无上年结转结余预算的支出，结转结余预算支出情况表为空表。</w:t>
      </w:r>
    </w:p>
    <w:p>
      <w:pPr>
        <w:spacing w:line="600" w:lineRule="exact"/>
        <w:ind w:firstLine="643" w:firstLineChars="200"/>
        <w:rPr>
          <w:rFonts w:ascii="楷体_GB2312" w:hAnsi="楷体_GB2312" w:eastAsia="楷体_GB2312" w:cs="楷体_GB2312"/>
          <w:b/>
          <w:bCs/>
          <w:kern w:val="0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32"/>
          <w:szCs w:val="32"/>
          <w:highlight w:val="none"/>
        </w:rPr>
        <w:t>十二、其他重要事项的情况说明</w:t>
      </w:r>
    </w:p>
    <w:p>
      <w:pPr>
        <w:spacing w:line="600" w:lineRule="exact"/>
        <w:ind w:firstLine="643" w:firstLineChars="200"/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highlight w:val="none"/>
        </w:rPr>
        <w:t>（一）单位运行经费情况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呼图壁县城市管理综合服务中心202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年的事业单位运行经费财政拨款预算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42.8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万元，比上年预算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减少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.27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万元，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eastAsia="zh-CN"/>
        </w:rPr>
        <w:t>下降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0.63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%。主要原因是：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2024年中进行了经费追加，2025年按照定额进行预算，因此预算数有所减少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。</w:t>
      </w:r>
    </w:p>
    <w:p>
      <w:pPr>
        <w:spacing w:line="600" w:lineRule="exact"/>
        <w:ind w:firstLine="643" w:firstLineChars="200"/>
        <w:rPr>
          <w:rFonts w:ascii="仿宋_GB2312" w:hAnsi="仿宋_GB2312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（二）政府采购情况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 xml:space="preserve">年，呼图壁县城市管理综合服务中心政府采购预算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950.13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万元，其中：政府采购货物预算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93.15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万元，政府采购工程预算0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.00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政府采购服务预算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856.98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年，呼图壁县城市管理综合服务中心</w:t>
      </w:r>
      <w:r>
        <w:rPr>
          <w:rFonts w:hint="eastAsia" w:ascii="仿宋_GB2312" w:hAnsi="仿宋_GB2312" w:eastAsia="仿宋_GB2312" w:cs="仿宋_GB2312"/>
          <w:sz w:val="32"/>
        </w:rPr>
        <w:t>面向中小企业预留政府采购项目预算金额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950.13</w:t>
      </w:r>
      <w:r>
        <w:rPr>
          <w:rFonts w:hint="eastAsia" w:ascii="仿宋_GB2312" w:hAnsi="仿宋_GB2312" w:eastAsia="仿宋_GB2312" w:cs="仿宋_GB2312"/>
          <w:sz w:val="32"/>
        </w:rPr>
        <w:t>万元，小微企业预留政府采购项目预算金额</w:t>
      </w:r>
      <w:r>
        <w:rPr>
          <w:rFonts w:hint="eastAsia" w:ascii="仿宋_GB2312" w:hAnsi="仿宋_GB2312" w:eastAsia="仿宋_GB2312" w:cs="仿宋_GB2312"/>
          <w:sz w:val="32"/>
          <w:lang w:val="en-US" w:eastAsia="zh-CN"/>
        </w:rPr>
        <w:t>950.13</w:t>
      </w:r>
      <w:r>
        <w:rPr>
          <w:rFonts w:hint="eastAsia" w:ascii="仿宋_GB2312" w:hAnsi="仿宋_GB2312" w:eastAsia="仿宋_GB2312" w:cs="仿宋_GB2312"/>
          <w:sz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（三）国有资产占用使用情况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截至202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年底，呼图壁县城市管理综合服务中心占用使用国有资产总体情况为：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1.房屋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2107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7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3.58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平方米，价值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1828.08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2.车辆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61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辆，价值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2743.01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万元；其中：一般公务用车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辆，价值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26.14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万元；执法执勤用车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辆，价值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万元；其他车辆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辆，价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2716.87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3.办公家具价值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12.54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其他资产价值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96.54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价值50万元以上大型设备</w:t>
      </w:r>
      <w:r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台），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价值100万元以上大型设备</w:t>
      </w:r>
      <w:r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  <w:lang w:val="en-US" w:eastAsia="zh-CN"/>
        </w:rPr>
        <w:t>部门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 xml:space="preserve">预算未安排购置车辆经费，安排购置50万元以上大型设备 </w:t>
      </w:r>
      <w:r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 xml:space="preserve"> 台，单位价值100万元以上大型设备 </w:t>
      </w:r>
      <w:r>
        <w:rPr>
          <w:rFonts w:ascii="仿宋_GB2312" w:hAnsi="仿宋_GB2312" w:eastAsia="仿宋_GB2312" w:cs="仿宋_GB2312"/>
          <w:kern w:val="0"/>
          <w:sz w:val="32"/>
          <w:szCs w:val="32"/>
          <w:highlight w:val="none"/>
        </w:rPr>
        <w:t>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highlight w:val="none"/>
        </w:rPr>
        <w:t>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（四）预算绩效情况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FF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年，本部门预算绩效管理整体预算绩效目标1个，涉及金额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4389.98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万元；当年财政拨款项目2个，涉及预算金额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1220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万元；当年非财政拨款项目0个，涉及预算金额0</w:t>
      </w:r>
      <w:r>
        <w:rPr>
          <w:rFonts w:hint="eastAsia" w:ascii="仿宋_GB2312" w:hAnsi="仿宋_GB2312" w:eastAsia="仿宋_GB2312" w:cs="仿宋_GB2312"/>
          <w:color w:val="FF0000"/>
          <w:kern w:val="0"/>
          <w:sz w:val="32"/>
          <w:szCs w:val="32"/>
        </w:rPr>
        <w:t xml:space="preserve"> </w:t>
      </w:r>
    </w:p>
    <w:tbl>
      <w:tblPr>
        <w:tblStyle w:val="11"/>
        <w:tblpPr w:leftFromText="180" w:rightFromText="180" w:vertAnchor="text" w:horzAnchor="page" w:tblpX="1502" w:tblpY="-8803"/>
        <w:tblOverlap w:val="never"/>
        <w:tblW w:w="930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7"/>
        <w:gridCol w:w="1361"/>
        <w:gridCol w:w="1892"/>
        <w:gridCol w:w="1023"/>
        <w:gridCol w:w="2420"/>
        <w:gridCol w:w="148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93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jc w:val="both"/>
              <w:textAlignment w:val="center"/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万元。具体情况见下表</w:t>
            </w:r>
            <w:r>
              <w:rPr>
                <w:rFonts w:hint="eastAsia" w:ascii="仿宋_GB2312" w:hAnsi="仿宋_GB2312" w:eastAsia="仿宋_GB2312" w:cs="仿宋_GB2312"/>
                <w:color w:val="FF0000"/>
                <w:kern w:val="0"/>
                <w:sz w:val="32"/>
                <w:szCs w:val="32"/>
              </w:rPr>
              <w:t xml:space="preserve"> </w:t>
            </w:r>
          </w:p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</w:rPr>
              <w:t>部门整体绩效目标表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93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b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（202</w:t>
            </w:r>
            <w:r>
              <w:rPr>
                <w:rFonts w:hint="eastAsia" w:ascii="宋体" w:hAnsi="宋体" w:cs="宋体"/>
                <w:color w:val="000000"/>
                <w:sz w:val="24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年）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24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部门（单位）名称（盖章）</w:t>
            </w:r>
          </w:p>
        </w:tc>
        <w:tc>
          <w:tcPr>
            <w:tcW w:w="68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呼图壁县城市管理综合服务中心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4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部门（单位）联系人</w:t>
            </w:r>
          </w:p>
        </w:tc>
        <w:tc>
          <w:tcPr>
            <w:tcW w:w="2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韩小刚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联系电话：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18196131798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247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jc w:val="center"/>
              <w:textAlignment w:val="top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年度绩效目标</w:t>
            </w:r>
          </w:p>
        </w:tc>
        <w:tc>
          <w:tcPr>
            <w:tcW w:w="6822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0"/>
              <w:ind w:left="0" w:leftChars="0" w:firstLine="0" w:firstLineChars="0"/>
            </w:pPr>
            <w:r>
              <w:rPr>
                <w:rFonts w:hint="eastAsia"/>
              </w:rPr>
              <w:t>目标1：在编4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人、退休人员</w:t>
            </w:r>
            <w:r>
              <w:rPr>
                <w:rFonts w:hint="eastAsia"/>
                <w:lang w:val="en-US" w:eastAsia="zh-CN"/>
              </w:rPr>
              <w:t>41</w:t>
            </w:r>
            <w:r>
              <w:rPr>
                <w:rFonts w:hint="eastAsia"/>
              </w:rPr>
              <w:t>人、同工同酬5人，临聘环卫工人及保绿保洁</w:t>
            </w:r>
            <w:r>
              <w:rPr>
                <w:rFonts w:hint="eastAsia"/>
                <w:lang w:val="en-US" w:eastAsia="zh-CN"/>
              </w:rPr>
              <w:t>262</w:t>
            </w:r>
            <w:r>
              <w:rPr>
                <w:rFonts w:hint="eastAsia"/>
              </w:rPr>
              <w:t>人，全年工资福利和日常运行支出。</w:t>
            </w:r>
          </w:p>
          <w:p>
            <w:pPr>
              <w:pStyle w:val="10"/>
              <w:ind w:left="0" w:leftChars="0" w:firstLine="0" w:firstLineChars="0"/>
            </w:pPr>
            <w:r>
              <w:rPr>
                <w:rFonts w:hint="eastAsia"/>
              </w:rPr>
              <w:t>目标2：贯彻落实城区市政公共设施维护维修、城区环境卫生清扫保洁，游园、道路树木、花卉日常养护的实施与监督管理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2478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年度预算（万元）</w:t>
            </w:r>
          </w:p>
        </w:tc>
        <w:tc>
          <w:tcPr>
            <w:tcW w:w="29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资金来源</w:t>
            </w:r>
          </w:p>
        </w:tc>
        <w:tc>
          <w:tcPr>
            <w:tcW w:w="39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资金总额（万元）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atLeast"/>
        </w:trPr>
        <w:tc>
          <w:tcPr>
            <w:tcW w:w="247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财政资金（万元）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上级安排</w:t>
            </w:r>
          </w:p>
        </w:tc>
        <w:tc>
          <w:tcPr>
            <w:tcW w:w="39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247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本级安排</w:t>
            </w:r>
          </w:p>
        </w:tc>
        <w:tc>
          <w:tcPr>
            <w:tcW w:w="39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  <w:lang w:val="en-US" w:eastAsia="zh-CN"/>
              </w:rPr>
              <w:t>4389.98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3" w:hRule="atLeast"/>
        </w:trPr>
        <w:tc>
          <w:tcPr>
            <w:tcW w:w="2478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其他资金（万元）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其他</w:t>
            </w:r>
          </w:p>
        </w:tc>
        <w:tc>
          <w:tcPr>
            <w:tcW w:w="39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1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指标值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指标设定依据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分值权重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1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履职效能</w:t>
            </w: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病虫害防治面积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&gt;=393万㎡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 xml:space="preserve"> 整体绩效目标工作计划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街头游园花卉更新次数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&gt;=2次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 xml:space="preserve"> 整体绩效目标工作计划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日常养护管理公园数量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&gt;=4个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 xml:space="preserve"> 整体绩效目标工作计划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1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</w:pPr>
          </w:p>
          <w:p>
            <w:pPr>
              <w:jc w:val="center"/>
            </w:pPr>
            <w:r>
              <w:rPr>
                <w:rFonts w:hint="eastAsia"/>
              </w:rPr>
              <w:t>质量指标</w:t>
            </w: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机械清扫覆盖率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&gt;=81.5%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 xml:space="preserve"> 整体绩效目标工作计划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1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3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城市生活垃圾无害化处理率</w:t>
            </w:r>
          </w:p>
        </w:tc>
        <w:tc>
          <w:tcPr>
            <w:tcW w:w="10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>&gt;=98.56%</w:t>
            </w:r>
          </w:p>
        </w:tc>
        <w:tc>
          <w:tcPr>
            <w:tcW w:w="24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sz w:val="20"/>
                <w:szCs w:val="20"/>
              </w:rPr>
              <w:t xml:space="preserve"> 整体绩效目标工作计划</w:t>
            </w:r>
          </w:p>
        </w:tc>
        <w:tc>
          <w:tcPr>
            <w:tcW w:w="14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15</w:t>
            </w:r>
          </w:p>
        </w:tc>
      </w:tr>
    </w:tbl>
    <w:p>
      <w:pPr>
        <w:spacing w:line="600" w:lineRule="exact"/>
        <w:rPr>
          <w:rFonts w:ascii="仿宋_GB2312" w:hAnsi="仿宋_GB2312" w:eastAsia="仿宋_GB2312" w:cs="仿宋_GB2312"/>
          <w:b/>
          <w:kern w:val="0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b/>
          <w:kern w:val="0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b/>
          <w:kern w:val="0"/>
          <w:sz w:val="32"/>
          <w:szCs w:val="32"/>
        </w:rPr>
      </w:pPr>
    </w:p>
    <w:tbl>
      <w:tblPr>
        <w:tblStyle w:val="11"/>
        <w:tblpPr w:leftFromText="180" w:rightFromText="180" w:vertAnchor="text" w:horzAnchor="page" w:tblpX="1112" w:tblpY="200"/>
        <w:tblOverlap w:val="never"/>
        <w:tblW w:w="926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1"/>
        <w:gridCol w:w="1200"/>
        <w:gridCol w:w="1219"/>
        <w:gridCol w:w="1119"/>
        <w:gridCol w:w="1285"/>
        <w:gridCol w:w="828"/>
        <w:gridCol w:w="908"/>
        <w:gridCol w:w="1057"/>
        <w:gridCol w:w="83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</w:rPr>
              <w:t>项目支出绩效目标表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（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202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年）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预算单位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呼图壁县城市管理综合服务中心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362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特种车、绿化用车、垃圾场运行维护费（非定额）</w:t>
            </w:r>
          </w:p>
        </w:tc>
        <w:tc>
          <w:tcPr>
            <w:tcW w:w="173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韩小刚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年度预算总额：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500</w:t>
            </w:r>
          </w:p>
        </w:tc>
        <w:tc>
          <w:tcPr>
            <w:tcW w:w="128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500</w:t>
            </w: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其他资金：</w:t>
            </w:r>
          </w:p>
        </w:tc>
        <w:tc>
          <w:tcPr>
            <w:tcW w:w="189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</w:trPr>
        <w:tc>
          <w:tcPr>
            <w:tcW w:w="201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项目总体目标</w:t>
            </w:r>
          </w:p>
        </w:tc>
        <w:tc>
          <w:tcPr>
            <w:tcW w:w="7249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确保县城环境卫生干净整洁，做到日产日清，集中收集处理率保持在100%，保障生活垃圾填埋场的环境监测、生活垃圾填埋碾压平整等工作正常开展。保证扫路车，清雪车、垃圾车等特种车辆油料、维修等日常业务正常开展，使环卫作业更加规范，县城内街道干净、整洁，环境更舒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指标值设置依据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上年完成值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指标分值权重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指标赋分规则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佐证资料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2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清扫车数量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=20辆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洒水及浇灌车数量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&gt;=10辆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洒水及浇灌车数量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&gt;=31辆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城区环境卫生机械化清扫率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&gt;=90%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项目完成及时率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&gt;=100%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专用燃料费支出成本控制率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&lt;=100%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改善居民宜居环境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有效改善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2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居民满意度</w:t>
            </w:r>
          </w:p>
        </w:tc>
        <w:tc>
          <w:tcPr>
            <w:tcW w:w="11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&gt;=95%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</w:tbl>
    <w:p>
      <w:pPr>
        <w:spacing w:line="600" w:lineRule="exact"/>
        <w:rPr>
          <w:rFonts w:ascii="楷体_GB2312" w:hAnsi="宋体" w:eastAsia="楷体_GB2312" w:cs="宋体"/>
          <w:b/>
          <w:kern w:val="0"/>
          <w:sz w:val="32"/>
          <w:szCs w:val="32"/>
        </w:rPr>
      </w:pPr>
    </w:p>
    <w:p>
      <w:pPr>
        <w:spacing w:line="600" w:lineRule="exact"/>
        <w:rPr>
          <w:rFonts w:ascii="楷体_GB2312" w:hAnsi="宋体" w:eastAsia="楷体_GB2312" w:cs="宋体"/>
          <w:b/>
          <w:kern w:val="0"/>
          <w:sz w:val="32"/>
          <w:szCs w:val="32"/>
        </w:rPr>
      </w:pPr>
    </w:p>
    <w:p>
      <w:pPr>
        <w:spacing w:line="600" w:lineRule="exact"/>
        <w:rPr>
          <w:rFonts w:ascii="楷体_GB2312" w:hAnsi="宋体" w:eastAsia="楷体_GB2312" w:cs="宋体"/>
          <w:b/>
          <w:kern w:val="0"/>
          <w:sz w:val="32"/>
          <w:szCs w:val="32"/>
        </w:rPr>
      </w:pPr>
    </w:p>
    <w:p>
      <w:pPr>
        <w:spacing w:line="600" w:lineRule="exact"/>
        <w:rPr>
          <w:rFonts w:ascii="楷体_GB2312" w:hAnsi="宋体" w:eastAsia="楷体_GB2312" w:cs="宋体"/>
          <w:b/>
          <w:kern w:val="0"/>
          <w:sz w:val="32"/>
          <w:szCs w:val="32"/>
        </w:rPr>
      </w:pPr>
    </w:p>
    <w:p>
      <w:pPr>
        <w:spacing w:line="600" w:lineRule="exact"/>
        <w:rPr>
          <w:rFonts w:ascii="楷体_GB2312" w:hAnsi="宋体" w:eastAsia="楷体_GB2312" w:cs="宋体"/>
          <w:b/>
          <w:kern w:val="0"/>
          <w:sz w:val="32"/>
          <w:szCs w:val="32"/>
        </w:rPr>
      </w:pPr>
    </w:p>
    <w:tbl>
      <w:tblPr>
        <w:tblStyle w:val="11"/>
        <w:tblpPr w:leftFromText="180" w:rightFromText="180" w:vertAnchor="text" w:horzAnchor="page" w:tblpX="1112" w:tblpY="200"/>
        <w:tblOverlap w:val="never"/>
        <w:tblW w:w="926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0"/>
        <w:gridCol w:w="1050"/>
        <w:gridCol w:w="1540"/>
        <w:gridCol w:w="1016"/>
        <w:gridCol w:w="1269"/>
        <w:gridCol w:w="821"/>
        <w:gridCol w:w="901"/>
        <w:gridCol w:w="1041"/>
        <w:gridCol w:w="8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kern w:val="0"/>
                <w:sz w:val="32"/>
                <w:szCs w:val="32"/>
              </w:rPr>
              <w:t>项目支出绩效目标表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926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（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202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年）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预算单位</w:t>
            </w:r>
          </w:p>
        </w:tc>
        <w:tc>
          <w:tcPr>
            <w:tcW w:w="741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呼图壁县城市管理综合服务中心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382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城区绿化养护费项目（非定额）</w:t>
            </w:r>
          </w:p>
        </w:tc>
        <w:tc>
          <w:tcPr>
            <w:tcW w:w="172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1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韩小刚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年度预算总额：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720</w:t>
            </w:r>
          </w:p>
        </w:tc>
        <w:tc>
          <w:tcPr>
            <w:tcW w:w="12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其中：财政拨款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Cs w:val="21"/>
                <w:lang w:val="en-US" w:eastAsia="zh-CN"/>
              </w:rPr>
              <w:t>720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其他资金：</w:t>
            </w:r>
          </w:p>
        </w:tc>
        <w:tc>
          <w:tcPr>
            <w:tcW w:w="18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2" w:hRule="atLeast"/>
        </w:trPr>
        <w:tc>
          <w:tcPr>
            <w:tcW w:w="1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项目总体目标</w:t>
            </w:r>
          </w:p>
        </w:tc>
        <w:tc>
          <w:tcPr>
            <w:tcW w:w="7410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</w:tcPr>
          <w:p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（1） 通过日常养护对树木修剪、定置，使树木达到健康、优美的造型；对草坪定期每月修剪、浇灌；春秋两季花卉补种植 。 （2）通过春秋两季对城区、居民小区、各行政事业单位树木、花卉病虫害防治、防治 ，有效提高绿植的健康生长。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2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指标值设置依据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上年完成值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指标分值权重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指标赋分规则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佐证资料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bookmarkStart w:id="0" w:name="_GoBack" w:colFirst="4" w:colLast="7"/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绿化养护、维护维修面积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&gt;=2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val="en-US" w:eastAsia="zh-CN"/>
              </w:rPr>
              <w:t>86.26</w:t>
            </w: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万㎡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00" w:type="dxa"/>
            <w:vMerge w:val="continue"/>
            <w:tcBorders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乔灌木修剪次数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&gt;=6次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绿化养护合格率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&gt;=95%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 xml:space="preserve"> 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预算资金执行及时率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=100%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城区绿化养护完成及时性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&gt;=98%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经济成本指标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 xml:space="preserve"> 绿化养护经费支出成本控制率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&lt;=100%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改善居民宜居生活环境，提高居民幸福感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15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居民满意度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&gt;=95%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计划标准</w:t>
            </w:r>
          </w:p>
        </w:tc>
        <w:tc>
          <w:tcPr>
            <w:tcW w:w="8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9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0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按照完成比例赋分</w:t>
            </w:r>
          </w:p>
        </w:tc>
        <w:tc>
          <w:tcPr>
            <w:tcW w:w="8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</w:rPr>
              <w:t>工作资料</w:t>
            </w:r>
          </w:p>
        </w:tc>
      </w:tr>
      <w:bookmarkEnd w:id="0"/>
    </w:tbl>
    <w:p>
      <w:pPr>
        <w:pStyle w:val="10"/>
        <w:ind w:left="0" w:leftChars="0" w:firstLine="0" w:firstLineChars="0"/>
        <w:rPr>
          <w:rFonts w:ascii="楷体_GB2312" w:hAnsi="宋体" w:eastAsia="楷体_GB2312" w:cs="宋体"/>
          <w:b/>
          <w:kern w:val="0"/>
          <w:sz w:val="32"/>
          <w:szCs w:val="32"/>
        </w:rPr>
      </w:pPr>
    </w:p>
    <w:p>
      <w:pPr>
        <w:numPr>
          <w:ilvl w:val="0"/>
          <w:numId w:val="2"/>
        </w:numPr>
        <w:spacing w:line="600" w:lineRule="exact"/>
        <w:rPr>
          <w:rFonts w:ascii="楷体_GB2312" w:hAnsi="宋体" w:eastAsia="楷体_GB2312" w:cs="宋体"/>
          <w:b/>
          <w:kern w:val="0"/>
          <w:sz w:val="32"/>
          <w:szCs w:val="32"/>
        </w:rPr>
      </w:pPr>
      <w:r>
        <w:rPr>
          <w:rFonts w:hint="eastAsia" w:ascii="楷体_GB2312" w:hAnsi="宋体" w:eastAsia="楷体_GB2312" w:cs="宋体"/>
          <w:b/>
          <w:kern w:val="0"/>
          <w:sz w:val="32"/>
          <w:szCs w:val="32"/>
        </w:rPr>
        <w:t>其他需说明的事项</w:t>
      </w:r>
    </w:p>
    <w:p>
      <w:pPr>
        <w:spacing w:line="600" w:lineRule="exact"/>
        <w:ind w:firstLine="640" w:firstLineChars="200"/>
        <w:jc w:val="both"/>
        <w:rPr>
          <w:rFonts w:hint="eastAsia" w:ascii="仿宋" w:hAnsi="仿宋" w:eastAsia="仿宋" w:cs="仿宋"/>
          <w:b w:val="0"/>
          <w:bCs/>
          <w:kern w:val="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 w:val="0"/>
          <w:bCs/>
          <w:kern w:val="0"/>
          <w:sz w:val="32"/>
          <w:szCs w:val="32"/>
          <w:highlight w:val="none"/>
        </w:rPr>
        <w:t>本单位无其他需说明事项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jc w:val="center"/>
        <w:textAlignment w:val="auto"/>
        <w:outlineLvl w:val="9"/>
        <w:rPr>
          <w:rFonts w:hint="eastAsia" w:ascii="黑体" w:hAnsi="黑体" w:eastAsia="黑体"/>
          <w:kern w:val="0"/>
          <w:sz w:val="32"/>
          <w:szCs w:val="32"/>
          <w:highlight w:val="none"/>
        </w:rPr>
      </w:pPr>
      <w:r>
        <w:rPr>
          <w:rFonts w:hint="eastAsia" w:ascii="黑体" w:hAnsi="黑体" w:eastAsia="黑体"/>
          <w:kern w:val="0"/>
          <w:sz w:val="32"/>
          <w:szCs w:val="32"/>
          <w:highlight w:val="none"/>
        </w:rPr>
        <w:t>第四部分  名词解释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0" w:firstLineChars="200"/>
        <w:jc w:val="both"/>
        <w:textAlignment w:val="auto"/>
        <w:outlineLvl w:val="9"/>
        <w:rPr>
          <w:rFonts w:hint="eastAsia" w:ascii="黑体" w:hAnsi="黑体" w:eastAsia="黑体"/>
          <w:sz w:val="32"/>
          <w:szCs w:val="32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highlight w:val="none"/>
        </w:rPr>
        <w:t>一、财政拨款：</w:t>
      </w:r>
      <w:r>
        <w:rPr>
          <w:rFonts w:hint="eastAsia" w:ascii="仿宋_GB2312" w:eastAsia="仿宋_GB2312"/>
          <w:sz w:val="32"/>
          <w:szCs w:val="32"/>
          <w:highlight w:val="none"/>
        </w:rPr>
        <w:t>指由一般公共预算、政府性基金预算、国有资本经营预算安排的财政拨款数。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二、一般公共预算：</w:t>
      </w:r>
      <w:r>
        <w:rPr>
          <w:rFonts w:hint="eastAsia" w:ascii="仿宋_GB2312" w:eastAsia="仿宋_GB2312"/>
          <w:color w:val="auto"/>
          <w:spacing w:val="-6"/>
          <w:sz w:val="32"/>
          <w:szCs w:val="32"/>
          <w:highlight w:val="none"/>
        </w:rPr>
        <w:t>包括公共财政拨款（补助）资金、专项收入。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三、财政专户管理资金：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包括专户管理行政事业性收费（主要是教育收费）、其他非税收入。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pacing w:val="-17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四、其他资金：</w:t>
      </w:r>
      <w:r>
        <w:rPr>
          <w:rFonts w:hint="eastAsia" w:ascii="仿宋_GB2312" w:eastAsia="仿宋_GB2312"/>
          <w:color w:val="auto"/>
          <w:spacing w:val="-17"/>
          <w:sz w:val="32"/>
          <w:szCs w:val="32"/>
          <w:highlight w:val="none"/>
        </w:rPr>
        <w:t>包括事业收入、事业经营收入、其他收入等。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五、基本支出：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包括人员经费、公用经费（定额）。其中，人员经费包括工资福利支出、对个人和家庭的补助。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六、项目支出：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（单位）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支出预算的组成部分，是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Hans"/>
        </w:rPr>
        <w:t>各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eastAsia="zh-CN"/>
        </w:rPr>
        <w:t>部门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为完成其特定的行政任务或事业发展目标，在基本支出预算之外编制的年度项目支出计划。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eastAsia" w:ascii="仿宋_GB2312" w:eastAsia="仿宋_GB2312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七、“三公”经费：</w:t>
      </w:r>
      <w:r>
        <w:rPr>
          <w:rFonts w:hint="eastAsia" w:ascii="仿宋_GB2312" w:eastAsia="仿宋_GB2312"/>
          <w:sz w:val="32"/>
          <w:szCs w:val="32"/>
          <w:highlight w:val="none"/>
        </w:rPr>
        <w:t>指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部门（单位）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因公出国（境）费、公务用车购置及运行维护费和公务接待费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highlight w:val="none"/>
        </w:rPr>
        <w:t>其中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</w:rPr>
        <w:t>因公出国（境）费反映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机关和参公事业单位公务出国（境）的国际旅费、国外城市间交通费、住宿费、伙食费、培训费、公杂费等支出</w:t>
      </w:r>
      <w:r>
        <w:rPr>
          <w:rFonts w:hint="eastAsia" w:ascii="仿宋_GB2312" w:eastAsia="仿宋_GB2312"/>
          <w:sz w:val="32"/>
          <w:szCs w:val="32"/>
          <w:highlight w:val="none"/>
        </w:rPr>
        <w:t>；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公务用车购置反映机关和参公事业单位公务用车购置支出（含车辆购置税、牌照费）；</w:t>
      </w:r>
      <w:r>
        <w:rPr>
          <w:rFonts w:hint="eastAsia" w:ascii="仿宋_GB2312" w:eastAsia="仿宋_GB2312"/>
          <w:sz w:val="32"/>
          <w:szCs w:val="32"/>
          <w:highlight w:val="none"/>
        </w:rPr>
        <w:t>公务用车运行维护费反映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机关和参公事业单位按规定保留的公务用车燃料费、新能源汽车充电费、维修费、过桥过路费、保险费、安全奖励费用等支出</w:t>
      </w:r>
      <w:r>
        <w:rPr>
          <w:rFonts w:hint="eastAsia" w:ascii="仿宋_GB2312" w:eastAsia="仿宋_GB2312"/>
          <w:sz w:val="32"/>
          <w:szCs w:val="32"/>
          <w:highlight w:val="none"/>
        </w:rPr>
        <w:t>；公务接待费反映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机关和参公事业单位</w:t>
      </w:r>
      <w:r>
        <w:rPr>
          <w:rFonts w:hint="eastAsia" w:ascii="仿宋_GB2312" w:eastAsia="仿宋_GB2312"/>
          <w:sz w:val="32"/>
          <w:szCs w:val="32"/>
          <w:highlight w:val="none"/>
        </w:rPr>
        <w:t>按规定开支的各类公务接待（含外宾接待）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费用</w:t>
      </w:r>
      <w:r>
        <w:rPr>
          <w:rFonts w:hint="eastAsia" w:ascii="仿宋_GB2312" w:eastAsia="仿宋_GB2312"/>
          <w:sz w:val="32"/>
          <w:szCs w:val="32"/>
          <w:highlight w:val="none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line="600" w:lineRule="exact"/>
        <w:ind w:firstLine="643" w:firstLineChars="200"/>
        <w:jc w:val="both"/>
        <w:textAlignment w:val="auto"/>
        <w:outlineLvl w:val="9"/>
        <w:rPr>
          <w:rFonts w:hint="default" w:ascii="仿宋_GB2312" w:hAnsi="Times New Roman" w:eastAsia="仿宋_GB2312" w:cs="Times New Roman"/>
          <w:color w:val="auto"/>
          <w:spacing w:val="-11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highlight w:val="none"/>
        </w:rPr>
        <w:t>八、机关运行经费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：指行政单位（含参照公务员法管理事业单位）的公用经费，包括办公及印刷费、邮电费、差旅费、会议费、福利费、日常维修费、专用材料及一般设备购置费、办公用房水电费、办公用房</w:t>
      </w:r>
      <w:r>
        <w:rPr>
          <w:rFonts w:hint="eastAsia" w:ascii="仿宋_GB2312" w:hAnsi="Times New Roman" w:eastAsia="仿宋_GB2312" w:cs="Times New Roman"/>
          <w:color w:val="auto"/>
          <w:spacing w:val="-11"/>
          <w:sz w:val="32"/>
          <w:szCs w:val="32"/>
          <w:highlight w:val="none"/>
        </w:rPr>
        <w:t>取暖费、办公用房物业管理费、公务用车运行维护费及其他费用。</w:t>
      </w: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rPr>
          <w:rFonts w:ascii="仿宋_GB2312" w:hAnsi="宋体" w:eastAsia="仿宋_GB2312" w:cs="宋体"/>
          <w:kern w:val="0"/>
          <w:sz w:val="32"/>
          <w:szCs w:val="32"/>
        </w:rPr>
      </w:pPr>
    </w:p>
    <w:p>
      <w:pPr>
        <w:spacing w:line="600" w:lineRule="exact"/>
        <w:ind w:firstLine="640" w:firstLineChars="200"/>
        <w:jc w:val="right"/>
        <w:rPr>
          <w:rFonts w:ascii="仿宋_GB2312" w:hAnsi="宋体" w:eastAsia="仿宋_GB2312" w:cs="宋体"/>
          <w:kern w:val="0"/>
          <w:sz w:val="32"/>
          <w:szCs w:val="32"/>
        </w:rPr>
      </w:pP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/>
        </w:rPr>
        <w:t xml:space="preserve">   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呼图壁县城市管理综合服务中心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                        </w:t>
      </w:r>
      <w:r>
        <w:rPr>
          <w:rFonts w:hint="default" w:ascii="仿宋_GB2312" w:hAnsi="宋体" w:eastAsia="仿宋_GB2312" w:cs="宋体"/>
          <w:kern w:val="0"/>
          <w:sz w:val="32"/>
          <w:szCs w:val="32"/>
          <w:lang w:val="en-US"/>
        </w:rPr>
        <w:t xml:space="preserve">          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5</w:t>
      </w:r>
      <w:r>
        <w:rPr>
          <w:rFonts w:ascii="仿宋_GB2312" w:hAnsi="宋体" w:eastAsia="仿宋_GB2312" w:cs="宋体"/>
          <w:kern w:val="0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2</w:t>
      </w:r>
      <w:r>
        <w:rPr>
          <w:rFonts w:ascii="仿宋_GB2312" w:hAnsi="宋体" w:eastAsia="仿宋_GB2312" w:cs="宋体"/>
          <w:kern w:val="0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宋体"/>
          <w:kern w:val="0"/>
          <w:sz w:val="32"/>
          <w:szCs w:val="32"/>
        </w:rPr>
        <w:t xml:space="preserve"> </w:t>
      </w:r>
      <w:r>
        <w:rPr>
          <w:rFonts w:ascii="仿宋_GB2312" w:hAnsi="宋体" w:eastAsia="仿宋_GB2312" w:cs="宋体"/>
          <w:kern w:val="0"/>
          <w:sz w:val="32"/>
          <w:szCs w:val="32"/>
        </w:rPr>
        <w:t>日</w:t>
      </w: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ArialUnicodeMS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- 4 -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- 4 -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宋体" w:hAnsi="宋体" w:eastAsia="宋体"/>
        <w:sz w:val="28"/>
        <w:szCs w:val="28"/>
      </w:rPr>
    </w:pPr>
  </w:p>
  <w:p>
    <w:pPr>
      <w:pStyle w:val="6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8/A0c4AgAAb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g7W1fuq&#10;e4AptCxs9NbymCZK5e3yECBtUjwK1KmCTsUD5jD17LIzcdD/PKeop/+JxS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/z8DR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14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355901F"/>
    <w:multiLevelType w:val="singleLevel"/>
    <w:tmpl w:val="4355901F"/>
    <w:lvl w:ilvl="0" w:tentative="0">
      <w:start w:val="7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A3AC420"/>
    <w:multiLevelType w:val="singleLevel"/>
    <w:tmpl w:val="5A3AC420"/>
    <w:lvl w:ilvl="0" w:tentative="0">
      <w:start w:val="5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mZDEwYzQ1M2U1ZDYxOTExOWYzMzI2ZTFjZDU3Y2MifQ=="/>
  </w:docVars>
  <w:rsids>
    <w:rsidRoot w:val="10587512"/>
    <w:rsid w:val="000734FA"/>
    <w:rsid w:val="00455824"/>
    <w:rsid w:val="00464235"/>
    <w:rsid w:val="00823E64"/>
    <w:rsid w:val="00E20549"/>
    <w:rsid w:val="00EE2224"/>
    <w:rsid w:val="00F250B9"/>
    <w:rsid w:val="01082BAD"/>
    <w:rsid w:val="01CA3F1A"/>
    <w:rsid w:val="01CC0BD0"/>
    <w:rsid w:val="0207265F"/>
    <w:rsid w:val="022F73A2"/>
    <w:rsid w:val="025F2CDA"/>
    <w:rsid w:val="02A66784"/>
    <w:rsid w:val="02E03E26"/>
    <w:rsid w:val="03227C2F"/>
    <w:rsid w:val="03BA3E91"/>
    <w:rsid w:val="04267B2D"/>
    <w:rsid w:val="043341F2"/>
    <w:rsid w:val="04680F20"/>
    <w:rsid w:val="047A2DC6"/>
    <w:rsid w:val="04F937F9"/>
    <w:rsid w:val="05397FD9"/>
    <w:rsid w:val="070E6657"/>
    <w:rsid w:val="07364D2B"/>
    <w:rsid w:val="076E6040"/>
    <w:rsid w:val="07B23D73"/>
    <w:rsid w:val="07F5110F"/>
    <w:rsid w:val="08111F76"/>
    <w:rsid w:val="083B1F11"/>
    <w:rsid w:val="08450B28"/>
    <w:rsid w:val="08CC3222"/>
    <w:rsid w:val="091E5FAA"/>
    <w:rsid w:val="093A7BD7"/>
    <w:rsid w:val="0A952FEA"/>
    <w:rsid w:val="0B247F12"/>
    <w:rsid w:val="0B7E67EB"/>
    <w:rsid w:val="0BD7768F"/>
    <w:rsid w:val="0C9E145B"/>
    <w:rsid w:val="0D4B5533"/>
    <w:rsid w:val="0D6E5FD0"/>
    <w:rsid w:val="0DC71BA8"/>
    <w:rsid w:val="0DD237BC"/>
    <w:rsid w:val="0E9208E7"/>
    <w:rsid w:val="0F737665"/>
    <w:rsid w:val="0F9109AD"/>
    <w:rsid w:val="0F914696"/>
    <w:rsid w:val="0FA6121B"/>
    <w:rsid w:val="0FCB3577"/>
    <w:rsid w:val="102862A2"/>
    <w:rsid w:val="10587512"/>
    <w:rsid w:val="107A5C99"/>
    <w:rsid w:val="10916BDA"/>
    <w:rsid w:val="118E44DC"/>
    <w:rsid w:val="11F11BB1"/>
    <w:rsid w:val="14026CDC"/>
    <w:rsid w:val="15C64B46"/>
    <w:rsid w:val="15E8637F"/>
    <w:rsid w:val="16086F8A"/>
    <w:rsid w:val="1697741D"/>
    <w:rsid w:val="16E65B2E"/>
    <w:rsid w:val="1732414C"/>
    <w:rsid w:val="175355D1"/>
    <w:rsid w:val="17A95A53"/>
    <w:rsid w:val="180C08E2"/>
    <w:rsid w:val="181B0DB4"/>
    <w:rsid w:val="18AD238B"/>
    <w:rsid w:val="18E65038"/>
    <w:rsid w:val="19B06735"/>
    <w:rsid w:val="19E36B84"/>
    <w:rsid w:val="1ACB2E00"/>
    <w:rsid w:val="1B5D166C"/>
    <w:rsid w:val="1BEB54C3"/>
    <w:rsid w:val="1C3C6084"/>
    <w:rsid w:val="1CC87866"/>
    <w:rsid w:val="1CEB6DC6"/>
    <w:rsid w:val="1CF3558E"/>
    <w:rsid w:val="1D3E1AFE"/>
    <w:rsid w:val="1D8160F6"/>
    <w:rsid w:val="1DA4246A"/>
    <w:rsid w:val="1DEF672A"/>
    <w:rsid w:val="1E2F4795"/>
    <w:rsid w:val="1EB20B9E"/>
    <w:rsid w:val="1EB61656"/>
    <w:rsid w:val="1EC75D4B"/>
    <w:rsid w:val="20336F55"/>
    <w:rsid w:val="206D1FC1"/>
    <w:rsid w:val="20750F48"/>
    <w:rsid w:val="20DD55C0"/>
    <w:rsid w:val="21390C82"/>
    <w:rsid w:val="21C0382A"/>
    <w:rsid w:val="21F75FC6"/>
    <w:rsid w:val="2240793E"/>
    <w:rsid w:val="22DB78DD"/>
    <w:rsid w:val="23824017"/>
    <w:rsid w:val="2435722E"/>
    <w:rsid w:val="244D65B8"/>
    <w:rsid w:val="2492221D"/>
    <w:rsid w:val="24A5262B"/>
    <w:rsid w:val="24C279DD"/>
    <w:rsid w:val="253761E5"/>
    <w:rsid w:val="25726270"/>
    <w:rsid w:val="26B4291F"/>
    <w:rsid w:val="26E769FA"/>
    <w:rsid w:val="27362CE4"/>
    <w:rsid w:val="28462BC3"/>
    <w:rsid w:val="289B5F18"/>
    <w:rsid w:val="28AA0E14"/>
    <w:rsid w:val="293B2E83"/>
    <w:rsid w:val="2A012DF7"/>
    <w:rsid w:val="2A3341A3"/>
    <w:rsid w:val="2ACB1CFB"/>
    <w:rsid w:val="2AD01925"/>
    <w:rsid w:val="2AFC4894"/>
    <w:rsid w:val="2C3242F3"/>
    <w:rsid w:val="2C397D09"/>
    <w:rsid w:val="2C792587"/>
    <w:rsid w:val="2C823C36"/>
    <w:rsid w:val="2C88415C"/>
    <w:rsid w:val="2D480265"/>
    <w:rsid w:val="2D977453"/>
    <w:rsid w:val="2E016B8B"/>
    <w:rsid w:val="2E215DBB"/>
    <w:rsid w:val="2EF22236"/>
    <w:rsid w:val="2FC75726"/>
    <w:rsid w:val="30252FD9"/>
    <w:rsid w:val="30671904"/>
    <w:rsid w:val="30F91083"/>
    <w:rsid w:val="3157337F"/>
    <w:rsid w:val="331E076C"/>
    <w:rsid w:val="33571BCB"/>
    <w:rsid w:val="342844A1"/>
    <w:rsid w:val="35A12A09"/>
    <w:rsid w:val="363F312F"/>
    <w:rsid w:val="3687165B"/>
    <w:rsid w:val="37B92F56"/>
    <w:rsid w:val="3A1C60E6"/>
    <w:rsid w:val="3ADB6E13"/>
    <w:rsid w:val="3B037AC9"/>
    <w:rsid w:val="3DC75867"/>
    <w:rsid w:val="3E4B68EA"/>
    <w:rsid w:val="3F5256BA"/>
    <w:rsid w:val="3F9B6249"/>
    <w:rsid w:val="3FDF4D23"/>
    <w:rsid w:val="40BB17A1"/>
    <w:rsid w:val="41034D34"/>
    <w:rsid w:val="41636052"/>
    <w:rsid w:val="41C018C0"/>
    <w:rsid w:val="42EC13F8"/>
    <w:rsid w:val="432263B4"/>
    <w:rsid w:val="43C26223"/>
    <w:rsid w:val="43D8307E"/>
    <w:rsid w:val="4474326A"/>
    <w:rsid w:val="44934EA0"/>
    <w:rsid w:val="44CE74D0"/>
    <w:rsid w:val="45A73FA0"/>
    <w:rsid w:val="46821F5F"/>
    <w:rsid w:val="46CE3131"/>
    <w:rsid w:val="46DD097A"/>
    <w:rsid w:val="47E06535"/>
    <w:rsid w:val="48C17269"/>
    <w:rsid w:val="48FF4C6C"/>
    <w:rsid w:val="494F7907"/>
    <w:rsid w:val="4A013C4D"/>
    <w:rsid w:val="4A17665A"/>
    <w:rsid w:val="4A5A4E0C"/>
    <w:rsid w:val="4B0A5713"/>
    <w:rsid w:val="4B997C4F"/>
    <w:rsid w:val="4BDB17F8"/>
    <w:rsid w:val="4C0055E5"/>
    <w:rsid w:val="4C2647E0"/>
    <w:rsid w:val="4C3677AE"/>
    <w:rsid w:val="4C706B3A"/>
    <w:rsid w:val="4CD2478B"/>
    <w:rsid w:val="4D7E64DA"/>
    <w:rsid w:val="4DD10CEA"/>
    <w:rsid w:val="4DD3633D"/>
    <w:rsid w:val="4E03108A"/>
    <w:rsid w:val="4E1D5CD9"/>
    <w:rsid w:val="4E6B73F6"/>
    <w:rsid w:val="4E921BF3"/>
    <w:rsid w:val="4EFB4D7D"/>
    <w:rsid w:val="500618D5"/>
    <w:rsid w:val="505446A7"/>
    <w:rsid w:val="50EE5D04"/>
    <w:rsid w:val="51C15CED"/>
    <w:rsid w:val="52285DEB"/>
    <w:rsid w:val="52AD62F0"/>
    <w:rsid w:val="53DF47B9"/>
    <w:rsid w:val="546308FE"/>
    <w:rsid w:val="552F66CE"/>
    <w:rsid w:val="55CA0154"/>
    <w:rsid w:val="55D866B4"/>
    <w:rsid w:val="55E069DD"/>
    <w:rsid w:val="56542A7C"/>
    <w:rsid w:val="56F23931"/>
    <w:rsid w:val="57B21398"/>
    <w:rsid w:val="5B4C73F1"/>
    <w:rsid w:val="5CF0338C"/>
    <w:rsid w:val="5D8076AD"/>
    <w:rsid w:val="5DD617DB"/>
    <w:rsid w:val="5EC8350D"/>
    <w:rsid w:val="5F2346ED"/>
    <w:rsid w:val="5F7A1F9E"/>
    <w:rsid w:val="5FA91901"/>
    <w:rsid w:val="5FCC07CC"/>
    <w:rsid w:val="60141033"/>
    <w:rsid w:val="60401B6B"/>
    <w:rsid w:val="61086613"/>
    <w:rsid w:val="623B63B7"/>
    <w:rsid w:val="62E65151"/>
    <w:rsid w:val="632F4B5C"/>
    <w:rsid w:val="6364786A"/>
    <w:rsid w:val="6408782B"/>
    <w:rsid w:val="64B50C7D"/>
    <w:rsid w:val="64CA1EE8"/>
    <w:rsid w:val="64D53AFD"/>
    <w:rsid w:val="64D77000"/>
    <w:rsid w:val="65322CBF"/>
    <w:rsid w:val="658F1816"/>
    <w:rsid w:val="66C562C1"/>
    <w:rsid w:val="67254BB9"/>
    <w:rsid w:val="67BA1318"/>
    <w:rsid w:val="67ED628D"/>
    <w:rsid w:val="687F462C"/>
    <w:rsid w:val="68BB484D"/>
    <w:rsid w:val="68CC52CB"/>
    <w:rsid w:val="68DE4FFE"/>
    <w:rsid w:val="694B58D7"/>
    <w:rsid w:val="69CE4E15"/>
    <w:rsid w:val="69D36863"/>
    <w:rsid w:val="6A5F2B90"/>
    <w:rsid w:val="6ACA31C3"/>
    <w:rsid w:val="6B466811"/>
    <w:rsid w:val="6B7F3246"/>
    <w:rsid w:val="6B932134"/>
    <w:rsid w:val="6DBC0F97"/>
    <w:rsid w:val="6DC30922"/>
    <w:rsid w:val="6E082238"/>
    <w:rsid w:val="6E6F3324"/>
    <w:rsid w:val="6EE14A0B"/>
    <w:rsid w:val="6EEE17AF"/>
    <w:rsid w:val="6EF07839"/>
    <w:rsid w:val="6F433DFE"/>
    <w:rsid w:val="6F5D5643"/>
    <w:rsid w:val="6F63000B"/>
    <w:rsid w:val="7064578B"/>
    <w:rsid w:val="70EE5D86"/>
    <w:rsid w:val="71593CFA"/>
    <w:rsid w:val="72876F36"/>
    <w:rsid w:val="72B56DCF"/>
    <w:rsid w:val="72CE7E9D"/>
    <w:rsid w:val="735B7DBD"/>
    <w:rsid w:val="74147559"/>
    <w:rsid w:val="75720710"/>
    <w:rsid w:val="75B570E6"/>
    <w:rsid w:val="76B541C4"/>
    <w:rsid w:val="780A1873"/>
    <w:rsid w:val="782567A5"/>
    <w:rsid w:val="787D11B8"/>
    <w:rsid w:val="78C935D5"/>
    <w:rsid w:val="78DA18D4"/>
    <w:rsid w:val="78E26CE0"/>
    <w:rsid w:val="79052133"/>
    <w:rsid w:val="790A4622"/>
    <w:rsid w:val="792C5912"/>
    <w:rsid w:val="79A16008"/>
    <w:rsid w:val="79FD0732"/>
    <w:rsid w:val="7A1A2260"/>
    <w:rsid w:val="7BD52FCE"/>
    <w:rsid w:val="7E8B30DA"/>
    <w:rsid w:val="7F5759FB"/>
    <w:rsid w:val="7F641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hint="default" w:ascii="Times New Roman" w:hAnsi="Times New Roman"/>
      <w:b/>
      <w:kern w:val="44"/>
      <w:sz w:val="44"/>
      <w:szCs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hint="eastAsia" w:ascii="Arial" w:hAnsi="Arial" w:eastAsia="黑体"/>
      <w:b/>
      <w:sz w:val="21"/>
      <w:szCs w:val="24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黑体"/>
      <w:snapToGrid w:val="0"/>
      <w:kern w:val="0"/>
      <w:sz w:val="18"/>
      <w:szCs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10">
    <w:name w:val="Body Text First Indent 2"/>
    <w:basedOn w:val="5"/>
    <w:qFormat/>
    <w:uiPriority w:val="0"/>
    <w:pPr>
      <w:ind w:firstLine="420" w:firstLineChars="200"/>
    </w:pPr>
    <w:rPr>
      <w:rFonts w:ascii="Calibri" w:hAnsi="Calibri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BodyText1I"/>
    <w:basedOn w:val="15"/>
    <w:qFormat/>
    <w:uiPriority w:val="0"/>
    <w:pPr>
      <w:ind w:firstLine="420" w:firstLineChars="100"/>
    </w:pPr>
  </w:style>
  <w:style w:type="paragraph" w:customStyle="1" w:styleId="15">
    <w:name w:val="BodyText"/>
    <w:basedOn w:val="1"/>
    <w:qFormat/>
    <w:uiPriority w:val="0"/>
    <w:pPr>
      <w:spacing w:after="120"/>
      <w:textAlignment w:val="baseline"/>
    </w:pPr>
  </w:style>
  <w:style w:type="character" w:customStyle="1" w:styleId="16">
    <w:name w:val="font11"/>
    <w:basedOn w:val="1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7">
    <w:name w:val="font51"/>
    <w:basedOn w:val="13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1743</Words>
  <Characters>2040</Characters>
  <Lines>114</Lines>
  <Paragraphs>32</Paragraphs>
  <TotalTime>0</TotalTime>
  <ScaleCrop>false</ScaleCrop>
  <LinksUpToDate>false</LinksUpToDate>
  <CharactersWithSpaces>2314</CharactersWithSpaces>
  <Application>WPS Office_12.8.2.15286_F1E327BC-269C-435d-A152-05C5408002CA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2024-01-09T05:20:00Z</dcterms:created>
  <dc:creator>审核人</dc:creator>
  <cp:lastModifiedBy>htbczj</cp:lastModifiedBy>
  <dcterms:modified xsi:type="dcterms:W3CDTF">2025-05-27T11:45:47Z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2052-12.8.2.15286</vt:lpwstr>
  </property>
  <property fmtid="{D5CDD505-2E9C-101B-9397-08002B2CF9AE}" pid="3" name="ICV">
    <vt:lpwstr>B333E5F65C53439DB5F2729AD86B4F67</vt:lpwstr>
  </property>
  <property fmtid="{D5CDD505-2E9C-101B-9397-08002B2CF9AE}" pid="4" name="KSOTemplateDocerSaveRecord">
    <vt:lpwstr>eyJoZGlkIjoiMDljYzUzMWQ4OWI0YzBkYjYzMDRhZTY5ZjZkYmFmYTgiLCJ1c2VySWQiOiI1ODMzMjMyMTIifQ==</vt:lpwstr>
  </property>
</Properties>
</file>