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before="100" w:beforeAutospacing="1" w:after="100" w:afterAutospacing="1"/>
        <w:jc w:val="center"/>
        <w:outlineLvl w:val="1"/>
        <w:rPr>
          <w:rFonts w:hint="default" w:ascii="方正小标宋简体" w:hAnsi="方正小标宋简体" w:eastAsia="方正小标宋简体" w:cs="方正小标宋简体"/>
          <w:b/>
          <w:bCs w:val="0"/>
          <w:color w:val="auto"/>
          <w:kern w:val="0"/>
          <w:sz w:val="44"/>
          <w:szCs w:val="44"/>
          <w:lang w:val="en-US" w:eastAsia="zh-CN"/>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呼图壁县人民政府办公室</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headerReference r:id="rId3" w:type="default"/>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2025年呼图壁县人民政府办公室</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呼图壁县人民政府办公室</w:t>
      </w:r>
      <w:r>
        <w:rPr>
          <w:rFonts w:hint="eastAsia" w:ascii="仿宋_GB2312" w:hAnsi="仿宋_GB2312" w:eastAsia="仿宋_GB2312" w:cs="仿宋_GB2312"/>
          <w:color w:val="auto"/>
          <w:kern w:val="0"/>
          <w:sz w:val="32"/>
          <w:szCs w:val="32"/>
          <w:highlight w:val="none"/>
          <w:lang w:val="en-US" w:eastAsia="zh-CN"/>
        </w:rPr>
        <w:t>2025年上年结转结余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5"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2025年呼图壁县人民政府办公室部门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lang w:val="en-US" w:eastAsia="zh-CN"/>
        </w:rPr>
        <w:t>1</w:t>
      </w:r>
      <w:r>
        <w:rPr>
          <w:rFonts w:hint="eastAsia" w:ascii="仿宋" w:hAnsi="仿宋" w:eastAsia="仿宋"/>
          <w:kern w:val="0"/>
          <w:sz w:val="32"/>
          <w:szCs w:val="32"/>
        </w:rPr>
        <w:t>、</w:t>
      </w:r>
      <w:r>
        <w:rPr>
          <w:rFonts w:hint="eastAsia" w:ascii="仿宋" w:hAnsi="仿宋" w:eastAsia="仿宋"/>
          <w:kern w:val="0"/>
          <w:sz w:val="32"/>
          <w:szCs w:val="32"/>
          <w:lang w:val="en-US" w:eastAsia="zh-CN"/>
        </w:rPr>
        <w:t>围绕县委决策部署和县人民政府中心工作，筹备组织县人民政府各类会议，协助县人民政府领导同志组织实施会议决定事项</w:t>
      </w:r>
      <w:r>
        <w:rPr>
          <w:rFonts w:hint="eastAsia" w:ascii="仿宋" w:hAnsi="仿宋" w:eastAsia="仿宋"/>
          <w:kern w:val="0"/>
          <w:sz w:val="32"/>
          <w:szCs w:val="32"/>
        </w:rPr>
        <w:t>。</w:t>
      </w:r>
    </w:p>
    <w:p>
      <w:pPr>
        <w:widowControl/>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2、</w:t>
      </w:r>
      <w:r>
        <w:rPr>
          <w:rFonts w:hint="eastAsia" w:ascii="仿宋" w:hAnsi="仿宋" w:eastAsia="仿宋"/>
          <w:kern w:val="0"/>
          <w:sz w:val="32"/>
          <w:szCs w:val="32"/>
          <w:lang w:val="en-US" w:eastAsia="zh-CN"/>
        </w:rPr>
        <w:t>协助</w:t>
      </w:r>
      <w:r>
        <w:rPr>
          <w:rFonts w:hint="eastAsia" w:ascii="仿宋" w:hAnsi="仿宋" w:eastAsia="仿宋"/>
          <w:kern w:val="0"/>
          <w:sz w:val="32"/>
          <w:szCs w:val="32"/>
        </w:rPr>
        <w:t>县人民政府领导</w:t>
      </w:r>
      <w:r>
        <w:rPr>
          <w:rFonts w:hint="eastAsia" w:ascii="仿宋" w:hAnsi="仿宋" w:eastAsia="仿宋"/>
          <w:kern w:val="0"/>
          <w:sz w:val="32"/>
          <w:szCs w:val="32"/>
          <w:lang w:val="en-US" w:eastAsia="zh-CN"/>
        </w:rPr>
        <w:t>同志</w:t>
      </w:r>
      <w:r>
        <w:rPr>
          <w:rFonts w:hint="eastAsia" w:ascii="仿宋" w:hAnsi="仿宋" w:eastAsia="仿宋"/>
          <w:kern w:val="0"/>
          <w:sz w:val="32"/>
          <w:szCs w:val="32"/>
        </w:rPr>
        <w:t>，组织起草或审核以县人民政府、县人民政府办公室</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数字化发展局</w:t>
      </w:r>
      <w:r>
        <w:rPr>
          <w:rFonts w:hint="eastAsia" w:ascii="仿宋" w:hAnsi="仿宋" w:eastAsia="仿宋"/>
          <w:kern w:val="0"/>
          <w:sz w:val="32"/>
          <w:szCs w:val="32"/>
          <w:lang w:eastAsia="zh-CN"/>
        </w:rPr>
        <w:t>）</w:t>
      </w:r>
      <w:r>
        <w:rPr>
          <w:rFonts w:hint="eastAsia" w:ascii="仿宋" w:hAnsi="仿宋" w:eastAsia="仿宋"/>
          <w:kern w:val="0"/>
          <w:sz w:val="32"/>
          <w:szCs w:val="32"/>
        </w:rPr>
        <w:t>名义发布的</w:t>
      </w:r>
      <w:r>
        <w:rPr>
          <w:rFonts w:hint="eastAsia" w:ascii="仿宋" w:hAnsi="仿宋" w:eastAsia="仿宋"/>
          <w:kern w:val="0"/>
          <w:sz w:val="32"/>
          <w:szCs w:val="32"/>
          <w:lang w:val="en-US" w:eastAsia="zh-CN"/>
        </w:rPr>
        <w:t>公文</w:t>
      </w:r>
      <w:r>
        <w:rPr>
          <w:rFonts w:hint="eastAsia" w:ascii="仿宋" w:hAnsi="仿宋" w:eastAsia="仿宋"/>
          <w:kern w:val="0"/>
          <w:sz w:val="32"/>
          <w:szCs w:val="32"/>
        </w:rPr>
        <w:t>。</w:t>
      </w:r>
    </w:p>
    <w:p>
      <w:pPr>
        <w:widowControl/>
        <w:spacing w:line="560" w:lineRule="exact"/>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val="en-US" w:eastAsia="zh-CN"/>
        </w:rPr>
        <w:t>3、督促检查党</w:t>
      </w:r>
      <w:r>
        <w:rPr>
          <w:rFonts w:hint="eastAsia" w:ascii="仿宋" w:hAnsi="仿宋" w:eastAsia="仿宋" w:cs="Times New Roman"/>
          <w:kern w:val="0"/>
          <w:sz w:val="32"/>
          <w:szCs w:val="32"/>
        </w:rPr>
        <w:t>中央、国务院和自治区、自治州</w:t>
      </w:r>
      <w:r>
        <w:rPr>
          <w:rFonts w:hint="eastAsia" w:ascii="仿宋" w:hAnsi="仿宋" w:eastAsia="仿宋" w:cs="Times New Roman"/>
          <w:kern w:val="0"/>
          <w:sz w:val="32"/>
          <w:szCs w:val="32"/>
          <w:lang w:val="en-US" w:eastAsia="zh-CN"/>
        </w:rPr>
        <w:t>党委政府及</w:t>
      </w:r>
      <w:r>
        <w:rPr>
          <w:rFonts w:hint="eastAsia" w:ascii="仿宋" w:hAnsi="仿宋" w:eastAsia="仿宋" w:cs="Times New Roman"/>
          <w:kern w:val="0"/>
          <w:sz w:val="32"/>
          <w:szCs w:val="32"/>
          <w:lang w:eastAsia="zh-CN"/>
        </w:rPr>
        <w:t>县委县政府</w:t>
      </w:r>
      <w:r>
        <w:rPr>
          <w:rFonts w:hint="eastAsia" w:ascii="仿宋" w:hAnsi="仿宋" w:eastAsia="仿宋" w:cs="Times New Roman"/>
          <w:kern w:val="0"/>
          <w:sz w:val="32"/>
          <w:szCs w:val="32"/>
        </w:rPr>
        <w:t>重要文件、</w:t>
      </w:r>
      <w:r>
        <w:rPr>
          <w:rFonts w:hint="eastAsia" w:ascii="仿宋" w:hAnsi="仿宋" w:eastAsia="仿宋" w:cs="Times New Roman"/>
          <w:kern w:val="0"/>
          <w:sz w:val="32"/>
          <w:szCs w:val="32"/>
          <w:lang w:val="en-US" w:eastAsia="zh-CN"/>
        </w:rPr>
        <w:t>重要会议和领导同志重要批示、交办事项贯彻落实情况并</w:t>
      </w:r>
      <w:r>
        <w:rPr>
          <w:rFonts w:hint="eastAsia" w:ascii="仿宋" w:hAnsi="仿宋" w:eastAsia="仿宋" w:cs="Times New Roman"/>
          <w:kern w:val="0"/>
          <w:sz w:val="32"/>
          <w:szCs w:val="32"/>
        </w:rPr>
        <w:t>跟踪调研，及时向县人民政府领导同志报告；</w:t>
      </w:r>
      <w:r>
        <w:rPr>
          <w:rFonts w:hint="eastAsia" w:ascii="仿宋" w:hAnsi="仿宋" w:eastAsia="仿宋" w:cs="Times New Roman"/>
          <w:kern w:val="0"/>
          <w:sz w:val="32"/>
          <w:szCs w:val="32"/>
          <w:lang w:val="en-US" w:eastAsia="zh-CN"/>
        </w:rPr>
        <w:t>督促检查</w:t>
      </w:r>
      <w:r>
        <w:rPr>
          <w:rFonts w:hint="eastAsia" w:ascii="仿宋" w:hAnsi="仿宋" w:eastAsia="仿宋" w:cs="Times New Roman"/>
          <w:kern w:val="0"/>
          <w:sz w:val="32"/>
          <w:szCs w:val="32"/>
        </w:rPr>
        <w:t>人大代表议案、建议和政协委员提案的办理工作。</w:t>
      </w:r>
    </w:p>
    <w:p>
      <w:pPr>
        <w:widowControl/>
        <w:spacing w:line="560" w:lineRule="exact"/>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4、研究县人民政府各部门和各乡镇人民政府向县人民政府请示的事项，</w:t>
      </w:r>
      <w:r>
        <w:rPr>
          <w:rFonts w:hint="eastAsia" w:ascii="仿宋" w:hAnsi="仿宋" w:eastAsia="仿宋" w:cs="Times New Roman"/>
          <w:kern w:val="0"/>
          <w:sz w:val="32"/>
          <w:szCs w:val="32"/>
          <w:lang w:val="en-US" w:eastAsia="zh-CN"/>
        </w:rPr>
        <w:t>提出审核意见，</w:t>
      </w:r>
      <w:r>
        <w:rPr>
          <w:rFonts w:hint="eastAsia" w:ascii="仿宋" w:hAnsi="仿宋" w:eastAsia="仿宋" w:cs="Times New Roman"/>
          <w:kern w:val="0"/>
          <w:sz w:val="32"/>
          <w:szCs w:val="32"/>
        </w:rPr>
        <w:t>报县人民政府领导</w:t>
      </w:r>
      <w:r>
        <w:rPr>
          <w:rFonts w:hint="eastAsia" w:ascii="仿宋" w:hAnsi="仿宋" w:eastAsia="仿宋" w:cs="Times New Roman"/>
          <w:kern w:val="0"/>
          <w:sz w:val="32"/>
          <w:szCs w:val="32"/>
          <w:lang w:val="en-US" w:eastAsia="zh-CN"/>
        </w:rPr>
        <w:t>同志审定</w:t>
      </w:r>
      <w:r>
        <w:rPr>
          <w:rFonts w:hint="eastAsia" w:ascii="仿宋" w:hAnsi="仿宋" w:eastAsia="仿宋" w:cs="Times New Roman"/>
          <w:kern w:val="0"/>
          <w:sz w:val="32"/>
          <w:szCs w:val="32"/>
        </w:rPr>
        <w:t>。</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rPr>
        <w:t>5、</w:t>
      </w:r>
      <w:r>
        <w:rPr>
          <w:rFonts w:hint="eastAsia" w:ascii="仿宋" w:hAnsi="仿宋" w:eastAsia="仿宋" w:cs="Times New Roman"/>
          <w:kern w:val="0"/>
          <w:sz w:val="32"/>
          <w:szCs w:val="32"/>
          <w:lang w:val="en-US" w:eastAsia="zh-CN"/>
        </w:rPr>
        <w:t>负责县人民政府政务值班工作，及时向县人民政府领导同志报告重要情况。协助处理县人民政府各部门和各乡镇人民政府向县人民政府反映的重要问题，传达和督促落实县人民政府领导同志的指示批示要求。</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6、按规定负责县本级机关通用资产管理工作，制定具体制度和管理办法，承担产权界定、清查登记、资产处置等工作。</w:t>
      </w:r>
    </w:p>
    <w:p>
      <w:pPr>
        <w:widowControl/>
        <w:spacing w:line="560" w:lineRule="exact"/>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val="en-US" w:eastAsia="zh-CN"/>
        </w:rPr>
        <w:t>7、负责</w:t>
      </w:r>
      <w:r>
        <w:rPr>
          <w:rFonts w:hint="eastAsia" w:ascii="仿宋" w:hAnsi="仿宋" w:eastAsia="仿宋" w:cs="Times New Roman"/>
          <w:kern w:val="0"/>
          <w:sz w:val="32"/>
          <w:szCs w:val="32"/>
        </w:rPr>
        <w:t>县本级机关房产</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lang w:val="en-US" w:eastAsia="zh-CN"/>
        </w:rPr>
        <w:t>公务用车</w:t>
      </w:r>
      <w:r>
        <w:rPr>
          <w:rFonts w:hint="eastAsia" w:ascii="仿宋" w:hAnsi="仿宋" w:eastAsia="仿宋" w:cs="Times New Roman"/>
          <w:kern w:val="0"/>
          <w:sz w:val="32"/>
          <w:szCs w:val="32"/>
        </w:rPr>
        <w:t>管理工作，制定规章制度并组织实施；按规定负责行政办公用房的权属、配置、建设、使用、维修、处置和利用管理。</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8、</w:t>
      </w:r>
      <w:r>
        <w:rPr>
          <w:rFonts w:hint="eastAsia" w:ascii="仿宋" w:hAnsi="仿宋" w:eastAsia="仿宋" w:cs="Times New Roman"/>
          <w:kern w:val="0"/>
          <w:sz w:val="32"/>
          <w:szCs w:val="32"/>
        </w:rPr>
        <w:t>拟定公务接待相关制度和标准并监督实施，指导、协调县本级机关公务接待工作。</w:t>
      </w:r>
    </w:p>
    <w:p>
      <w:pPr>
        <w:widowControl/>
        <w:spacing w:line="560" w:lineRule="exact"/>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val="en-US" w:eastAsia="zh-CN"/>
        </w:rPr>
        <w:t>9、负责</w:t>
      </w:r>
      <w:r>
        <w:rPr>
          <w:rFonts w:hint="eastAsia" w:ascii="仿宋" w:hAnsi="仿宋" w:eastAsia="仿宋" w:cs="Times New Roman"/>
          <w:kern w:val="0"/>
          <w:sz w:val="32"/>
          <w:szCs w:val="32"/>
        </w:rPr>
        <w:t>监督管理县本级公共机构节能工作。</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10、贯彻落实数据要素、数据安全、政务服务管理相关法规、规章、指标规范及政策措施。</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11、组织落实国家和自治区、自治州大数据战略；贯彻落实数字呼图壁、数字经济、数字社会、数字政府规划和建设。</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12、组织拟订自治州有关数字基础设施布局规划，协调推进数字基础设施布局建设；协调推进数字经济发展，促进数字产业化和产业数字化。</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13、组织落实数据要素产权、流通、分配、治理等数据基础制度，指导数据交易场所建设发展。</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14、统筹数据资源整合共享和开发利用。协调推进数据资源分类分级管理，组织推动公共数据资源开发利用，推动信息资源跨行业跨部门互联互通。</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15、负责组织、协调、指导推进全县数字政府的改革、管理和数字政府平台建设运维资金及资产管理工作；负责推动全县政务服务体系建设工作，落实政务服务“一网通办”、政府运行“一网协同”、经济社会治理“一网统管”建设。负责全县政务服务综合管理、业务指导。统筹推进全县行政审批制度改革。</w:t>
      </w:r>
    </w:p>
    <w:p>
      <w:pPr>
        <w:widowControl/>
        <w:spacing w:line="560" w:lineRule="exact"/>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16、负责推进全县信息化工作，研究拟订全县信息化发展规划，协调推进信息技术的推广应用，协调推动信息化领域重大科技攻关。</w:t>
      </w:r>
    </w:p>
    <w:p>
      <w:pPr>
        <w:widowControl/>
        <w:spacing w:line="560" w:lineRule="exact"/>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val="en-US" w:eastAsia="zh-CN"/>
        </w:rPr>
        <w:t>17、完成</w:t>
      </w:r>
      <w:r>
        <w:rPr>
          <w:rFonts w:hint="eastAsia" w:ascii="仿宋" w:hAnsi="仿宋" w:eastAsia="仿宋" w:cs="Times New Roman"/>
          <w:kern w:val="0"/>
          <w:sz w:val="32"/>
          <w:szCs w:val="32"/>
        </w:rPr>
        <w:t>县党委、县人民政府交办的其他</w:t>
      </w:r>
      <w:r>
        <w:rPr>
          <w:rFonts w:hint="eastAsia" w:ascii="仿宋" w:hAnsi="仿宋" w:eastAsia="仿宋" w:cs="Times New Roman"/>
          <w:kern w:val="0"/>
          <w:sz w:val="32"/>
          <w:szCs w:val="32"/>
          <w:lang w:val="en-US" w:eastAsia="zh-CN"/>
        </w:rPr>
        <w:t>任务</w:t>
      </w:r>
      <w:r>
        <w:rPr>
          <w:rFonts w:hint="eastAsia" w:ascii="仿宋" w:hAnsi="仿宋" w:eastAsia="仿宋" w:cs="Times New Roman"/>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呼图壁县人民政府办公室无下属预算单位，下设</w:t>
      </w:r>
      <w:r>
        <w:rPr>
          <w:rFonts w:hint="eastAsia" w:ascii="仿宋" w:hAnsi="仿宋" w:eastAsia="仿宋"/>
          <w:kern w:val="0"/>
          <w:sz w:val="32"/>
          <w:szCs w:val="32"/>
          <w:lang w:val="en-US" w:eastAsia="zh-CN"/>
        </w:rPr>
        <w:t>5</w:t>
      </w:r>
      <w:r>
        <w:rPr>
          <w:rFonts w:hint="eastAsia" w:ascii="仿宋" w:hAnsi="仿宋" w:eastAsia="仿宋"/>
          <w:kern w:val="0"/>
          <w:sz w:val="32"/>
          <w:szCs w:val="32"/>
        </w:rPr>
        <w:t>个</w:t>
      </w:r>
      <w:r>
        <w:rPr>
          <w:rFonts w:hint="eastAsia" w:ascii="仿宋" w:hAnsi="仿宋" w:eastAsia="仿宋"/>
          <w:kern w:val="0"/>
          <w:sz w:val="32"/>
          <w:szCs w:val="32"/>
          <w:lang w:eastAsia="zh-CN"/>
        </w:rPr>
        <w:t>处</w:t>
      </w:r>
      <w:r>
        <w:rPr>
          <w:rFonts w:hint="eastAsia" w:ascii="仿宋" w:hAnsi="仿宋" w:eastAsia="仿宋"/>
          <w:kern w:val="0"/>
          <w:sz w:val="32"/>
          <w:szCs w:val="32"/>
        </w:rPr>
        <w:t>室，分别是：文书科、行政管理科、综合</w:t>
      </w:r>
      <w:r>
        <w:rPr>
          <w:rFonts w:hint="eastAsia" w:ascii="仿宋" w:hAnsi="仿宋" w:eastAsia="仿宋"/>
          <w:kern w:val="0"/>
          <w:sz w:val="32"/>
          <w:szCs w:val="32"/>
          <w:lang w:eastAsia="zh-CN"/>
        </w:rPr>
        <w:t>政务服务</w:t>
      </w:r>
      <w:r>
        <w:rPr>
          <w:rFonts w:hint="eastAsia" w:ascii="仿宋" w:hAnsi="仿宋" w:eastAsia="仿宋"/>
          <w:kern w:val="0"/>
          <w:sz w:val="32"/>
          <w:szCs w:val="32"/>
        </w:rPr>
        <w:t>科、政务</w:t>
      </w:r>
      <w:r>
        <w:rPr>
          <w:rFonts w:hint="eastAsia" w:ascii="仿宋" w:hAnsi="仿宋" w:eastAsia="仿宋"/>
          <w:kern w:val="0"/>
          <w:sz w:val="32"/>
          <w:szCs w:val="32"/>
          <w:lang w:eastAsia="zh-CN"/>
        </w:rPr>
        <w:t>数字化发展</w:t>
      </w:r>
      <w:r>
        <w:rPr>
          <w:rFonts w:hint="eastAsia" w:ascii="仿宋" w:hAnsi="仿宋" w:eastAsia="仿宋"/>
          <w:kern w:val="0"/>
          <w:sz w:val="32"/>
          <w:szCs w:val="32"/>
        </w:rPr>
        <w:t>科、外事</w:t>
      </w:r>
      <w:r>
        <w:rPr>
          <w:rFonts w:hint="eastAsia" w:ascii="仿宋" w:hAnsi="仿宋" w:eastAsia="仿宋"/>
          <w:kern w:val="0"/>
          <w:sz w:val="32"/>
          <w:szCs w:val="32"/>
          <w:lang w:eastAsia="zh-CN"/>
        </w:rPr>
        <w:t>和</w:t>
      </w:r>
      <w:r>
        <w:rPr>
          <w:rFonts w:hint="eastAsia" w:ascii="仿宋" w:hAnsi="仿宋" w:eastAsia="仿宋"/>
          <w:kern w:val="0"/>
          <w:sz w:val="32"/>
          <w:szCs w:val="32"/>
        </w:rPr>
        <w:t>政务督查科。</w:t>
      </w:r>
    </w:p>
    <w:p>
      <w:pPr>
        <w:widowControl/>
        <w:spacing w:line="560" w:lineRule="exact"/>
        <w:ind w:firstLine="640" w:firstLineChars="200"/>
        <w:rPr>
          <w:rFonts w:hint="eastAsia" w:ascii="仿宋" w:hAnsi="仿宋" w:eastAsia="仿宋"/>
          <w:sz w:val="32"/>
          <w:szCs w:val="32"/>
        </w:rPr>
      </w:pPr>
      <w:r>
        <w:rPr>
          <w:rFonts w:hint="eastAsia" w:ascii="仿宋" w:hAnsi="仿宋" w:eastAsia="仿宋"/>
          <w:kern w:val="0"/>
          <w:sz w:val="32"/>
          <w:szCs w:val="32"/>
        </w:rPr>
        <w:t>呼图壁县人民政府办公室</w:t>
      </w:r>
      <w:r>
        <w:rPr>
          <w:rFonts w:hint="eastAsia" w:ascii="仿宋" w:hAnsi="仿宋" w:eastAsia="仿宋"/>
          <w:color w:val="000000"/>
          <w:kern w:val="0"/>
          <w:sz w:val="32"/>
          <w:szCs w:val="32"/>
        </w:rPr>
        <w:t>编制数</w:t>
      </w:r>
      <w:r>
        <w:rPr>
          <w:rFonts w:hint="eastAsia" w:ascii="仿宋" w:hAnsi="仿宋" w:eastAsia="仿宋"/>
          <w:color w:val="000000"/>
          <w:kern w:val="0"/>
          <w:sz w:val="32"/>
          <w:szCs w:val="32"/>
          <w:lang w:val="en-US" w:eastAsia="zh-CN"/>
        </w:rPr>
        <w:t>43</w:t>
      </w:r>
      <w:r>
        <w:rPr>
          <w:rFonts w:hint="eastAsia" w:ascii="仿宋" w:hAnsi="仿宋" w:eastAsia="仿宋"/>
          <w:color w:val="000000"/>
          <w:kern w:val="0"/>
          <w:sz w:val="32"/>
          <w:szCs w:val="32"/>
        </w:rPr>
        <w:t>，实有人数</w:t>
      </w:r>
      <w:r>
        <w:rPr>
          <w:rFonts w:hint="eastAsia" w:ascii="仿宋" w:hAnsi="仿宋" w:eastAsia="仿宋"/>
          <w:color w:val="000000"/>
          <w:kern w:val="0"/>
          <w:sz w:val="32"/>
          <w:szCs w:val="32"/>
          <w:lang w:val="en-US" w:eastAsia="zh-CN"/>
        </w:rPr>
        <w:t>58</w:t>
      </w:r>
      <w:r>
        <w:rPr>
          <w:rFonts w:hint="eastAsia" w:ascii="仿宋" w:hAnsi="仿宋" w:eastAsia="仿宋"/>
          <w:color w:val="000000"/>
          <w:kern w:val="0"/>
          <w:sz w:val="32"/>
          <w:szCs w:val="32"/>
        </w:rPr>
        <w:t>人，其中：在职人数</w:t>
      </w:r>
      <w:r>
        <w:rPr>
          <w:rFonts w:hint="eastAsia" w:ascii="仿宋" w:hAnsi="仿宋" w:eastAsia="仿宋"/>
          <w:color w:val="000000"/>
          <w:kern w:val="0"/>
          <w:sz w:val="32"/>
          <w:szCs w:val="32"/>
          <w:lang w:val="en-US" w:eastAsia="zh-CN"/>
        </w:rPr>
        <w:t>43</w:t>
      </w:r>
      <w:r>
        <w:rPr>
          <w:rFonts w:hint="eastAsia" w:ascii="仿宋" w:hAnsi="仿宋" w:eastAsia="仿宋"/>
          <w:color w:val="000000"/>
          <w:kern w:val="0"/>
          <w:sz w:val="32"/>
          <w:szCs w:val="32"/>
        </w:rPr>
        <w:t>人，</w:t>
      </w:r>
      <w:r>
        <w:rPr>
          <w:rFonts w:hint="eastAsia" w:ascii="仿宋" w:hAnsi="仿宋" w:eastAsia="仿宋"/>
          <w:color w:val="000000"/>
          <w:kern w:val="0"/>
          <w:sz w:val="32"/>
          <w:szCs w:val="32"/>
          <w:lang w:eastAsia="zh-CN"/>
        </w:rPr>
        <w:t>减少</w:t>
      </w:r>
      <w:r>
        <w:rPr>
          <w:rFonts w:hint="eastAsia" w:ascii="仿宋" w:hAnsi="仿宋" w:eastAsia="仿宋"/>
          <w:sz w:val="32"/>
          <w:szCs w:val="32"/>
          <w:lang w:val="en-US" w:eastAsia="zh-CN"/>
        </w:rPr>
        <w:t>12</w:t>
      </w:r>
      <w:r>
        <w:rPr>
          <w:rFonts w:hint="eastAsia" w:ascii="仿宋" w:hAnsi="仿宋" w:eastAsia="仿宋"/>
          <w:sz w:val="32"/>
          <w:szCs w:val="32"/>
        </w:rPr>
        <w:t>人</w:t>
      </w:r>
      <w:r>
        <w:rPr>
          <w:rFonts w:hint="eastAsia" w:ascii="仿宋" w:hAnsi="仿宋" w:eastAsia="仿宋"/>
          <w:color w:val="000000"/>
          <w:kern w:val="0"/>
          <w:sz w:val="32"/>
          <w:szCs w:val="32"/>
        </w:rPr>
        <w:t>；</w:t>
      </w:r>
      <w:r>
        <w:rPr>
          <w:rFonts w:hint="eastAsia" w:ascii="仿宋" w:hAnsi="仿宋" w:eastAsia="仿宋"/>
          <w:sz w:val="32"/>
          <w:szCs w:val="32"/>
        </w:rPr>
        <w:t>退休</w:t>
      </w:r>
      <w:r>
        <w:rPr>
          <w:rFonts w:hint="eastAsia" w:ascii="仿宋" w:hAnsi="仿宋" w:eastAsia="仿宋"/>
          <w:sz w:val="32"/>
          <w:szCs w:val="32"/>
          <w:lang w:val="en-US" w:eastAsia="zh-CN"/>
        </w:rPr>
        <w:t>15</w:t>
      </w:r>
      <w:r>
        <w:rPr>
          <w:rFonts w:hint="eastAsia" w:ascii="仿宋" w:hAnsi="仿宋" w:eastAsia="仿宋"/>
          <w:sz w:val="32"/>
          <w:szCs w:val="32"/>
        </w:rPr>
        <w:t>人，减少</w:t>
      </w:r>
      <w:r>
        <w:rPr>
          <w:rFonts w:hint="eastAsia" w:ascii="仿宋" w:hAnsi="仿宋" w:eastAsia="仿宋"/>
          <w:sz w:val="32"/>
          <w:szCs w:val="32"/>
          <w:lang w:val="en-US" w:eastAsia="zh-CN"/>
        </w:rPr>
        <w:t>4</w:t>
      </w:r>
      <w:r>
        <w:rPr>
          <w:rFonts w:hint="eastAsia" w:ascii="仿宋" w:hAnsi="仿宋" w:eastAsia="仿宋"/>
          <w:sz w:val="32"/>
          <w:szCs w:val="32"/>
        </w:rPr>
        <w:t>人；离休</w:t>
      </w:r>
      <w:r>
        <w:rPr>
          <w:rFonts w:hint="eastAsia" w:ascii="仿宋" w:hAnsi="仿宋" w:eastAsia="仿宋"/>
          <w:sz w:val="32"/>
          <w:szCs w:val="32"/>
          <w:lang w:val="en-US" w:eastAsia="zh-CN"/>
        </w:rPr>
        <w:t>0</w:t>
      </w:r>
      <w:r>
        <w:rPr>
          <w:rFonts w:hint="eastAsia" w:ascii="仿宋" w:hAnsi="仿宋" w:eastAsia="仿宋"/>
          <w:sz w:val="32"/>
          <w:szCs w:val="32"/>
        </w:rPr>
        <w:t>人，减少</w:t>
      </w:r>
      <w:r>
        <w:rPr>
          <w:rFonts w:hint="eastAsia" w:ascii="仿宋" w:hAnsi="仿宋" w:eastAsia="仿宋"/>
          <w:sz w:val="32"/>
          <w:szCs w:val="32"/>
          <w:lang w:val="en-US" w:eastAsia="zh-CN"/>
        </w:rPr>
        <w:t>1</w:t>
      </w:r>
      <w:r>
        <w:rPr>
          <w:rFonts w:hint="eastAsia" w:ascii="仿宋" w:hAnsi="仿宋" w:eastAsia="仿宋"/>
          <w:sz w:val="32"/>
          <w:szCs w:val="32"/>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839" w:type="dxa"/>
        <w:tblInd w:w="93" w:type="dxa"/>
        <w:tblLayout w:type="fixed"/>
        <w:tblCellMar>
          <w:top w:w="0" w:type="dxa"/>
          <w:left w:w="108" w:type="dxa"/>
          <w:bottom w:w="0" w:type="dxa"/>
          <w:right w:w="108" w:type="dxa"/>
        </w:tblCellMar>
      </w:tblPr>
      <w:tblGrid>
        <w:gridCol w:w="3165"/>
        <w:gridCol w:w="1103"/>
        <w:gridCol w:w="2693"/>
        <w:gridCol w:w="1878"/>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571"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8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1491.14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201 一般公共服务支出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894.05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1071.14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202 外交支出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1071.14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203 国防支出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204 公共安全支出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shd w:val="clear" w:color="auto" w:fill="auto"/>
                <w:lang w:eastAsia="zh-CN"/>
              </w:rPr>
            </w:pPr>
            <w:r>
              <w:rPr>
                <w:rFonts w:hint="eastAsia" w:ascii="仿宋_GB2312" w:hAnsi="宋体" w:eastAsia="仿宋_GB2312" w:cs="宋体"/>
                <w:b/>
                <w:bCs/>
                <w:color w:val="auto"/>
                <w:kern w:val="0"/>
                <w:sz w:val="20"/>
                <w:szCs w:val="20"/>
                <w:highlight w:val="none"/>
                <w:shd w:val="clear" w:color="auto" w:fill="auto"/>
              </w:rPr>
              <w:t>2.</w:t>
            </w:r>
            <w:r>
              <w:rPr>
                <w:rFonts w:hint="eastAsia" w:ascii="仿宋_GB2312" w:hAnsi="宋体" w:eastAsia="仿宋_GB2312" w:cs="宋体"/>
                <w:b/>
                <w:bCs/>
                <w:color w:val="auto"/>
                <w:kern w:val="0"/>
                <w:sz w:val="20"/>
                <w:szCs w:val="20"/>
                <w:highlight w:val="none"/>
                <w:shd w:val="clear" w:color="auto" w:fill="auto"/>
                <w:lang w:val="en-US" w:eastAsia="zh-CN"/>
              </w:rPr>
              <w:t>政府性</w:t>
            </w:r>
            <w:r>
              <w:rPr>
                <w:rFonts w:hint="eastAsia" w:ascii="仿宋_GB2312" w:hAnsi="宋体" w:eastAsia="仿宋_GB2312" w:cs="宋体"/>
                <w:b/>
                <w:bCs/>
                <w:color w:val="auto"/>
                <w:kern w:val="0"/>
                <w:sz w:val="20"/>
                <w:szCs w:val="20"/>
                <w:highlight w:val="none"/>
                <w:shd w:val="clear" w:color="auto" w:fill="auto"/>
              </w:rPr>
              <w:t>基金预算拨款</w:t>
            </w:r>
            <w:r>
              <w:rPr>
                <w:rFonts w:hint="eastAsia" w:ascii="仿宋_GB2312" w:hAnsi="宋体" w:eastAsia="仿宋_GB2312" w:cs="宋体"/>
                <w:color w:val="auto"/>
                <w:kern w:val="0"/>
                <w:sz w:val="20"/>
                <w:szCs w:val="20"/>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205 教育支出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206 科学技术支出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207 文化旅游体育与传媒支出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208 社会保障和就业支出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255.00</w:t>
            </w:r>
          </w:p>
        </w:tc>
      </w:tr>
      <w:tr>
        <w:tblPrEx>
          <w:tblCellMar>
            <w:top w:w="0" w:type="dxa"/>
            <w:left w:w="108" w:type="dxa"/>
            <w:bottom w:w="0" w:type="dxa"/>
            <w:right w:w="108" w:type="dxa"/>
          </w:tblCellMar>
        </w:tblPrEx>
        <w:trPr>
          <w:trHeight w:val="35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209 社会保险基金支出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卫生健康支出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122.08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20"/>
                <w:szCs w:val="20"/>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211 节能环保支出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420.00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212 城乡社区支出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213 农林水支出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214 交通运输支出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215 资源勘探</w:t>
            </w:r>
            <w:r>
              <w:rPr>
                <w:rFonts w:hint="eastAsia" w:ascii="仿宋_GB2312" w:hAnsi="宋体" w:eastAsia="仿宋_GB2312" w:cs="宋体"/>
                <w:color w:val="auto"/>
                <w:kern w:val="0"/>
                <w:sz w:val="20"/>
                <w:szCs w:val="20"/>
                <w:highlight w:val="none"/>
                <w:lang w:val="en-US" w:eastAsia="zh-Hans"/>
              </w:rPr>
              <w:t>工业</w:t>
            </w:r>
            <w:r>
              <w:rPr>
                <w:rFonts w:hint="eastAsia" w:ascii="仿宋_GB2312" w:hAnsi="宋体" w:eastAsia="仿宋_GB2312" w:cs="宋体"/>
                <w:color w:val="auto"/>
                <w:kern w:val="0"/>
                <w:sz w:val="20"/>
                <w:szCs w:val="20"/>
                <w:highlight w:val="none"/>
              </w:rPr>
              <w:t>信息等支出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216 商业服务业等支出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420.00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217 金融支出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2.36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219 援助其他地区支出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2.36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220 自然资源海洋气象等支出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2.36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221 住房保障支出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222.37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lang w:val="en-US" w:eastAsia="zh-CN"/>
              </w:rPr>
              <w:t>政府性</w:t>
            </w:r>
            <w:r>
              <w:rPr>
                <w:rFonts w:hint="eastAsia" w:ascii="仿宋_GB2312" w:hAnsi="宋体" w:eastAsia="仿宋_GB2312" w:cs="宋体"/>
                <w:color w:val="auto"/>
                <w:kern w:val="0"/>
                <w:sz w:val="20"/>
                <w:szCs w:val="20"/>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222 粮油物资储备支出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223 国有资本经营预算支出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224</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灾害防治及应急管理支出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227 预备费</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229 其他支出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转移性支出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231 债务还本支出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232 债务付息支出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0"/>
                <w:szCs w:val="20"/>
                <w:highlight w:val="none"/>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233 债务发行费用支出</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p>
        </w:tc>
        <w:tc>
          <w:tcPr>
            <w:tcW w:w="18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20"/>
                <w:szCs w:val="20"/>
                <w:highlight w:val="none"/>
                <w:lang w:bidi="ar"/>
              </w:rPr>
            </w:pPr>
          </w:p>
        </w:tc>
        <w:tc>
          <w:tcPr>
            <w:tcW w:w="187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1493.50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8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1493.50</w:t>
            </w:r>
          </w:p>
        </w:tc>
      </w:tr>
    </w:tbl>
    <w:p>
      <w:pPr>
        <w:widowControl/>
        <w:spacing w:line="280" w:lineRule="exact"/>
        <w:outlineLvl w:val="1"/>
        <w:rPr>
          <w:rFonts w:hint="eastAsia" w:ascii="仿宋_GB2312" w:hAnsi="宋体" w:eastAsia="仿宋_GB2312"/>
          <w:b/>
          <w:color w:val="FF0000"/>
          <w:kern w:val="0"/>
          <w:sz w:val="20"/>
          <w:szCs w:val="20"/>
          <w:highlight w:val="none"/>
        </w:rPr>
      </w:pPr>
    </w:p>
    <w:p>
      <w:pPr>
        <w:rPr>
          <w:rFonts w:hint="eastAsia" w:ascii="宋体" w:hAnsi="宋体" w:eastAsia="宋体" w:cs="宋体"/>
          <w:i w:val="0"/>
          <w:color w:val="auto"/>
          <w:kern w:val="0"/>
          <w:sz w:val="20"/>
          <w:szCs w:val="20"/>
          <w:highlight w:val="none"/>
          <w:u w:val="none"/>
          <w:lang w:val="en-US" w:eastAsia="zh-CN" w:bidi="ar"/>
        </w:rPr>
        <w:sectPr>
          <w:footerReference r:id="rId6"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2</w:t>
      </w:r>
    </w:p>
    <w:p>
      <w:pPr>
        <w:jc w:val="center"/>
        <w:rPr>
          <w:rFonts w:hint="default" w:ascii="仿宋_GB2312" w:eastAsia="仿宋_GB2312"/>
          <w:color w:val="auto"/>
          <w:sz w:val="20"/>
          <w:szCs w:val="20"/>
          <w:highlight w:val="none"/>
          <w:lang w:val="en-US" w:eastAsia="zh-CN"/>
        </w:rPr>
      </w:pPr>
      <w:r>
        <w:rPr>
          <w:rFonts w:hint="eastAsia" w:ascii="仿宋_GB2312" w:hAnsi="宋体" w:eastAsia="仿宋_GB2312"/>
          <w:b/>
          <w:color w:val="auto"/>
          <w:kern w:val="0"/>
          <w:sz w:val="32"/>
          <w:szCs w:val="32"/>
          <w:highlight w:val="none"/>
          <w:lang w:val="en-US" w:eastAsia="zh-CN"/>
        </w:rPr>
        <w:t>部门收入总体情况表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13593" w:type="dxa"/>
        <w:tblInd w:w="-450" w:type="dxa"/>
        <w:tblLayout w:type="fixed"/>
        <w:tblCellMar>
          <w:top w:w="0" w:type="dxa"/>
          <w:left w:w="108" w:type="dxa"/>
          <w:bottom w:w="0" w:type="dxa"/>
          <w:right w:w="108" w:type="dxa"/>
        </w:tblCellMar>
      </w:tblPr>
      <w:tblGrid>
        <w:gridCol w:w="802"/>
        <w:gridCol w:w="737"/>
        <w:gridCol w:w="709"/>
        <w:gridCol w:w="1486"/>
        <w:gridCol w:w="982"/>
        <w:gridCol w:w="1091"/>
        <w:gridCol w:w="1227"/>
        <w:gridCol w:w="805"/>
        <w:gridCol w:w="586"/>
        <w:gridCol w:w="750"/>
        <w:gridCol w:w="450"/>
        <w:gridCol w:w="818"/>
        <w:gridCol w:w="505"/>
        <w:gridCol w:w="818"/>
        <w:gridCol w:w="791"/>
        <w:gridCol w:w="1036"/>
      </w:tblGrid>
      <w:tr>
        <w:tblPrEx>
          <w:tblCellMar>
            <w:top w:w="0" w:type="dxa"/>
            <w:left w:w="108" w:type="dxa"/>
            <w:bottom w:w="0" w:type="dxa"/>
            <w:right w:w="108" w:type="dxa"/>
          </w:tblCellMar>
        </w:tblPrEx>
        <w:trPr>
          <w:trHeight w:val="697" w:hRule="atLeast"/>
        </w:trPr>
        <w:tc>
          <w:tcPr>
            <w:tcW w:w="224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48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8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572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1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9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10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802"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73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709"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48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8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9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8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1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9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shd w:val="clear" w:color="auto" w:fill="auto"/>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b/>
                <w:bCs/>
                <w:color w:val="000000"/>
                <w:sz w:val="20"/>
                <w:szCs w:val="20"/>
                <w:lang w:eastAsia="zh-CN"/>
              </w:rPr>
              <w:t>201</w:t>
            </w:r>
          </w:p>
        </w:tc>
        <w:tc>
          <w:tcPr>
            <w:tcW w:w="737" w:type="dxa"/>
            <w:tcBorders>
              <w:top w:val="nil"/>
              <w:left w:val="nil"/>
              <w:bottom w:val="single" w:color="auto" w:sz="4" w:space="0"/>
              <w:right w:val="single" w:color="auto" w:sz="4" w:space="0"/>
            </w:tcBorders>
            <w:shd w:val="clear" w:color="auto" w:fill="auto"/>
            <w:noWrap w:val="0"/>
            <w:vAlign w:val="top"/>
          </w:tcPr>
          <w:p>
            <w:pPr>
              <w:jc w:val="center"/>
              <w:rPr>
                <w:rFonts w:ascii="仿宋_GB2312" w:hAnsi="宋体" w:eastAsia="仿宋_GB2312" w:cs="宋体"/>
                <w:color w:val="auto"/>
                <w:sz w:val="20"/>
                <w:szCs w:val="20"/>
                <w:highlight w:val="none"/>
              </w:rPr>
            </w:pPr>
          </w:p>
        </w:tc>
        <w:tc>
          <w:tcPr>
            <w:tcW w:w="709" w:type="dxa"/>
            <w:tcBorders>
              <w:top w:val="nil"/>
              <w:left w:val="nil"/>
              <w:bottom w:val="single" w:color="auto" w:sz="4" w:space="0"/>
              <w:right w:val="single" w:color="auto" w:sz="4" w:space="0"/>
            </w:tcBorders>
            <w:shd w:val="clear" w:color="auto" w:fill="auto"/>
            <w:noWrap w:val="0"/>
            <w:vAlign w:val="top"/>
          </w:tcPr>
          <w:p>
            <w:pPr>
              <w:jc w:val="center"/>
              <w:rPr>
                <w:rFonts w:ascii="仿宋_GB2312" w:hAnsi="宋体" w:eastAsia="仿宋_GB2312" w:cs="宋体"/>
                <w:color w:val="auto"/>
                <w:sz w:val="20"/>
                <w:szCs w:val="20"/>
                <w:highlight w:val="none"/>
              </w:rPr>
            </w:pPr>
          </w:p>
        </w:tc>
        <w:tc>
          <w:tcPr>
            <w:tcW w:w="1486" w:type="dxa"/>
            <w:tcBorders>
              <w:top w:val="nil"/>
              <w:left w:val="nil"/>
              <w:bottom w:val="single" w:color="auto" w:sz="4" w:space="0"/>
              <w:right w:val="single" w:color="auto" w:sz="4" w:space="0"/>
            </w:tcBorders>
            <w:shd w:val="clear" w:color="auto" w:fill="auto"/>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b/>
                <w:bCs/>
                <w:color w:val="000000"/>
                <w:sz w:val="20"/>
                <w:szCs w:val="20"/>
                <w:lang w:eastAsia="zh-CN"/>
              </w:rPr>
              <w:t>一般公共服务支出</w:t>
            </w:r>
          </w:p>
        </w:tc>
        <w:tc>
          <w:tcPr>
            <w:tcW w:w="98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894.05</w:t>
            </w:r>
          </w:p>
        </w:tc>
        <w:tc>
          <w:tcPr>
            <w:tcW w:w="109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866.69</w:t>
            </w:r>
          </w:p>
        </w:tc>
        <w:tc>
          <w:tcPr>
            <w:tcW w:w="122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866.69</w:t>
            </w:r>
          </w:p>
        </w:tc>
        <w:tc>
          <w:tcPr>
            <w:tcW w:w="8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25.00</w:t>
            </w:r>
          </w:p>
        </w:tc>
        <w:tc>
          <w:tcPr>
            <w:tcW w:w="79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2.36</w:t>
            </w:r>
          </w:p>
        </w:tc>
        <w:tc>
          <w:tcPr>
            <w:tcW w:w="1036" w:type="dxa"/>
            <w:tcBorders>
              <w:top w:val="nil"/>
              <w:left w:val="single" w:color="auto" w:sz="4" w:space="0"/>
              <w:bottom w:val="single" w:color="auto" w:sz="4" w:space="0"/>
              <w:right w:val="single" w:color="auto" w:sz="4" w:space="0"/>
            </w:tcBorders>
            <w:shd w:val="clear" w:color="000000" w:fill="FFFFFF"/>
            <w:noWrap w:val="0"/>
            <w:vAlign w:val="top"/>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hAnsi="宋体" w:eastAsia="仿宋_GB2312" w:cs="宋体"/>
                <w:b/>
                <w:bCs/>
                <w:color w:val="000000"/>
                <w:kern w:val="2"/>
                <w:sz w:val="20"/>
                <w:szCs w:val="20"/>
                <w:lang w:val="en-US" w:eastAsia="zh-CN" w:bidi="ar-SA"/>
              </w:rPr>
              <w:t>201</w:t>
            </w:r>
          </w:p>
        </w:tc>
        <w:tc>
          <w:tcPr>
            <w:tcW w:w="737"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b/>
                <w:bCs/>
                <w:color w:val="000000"/>
                <w:sz w:val="20"/>
                <w:szCs w:val="20"/>
                <w:lang w:val="en-US" w:eastAsia="zh-CN"/>
              </w:rPr>
              <w:t>03</w:t>
            </w:r>
          </w:p>
        </w:tc>
        <w:tc>
          <w:tcPr>
            <w:tcW w:w="709"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p>
        </w:tc>
        <w:tc>
          <w:tcPr>
            <w:tcW w:w="1486"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b/>
                <w:bCs/>
                <w:color w:val="000000"/>
                <w:sz w:val="20"/>
                <w:szCs w:val="20"/>
                <w:lang w:eastAsia="zh-CN"/>
              </w:rPr>
              <w:t>政府办公厅（室）及相关机构事务</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894.05</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866.69</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866.69</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25.00</w:t>
            </w:r>
          </w:p>
        </w:tc>
        <w:tc>
          <w:tcPr>
            <w:tcW w:w="7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2.36</w:t>
            </w:r>
          </w:p>
        </w:tc>
        <w:tc>
          <w:tcPr>
            <w:tcW w:w="1036" w:type="dxa"/>
            <w:tcBorders>
              <w:top w:val="nil"/>
              <w:left w:val="single" w:color="auto" w:sz="4" w:space="0"/>
              <w:bottom w:val="single" w:color="auto" w:sz="4" w:space="0"/>
              <w:right w:val="single" w:color="auto" w:sz="4" w:space="0"/>
            </w:tcBorders>
            <w:noWrap w:val="0"/>
            <w:vAlign w:val="top"/>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201</w:t>
            </w:r>
          </w:p>
        </w:tc>
        <w:tc>
          <w:tcPr>
            <w:tcW w:w="737"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03</w:t>
            </w:r>
          </w:p>
        </w:tc>
        <w:tc>
          <w:tcPr>
            <w:tcW w:w="709"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01</w:t>
            </w:r>
          </w:p>
        </w:tc>
        <w:tc>
          <w:tcPr>
            <w:tcW w:w="1486"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eastAsia="zh-CN"/>
              </w:rPr>
              <w:t>行政运行</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441.81</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431.81</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431.81</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w:t>
            </w:r>
          </w:p>
        </w:tc>
        <w:tc>
          <w:tcPr>
            <w:tcW w:w="7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top"/>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201</w:t>
            </w:r>
          </w:p>
        </w:tc>
        <w:tc>
          <w:tcPr>
            <w:tcW w:w="7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03</w:t>
            </w:r>
          </w:p>
        </w:tc>
        <w:tc>
          <w:tcPr>
            <w:tcW w:w="70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02</w:t>
            </w:r>
          </w:p>
        </w:tc>
        <w:tc>
          <w:tcPr>
            <w:tcW w:w="14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一般行政管理事务</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248.36</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246.00</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246.00</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2.36</w:t>
            </w:r>
          </w:p>
        </w:tc>
        <w:tc>
          <w:tcPr>
            <w:tcW w:w="10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201</w:t>
            </w:r>
          </w:p>
        </w:tc>
        <w:tc>
          <w:tcPr>
            <w:tcW w:w="7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kern w:val="2"/>
                <w:sz w:val="20"/>
                <w:szCs w:val="20"/>
                <w:lang w:val="en-US" w:eastAsia="zh-CN" w:bidi="ar-SA"/>
              </w:rPr>
              <w:t>03</w:t>
            </w:r>
          </w:p>
        </w:tc>
        <w:tc>
          <w:tcPr>
            <w:tcW w:w="70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kern w:val="2"/>
                <w:sz w:val="20"/>
                <w:szCs w:val="20"/>
                <w:lang w:val="en-US" w:eastAsia="zh-CN" w:bidi="ar-SA"/>
              </w:rPr>
              <w:t>50</w:t>
            </w:r>
          </w:p>
        </w:tc>
        <w:tc>
          <w:tcPr>
            <w:tcW w:w="14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kern w:val="2"/>
                <w:sz w:val="20"/>
                <w:szCs w:val="20"/>
                <w:lang w:val="en-US" w:eastAsia="zh-CN" w:bidi="ar-SA"/>
              </w:rPr>
              <w:t>事业运行</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203.88</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188.88</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188.88</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15.00</w:t>
            </w:r>
          </w:p>
        </w:tc>
        <w:tc>
          <w:tcPr>
            <w:tcW w:w="7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top"/>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b/>
                <w:bCs/>
                <w:color w:val="000000"/>
                <w:sz w:val="20"/>
                <w:szCs w:val="20"/>
                <w:lang w:val="en-US" w:eastAsia="zh-CN"/>
              </w:rPr>
              <w:t>208</w:t>
            </w:r>
          </w:p>
        </w:tc>
        <w:tc>
          <w:tcPr>
            <w:tcW w:w="7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4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b/>
                <w:bCs/>
                <w:color w:val="000000"/>
                <w:sz w:val="20"/>
                <w:szCs w:val="20"/>
                <w:lang w:eastAsia="zh-CN"/>
              </w:rPr>
              <w:t>社会保障和就业支出</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255.00</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85.00</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85.00</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170.00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208</w:t>
            </w:r>
          </w:p>
        </w:tc>
        <w:tc>
          <w:tcPr>
            <w:tcW w:w="7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b/>
                <w:bCs/>
                <w:color w:val="000000"/>
                <w:sz w:val="20"/>
                <w:szCs w:val="20"/>
                <w:lang w:val="en-US" w:eastAsia="zh-CN"/>
              </w:rPr>
              <w:t>05</w:t>
            </w:r>
          </w:p>
        </w:tc>
        <w:tc>
          <w:tcPr>
            <w:tcW w:w="70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4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b/>
                <w:bCs/>
                <w:color w:val="000000"/>
                <w:sz w:val="20"/>
                <w:szCs w:val="20"/>
                <w:lang w:val="en-US" w:eastAsia="zh-CN"/>
              </w:rPr>
              <w:t>行政事业单位养老支出</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255.00</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85.00</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85.00</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170.00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208</w:t>
            </w:r>
          </w:p>
        </w:tc>
        <w:tc>
          <w:tcPr>
            <w:tcW w:w="7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w:t>
            </w: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行政单位离退休</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9.53</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9.53</w:t>
            </w: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9.53</w:t>
            </w:r>
          </w:p>
        </w:tc>
        <w:tc>
          <w:tcPr>
            <w:tcW w:w="8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7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208</w:t>
            </w:r>
          </w:p>
        </w:tc>
        <w:tc>
          <w:tcPr>
            <w:tcW w:w="7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机关事业单位基本养老保险缴费支出</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215.47</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75.47</w:t>
            </w: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75.47</w:t>
            </w:r>
          </w:p>
        </w:tc>
        <w:tc>
          <w:tcPr>
            <w:tcW w:w="8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140.00</w:t>
            </w:r>
          </w:p>
        </w:tc>
        <w:tc>
          <w:tcPr>
            <w:tcW w:w="7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208</w:t>
            </w:r>
          </w:p>
        </w:tc>
        <w:tc>
          <w:tcPr>
            <w:tcW w:w="7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06</w:t>
            </w: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机关事业单位基本养老保险缴费支出</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30</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8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30.00</w:t>
            </w:r>
          </w:p>
        </w:tc>
        <w:tc>
          <w:tcPr>
            <w:tcW w:w="79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b/>
                <w:bCs/>
                <w:color w:val="000000"/>
                <w:sz w:val="20"/>
                <w:szCs w:val="20"/>
                <w:lang w:val="en-US" w:eastAsia="zh-CN"/>
              </w:rPr>
              <w:t>210</w:t>
            </w:r>
          </w:p>
        </w:tc>
        <w:tc>
          <w:tcPr>
            <w:tcW w:w="7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4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b/>
                <w:bCs/>
                <w:color w:val="000000"/>
                <w:sz w:val="20"/>
                <w:szCs w:val="20"/>
                <w:lang w:val="en-US" w:eastAsia="zh-CN"/>
              </w:rPr>
              <w:t>卫生健康支出</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122.08</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57.08</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57.08</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65.00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7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b/>
                <w:bCs/>
                <w:color w:val="000000"/>
                <w:sz w:val="20"/>
                <w:szCs w:val="20"/>
                <w:lang w:val="en-US" w:eastAsia="zh-CN"/>
              </w:rPr>
              <w:t>11</w:t>
            </w:r>
          </w:p>
        </w:tc>
        <w:tc>
          <w:tcPr>
            <w:tcW w:w="70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4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b/>
                <w:bCs/>
                <w:color w:val="000000"/>
                <w:sz w:val="20"/>
                <w:szCs w:val="20"/>
                <w:lang w:val="en-US" w:eastAsia="zh-CN"/>
              </w:rPr>
              <w:t>行政事业单位医疗</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122.08</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57.08</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lang w:val="en-US" w:eastAsia="zh-CN"/>
              </w:rPr>
              <w:t>57.08</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65.00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7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11</w:t>
            </w:r>
          </w:p>
        </w:tc>
        <w:tc>
          <w:tcPr>
            <w:tcW w:w="70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01</w:t>
            </w:r>
          </w:p>
        </w:tc>
        <w:tc>
          <w:tcPr>
            <w:tcW w:w="14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行政单位医疗</w:t>
            </w:r>
          </w:p>
        </w:tc>
        <w:tc>
          <w:tcPr>
            <w:tcW w:w="98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79.32</w:t>
            </w:r>
          </w:p>
        </w:tc>
        <w:tc>
          <w:tcPr>
            <w:tcW w:w="10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24.32</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24.32</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55.00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w:t>
            </w:r>
          </w:p>
        </w:tc>
        <w:tc>
          <w:tcPr>
            <w:tcW w:w="73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02</w:t>
            </w: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事业单位医疗</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13.42</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13.42</w:t>
            </w: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13.42</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w:t>
            </w:r>
          </w:p>
        </w:tc>
        <w:tc>
          <w:tcPr>
            <w:tcW w:w="7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11</w:t>
            </w: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03</w:t>
            </w: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公务员医疗补助</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28.87</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18.87</w:t>
            </w: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18.87</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w:t>
            </w:r>
          </w:p>
        </w:tc>
        <w:tc>
          <w:tcPr>
            <w:tcW w:w="7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11</w:t>
            </w: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99</w:t>
            </w: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其他行政事业单位医疗支出</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0.47</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0.47</w:t>
            </w: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0.47</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b/>
                <w:bCs/>
                <w:color w:val="000000"/>
                <w:sz w:val="20"/>
                <w:szCs w:val="20"/>
                <w:lang w:val="en-US" w:eastAsia="zh-CN"/>
              </w:rPr>
              <w:t>221</w:t>
            </w:r>
          </w:p>
        </w:tc>
        <w:tc>
          <w:tcPr>
            <w:tcW w:w="7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b/>
                <w:bCs/>
                <w:color w:val="000000"/>
                <w:sz w:val="20"/>
                <w:szCs w:val="20"/>
                <w:lang w:val="en-US" w:eastAsia="zh-CN"/>
              </w:rPr>
              <w:t>住房保障支出</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222.37</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62.37</w:t>
            </w: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62.37</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160.00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7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b/>
                <w:bCs/>
                <w:color w:val="000000"/>
                <w:sz w:val="20"/>
                <w:szCs w:val="20"/>
                <w:lang w:val="en-US" w:eastAsia="zh-CN"/>
              </w:rPr>
              <w:t>02</w:t>
            </w: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b/>
                <w:bCs/>
                <w:color w:val="000000"/>
                <w:sz w:val="20"/>
                <w:szCs w:val="20"/>
                <w:lang w:val="en-US" w:eastAsia="zh-CN"/>
              </w:rPr>
              <w:t>住房改革支出</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222.37</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62.37</w:t>
            </w: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62.37</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b/>
                <w:bCs/>
                <w:color w:val="auto"/>
                <w:sz w:val="20"/>
                <w:szCs w:val="20"/>
                <w:highlight w:val="none"/>
                <w:lang w:val="en-US" w:eastAsia="zh-CN"/>
              </w:rPr>
              <w:t>160.00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7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02</w:t>
            </w:r>
          </w:p>
        </w:tc>
        <w:tc>
          <w:tcPr>
            <w:tcW w:w="70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val="en-US" w:eastAsia="zh-CN"/>
              </w:rPr>
              <w:t>01</w:t>
            </w:r>
          </w:p>
        </w:tc>
        <w:tc>
          <w:tcPr>
            <w:tcW w:w="14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s="Times New Roman"/>
                <w:color w:val="000000"/>
                <w:sz w:val="20"/>
                <w:szCs w:val="20"/>
                <w:lang w:eastAsia="zh-CN"/>
              </w:rPr>
              <w:t>住房公积金</w:t>
            </w:r>
          </w:p>
        </w:tc>
        <w:tc>
          <w:tcPr>
            <w:tcW w:w="98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eastAsia="zh-CN"/>
              </w:rPr>
              <w:t>2</w:t>
            </w:r>
            <w:r>
              <w:rPr>
                <w:rFonts w:hint="eastAsia" w:ascii="仿宋_GB2312" w:eastAsia="仿宋_GB2312"/>
                <w:color w:val="auto"/>
                <w:sz w:val="20"/>
                <w:szCs w:val="20"/>
                <w:highlight w:val="none"/>
                <w:lang w:val="en-US" w:eastAsia="zh-CN"/>
              </w:rPr>
              <w:t>22.37</w:t>
            </w:r>
          </w:p>
        </w:tc>
        <w:tc>
          <w:tcPr>
            <w:tcW w:w="109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62.37</w:t>
            </w:r>
          </w:p>
        </w:tc>
        <w:tc>
          <w:tcPr>
            <w:tcW w:w="122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62.37</w:t>
            </w:r>
          </w:p>
        </w:tc>
        <w:tc>
          <w:tcPr>
            <w:tcW w:w="8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160.00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80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4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98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1493.5</w:t>
            </w:r>
            <w:r>
              <w:rPr>
                <w:rFonts w:hint="eastAsia" w:ascii="仿宋_GB2312" w:eastAsia="仿宋_GB2312"/>
                <w:b/>
                <w:bCs/>
                <w:color w:val="auto"/>
                <w:sz w:val="20"/>
                <w:szCs w:val="20"/>
                <w:highlight w:val="none"/>
              </w:rPr>
              <w:t>　</w:t>
            </w:r>
          </w:p>
        </w:tc>
        <w:tc>
          <w:tcPr>
            <w:tcW w:w="109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1071.14</w:t>
            </w:r>
            <w:r>
              <w:rPr>
                <w:rFonts w:hint="eastAsia" w:ascii="仿宋_GB2312" w:eastAsia="仿宋_GB2312"/>
                <w:b/>
                <w:bCs/>
                <w:color w:val="auto"/>
                <w:sz w:val="20"/>
                <w:szCs w:val="20"/>
                <w:highlight w:val="none"/>
              </w:rPr>
              <w:t>　</w:t>
            </w:r>
          </w:p>
        </w:tc>
        <w:tc>
          <w:tcPr>
            <w:tcW w:w="12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1071.14</w:t>
            </w:r>
            <w:r>
              <w:rPr>
                <w:rFonts w:hint="eastAsia" w:ascii="仿宋_GB2312" w:eastAsia="仿宋_GB2312"/>
                <w:b/>
                <w:bCs/>
                <w:color w:val="auto"/>
                <w:sz w:val="20"/>
                <w:szCs w:val="20"/>
                <w:highlight w:val="none"/>
              </w:rPr>
              <w:t>　</w:t>
            </w:r>
          </w:p>
        </w:tc>
        <w:tc>
          <w:tcPr>
            <w:tcW w:w="8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p>
        </w:tc>
        <w:tc>
          <w:tcPr>
            <w:tcW w:w="5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1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5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c>
          <w:tcPr>
            <w:tcW w:w="81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420</w:t>
            </w:r>
          </w:p>
        </w:tc>
        <w:tc>
          <w:tcPr>
            <w:tcW w:w="791"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2.36</w:t>
            </w:r>
          </w:p>
        </w:tc>
        <w:tc>
          <w:tcPr>
            <w:tcW w:w="10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r>
    </w:tbl>
    <w:p>
      <w:pPr>
        <w:jc w:val="both"/>
        <w:rPr>
          <w:rFonts w:hint="eastAsia" w:ascii="仿宋_GB2312" w:eastAsia="仿宋_GB2312"/>
          <w:color w:val="auto"/>
          <w:sz w:val="20"/>
          <w:szCs w:val="20"/>
          <w:highlight w:val="none"/>
          <w:lang w:val="en-US" w:eastAsia="zh-CN"/>
        </w:rPr>
      </w:pPr>
    </w:p>
    <w:p>
      <w:pPr>
        <w:jc w:val="both"/>
        <w:rPr>
          <w:rFonts w:hint="eastAsia" w:ascii="仿宋_GB2312" w:eastAsia="仿宋_GB2312"/>
          <w:color w:val="auto"/>
          <w:sz w:val="20"/>
          <w:szCs w:val="20"/>
          <w:highlight w:val="none"/>
          <w:lang w:val="en-US" w:eastAsia="zh-CN"/>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单位：万元</w:t>
      </w:r>
    </w:p>
    <w:tbl>
      <w:tblPr>
        <w:tblStyle w:val="8"/>
        <w:tblW w:w="9479" w:type="dxa"/>
        <w:tblInd w:w="-240" w:type="dxa"/>
        <w:tblLayout w:type="fixed"/>
        <w:tblCellMar>
          <w:top w:w="0" w:type="dxa"/>
          <w:left w:w="108" w:type="dxa"/>
          <w:bottom w:w="0" w:type="dxa"/>
          <w:right w:w="108" w:type="dxa"/>
        </w:tblCellMar>
      </w:tblPr>
      <w:tblGrid>
        <w:gridCol w:w="594"/>
        <w:gridCol w:w="480"/>
        <w:gridCol w:w="493"/>
        <w:gridCol w:w="2330"/>
        <w:gridCol w:w="1844"/>
        <w:gridCol w:w="1845"/>
        <w:gridCol w:w="1893"/>
      </w:tblGrid>
      <w:tr>
        <w:tblPrEx>
          <w:tblCellMar>
            <w:top w:w="0" w:type="dxa"/>
            <w:left w:w="108" w:type="dxa"/>
            <w:bottom w:w="0" w:type="dxa"/>
            <w:right w:w="108" w:type="dxa"/>
          </w:tblCellMar>
        </w:tblPrEx>
        <w:trPr>
          <w:trHeight w:val="328" w:hRule="atLeast"/>
        </w:trPr>
        <w:tc>
          <w:tcPr>
            <w:tcW w:w="389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56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30" w:type="dxa"/>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9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30" w:type="dxa"/>
            <w:tcBorders>
              <w:top w:val="nil"/>
              <w:left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tcBorders>
              <w:top w:val="nil"/>
              <w:left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tcBorders>
              <w:top w:val="nil"/>
              <w:left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tcBorders>
              <w:top w:val="nil"/>
              <w:left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555" w:hRule="atLeast"/>
        </w:trPr>
        <w:tc>
          <w:tcPr>
            <w:tcW w:w="594" w:type="dxa"/>
            <w:tcBorders>
              <w:top w:val="nil"/>
              <w:left w:val="single" w:color="auto" w:sz="4" w:space="0"/>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201</w:t>
            </w:r>
          </w:p>
        </w:tc>
        <w:tc>
          <w:tcPr>
            <w:tcW w:w="480"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p>
        </w:tc>
        <w:tc>
          <w:tcPr>
            <w:tcW w:w="493"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top"/>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一般公共服务支出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894.05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645.69</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248.36</w:t>
            </w: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top"/>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201</w:t>
            </w:r>
          </w:p>
        </w:tc>
        <w:tc>
          <w:tcPr>
            <w:tcW w:w="480" w:type="dxa"/>
            <w:tcBorders>
              <w:top w:val="nil"/>
              <w:left w:val="nil"/>
              <w:bottom w:val="single" w:color="auto" w:sz="4" w:space="0"/>
              <w:right w:val="single" w:color="auto" w:sz="4" w:space="0"/>
            </w:tcBorders>
            <w:noWrap w:val="0"/>
            <w:vAlign w:val="top"/>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03</w:t>
            </w:r>
          </w:p>
        </w:tc>
        <w:tc>
          <w:tcPr>
            <w:tcW w:w="493"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政府办公厅（室）及相关机构事务</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894.05</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645.69</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248.36</w:t>
            </w: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top"/>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201</w:t>
            </w:r>
          </w:p>
        </w:tc>
        <w:tc>
          <w:tcPr>
            <w:tcW w:w="480" w:type="dxa"/>
            <w:tcBorders>
              <w:top w:val="nil"/>
              <w:left w:val="nil"/>
              <w:bottom w:val="single" w:color="auto" w:sz="4" w:space="0"/>
              <w:right w:val="single" w:color="auto" w:sz="4" w:space="0"/>
            </w:tcBorders>
            <w:noWrap w:val="0"/>
            <w:vAlign w:val="top"/>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03</w:t>
            </w:r>
          </w:p>
        </w:tc>
        <w:tc>
          <w:tcPr>
            <w:tcW w:w="493"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w:t>
            </w:r>
          </w:p>
        </w:tc>
        <w:tc>
          <w:tcPr>
            <w:tcW w:w="2330" w:type="dxa"/>
            <w:tcBorders>
              <w:top w:val="nil"/>
              <w:left w:val="nil"/>
              <w:bottom w:val="single" w:color="auto" w:sz="4" w:space="0"/>
              <w:right w:val="single" w:color="auto" w:sz="4" w:space="0"/>
            </w:tcBorders>
            <w:noWrap w:val="0"/>
            <w:vAlign w:val="top"/>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行政运行</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441.81</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441.81</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201</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03</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02</w:t>
            </w:r>
          </w:p>
        </w:tc>
        <w:tc>
          <w:tcPr>
            <w:tcW w:w="233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一般行政管理事务</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248.36</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248.36</w:t>
            </w: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top"/>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201</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03</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50</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事业运行</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203.88</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203.88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社会保障和就业支出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255.00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255.00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05</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行政事业单位养老支出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255.00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255.00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行政单位离退休</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9.53</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9.53</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215.47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215.47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06</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30.00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30.00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卫生健康支出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122.08</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122.08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11</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行政事业单位医疗</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122.08</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122.08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11</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行政单位医疗</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79.32</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79.32</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宋体" w:cs="Times New Roman"/>
                <w:color w:val="000000"/>
                <w:sz w:val="20"/>
                <w:szCs w:val="20"/>
                <w:lang w:val="en-US" w:eastAsia="zh-CN"/>
              </w:rPr>
            </w:pPr>
            <w:r>
              <w:rPr>
                <w:rFonts w:hint="eastAsia"/>
                <w:lang w:val="en-US" w:eastAsia="zh-CN"/>
              </w:rPr>
              <w:t>11</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02</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事业单位医疗</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13.42</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13.42</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11</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03</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公务员医疗补助</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28.87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28.87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11</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99</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其他行政事业单位医疗支出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0.47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0.47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221</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住房保障支出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222.37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222.37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221</w:t>
            </w:r>
          </w:p>
        </w:tc>
        <w:tc>
          <w:tcPr>
            <w:tcW w:w="4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02</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住房改革支出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222.37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222.37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221</w:t>
            </w:r>
          </w:p>
        </w:tc>
        <w:tc>
          <w:tcPr>
            <w:tcW w:w="4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02</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w:t>
            </w: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住房公积金</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222.37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222.37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4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23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合  计</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1493.50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1245.14</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248.36</w:t>
            </w:r>
          </w:p>
        </w:tc>
      </w:tr>
    </w:tbl>
    <w:p>
      <w:pPr>
        <w:jc w:val="center"/>
        <w:rPr>
          <w:rFonts w:hint="eastAsia" w:ascii="仿宋_GB2312" w:eastAsia="仿宋_GB2312"/>
          <w:color w:val="auto"/>
          <w:sz w:val="20"/>
          <w:szCs w:val="20"/>
          <w:highlight w:val="none"/>
          <w:lang w:val="en-US" w:eastAsia="zh-CN"/>
        </w:rPr>
      </w:pPr>
    </w:p>
    <w:p>
      <w:pPr>
        <w:jc w:val="center"/>
        <w:rPr>
          <w:rFonts w:hint="eastAsia" w:ascii="仿宋_GB2312" w:eastAsia="仿宋_GB2312"/>
          <w:color w:val="auto"/>
          <w:sz w:val="20"/>
          <w:szCs w:val="20"/>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w:t>
      </w:r>
    </w:p>
    <w:tbl>
      <w:tblPr>
        <w:tblStyle w:val="8"/>
        <w:tblW w:w="9139" w:type="dxa"/>
        <w:tblInd w:w="-240" w:type="dxa"/>
        <w:tblLayout w:type="fixed"/>
        <w:tblCellMar>
          <w:top w:w="0" w:type="dxa"/>
          <w:left w:w="108" w:type="dxa"/>
          <w:bottom w:w="0" w:type="dxa"/>
          <w:right w:w="108" w:type="dxa"/>
        </w:tblCellMar>
      </w:tblPr>
      <w:tblGrid>
        <w:gridCol w:w="1936"/>
        <w:gridCol w:w="1023"/>
        <w:gridCol w:w="2471"/>
        <w:gridCol w:w="994"/>
        <w:gridCol w:w="1050"/>
        <w:gridCol w:w="841"/>
        <w:gridCol w:w="824"/>
      </w:tblGrid>
      <w:tr>
        <w:tblPrEx>
          <w:tblCellMar>
            <w:top w:w="0" w:type="dxa"/>
            <w:left w:w="108" w:type="dxa"/>
            <w:bottom w:w="0" w:type="dxa"/>
            <w:right w:w="108" w:type="dxa"/>
          </w:tblCellMar>
        </w:tblPrEx>
        <w:trPr>
          <w:trHeight w:val="285" w:hRule="atLeast"/>
        </w:trPr>
        <w:tc>
          <w:tcPr>
            <w:tcW w:w="295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180"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2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7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9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5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8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82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Hans"/>
              </w:rPr>
              <w:t>一、</w:t>
            </w:r>
            <w:r>
              <w:rPr>
                <w:rFonts w:hint="eastAsia" w:ascii="仿宋_GB2312" w:eastAsia="仿宋_GB2312"/>
                <w:b/>
                <w:bCs/>
                <w:color w:val="auto"/>
                <w:sz w:val="20"/>
                <w:szCs w:val="20"/>
                <w:highlight w:val="none"/>
                <w:lang w:val="en-US" w:eastAsia="zh-CN"/>
              </w:rPr>
              <w:t>财政拨款（补助）</w:t>
            </w:r>
          </w:p>
        </w:tc>
        <w:tc>
          <w:tcPr>
            <w:tcW w:w="1023"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1071.14</w:t>
            </w: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 一般公共服务支出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866.69</w:t>
            </w: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866.69</w:t>
            </w: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一般公共预算</w:t>
            </w:r>
          </w:p>
        </w:tc>
        <w:tc>
          <w:tcPr>
            <w:tcW w:w="102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1071.14</w:t>
            </w: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202 外交支出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w:t>
            </w:r>
            <w:r>
              <w:rPr>
                <w:rFonts w:hint="default"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lang w:val="en-US" w:eastAsia="zh-CN"/>
              </w:rPr>
              <w:t>政府性基金预算</w:t>
            </w:r>
          </w:p>
        </w:tc>
        <w:tc>
          <w:tcPr>
            <w:tcW w:w="102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203 国防支出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w:t>
            </w:r>
            <w:r>
              <w:rPr>
                <w:rFonts w:hint="default"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lang w:val="en-US" w:eastAsia="zh-CN"/>
              </w:rPr>
              <w:t>国有资本经营预算</w:t>
            </w: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204 公共安全支出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 教育支出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206 科学技术支出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47"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207 文化旅游体育与传媒支出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 社会保障和就业支出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85.00</w:t>
            </w: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85.00</w:t>
            </w: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 社会保险基金支出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 卫生健康支出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57.08</w:t>
            </w: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57.08</w:t>
            </w: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 节能环保支出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212 城乡社区支出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 农林水支出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 交通运输支出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 资源勘探</w:t>
            </w:r>
            <w:r>
              <w:rPr>
                <w:rFonts w:hint="eastAsia" w:ascii="仿宋_GB2312" w:eastAsia="仿宋_GB2312"/>
                <w:color w:val="auto"/>
                <w:sz w:val="20"/>
                <w:szCs w:val="20"/>
                <w:highlight w:val="none"/>
                <w:lang w:val="en-US" w:eastAsia="zh-Hans"/>
              </w:rPr>
              <w:t>工业</w:t>
            </w:r>
            <w:r>
              <w:rPr>
                <w:rFonts w:hint="eastAsia" w:ascii="仿宋_GB2312" w:eastAsia="仿宋_GB2312"/>
                <w:color w:val="auto"/>
                <w:sz w:val="20"/>
                <w:szCs w:val="20"/>
                <w:highlight w:val="none"/>
                <w:lang w:val="en-US" w:eastAsia="zh-CN"/>
              </w:rPr>
              <w:t>信息等支出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216 商业服务业等支出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217 金融支出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219 援助其他地区支出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220 自然资源海洋气象等支出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 住房保障支出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62.37</w:t>
            </w: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62.37</w:t>
            </w: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222 粮油物资储备支出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223 国有资本经营预算支出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 灾害防治及应急管理支出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227 预备费</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229 其他支出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230 转移性支出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232 债务付息支出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2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233 债务发行费用支出</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23" w:type="dxa"/>
            <w:tcBorders>
              <w:top w:val="nil"/>
              <w:left w:val="nil"/>
              <w:bottom w:val="single" w:color="auto" w:sz="4" w:space="0"/>
              <w:right w:val="single" w:color="auto" w:sz="4" w:space="0"/>
            </w:tcBorders>
            <w:noWrap w:val="0"/>
            <w:vAlign w:val="bottom"/>
          </w:tcPr>
          <w:p>
            <w:pPr>
              <w:jc w:val="center"/>
              <w:rPr>
                <w:rFonts w:hint="eastAsia" w:ascii="仿宋_GB2312" w:eastAsia="仿宋_GB2312"/>
                <w:color w:val="auto"/>
                <w:sz w:val="20"/>
                <w:szCs w:val="20"/>
                <w:highlight w:val="none"/>
                <w:lang w:val="en-US" w:eastAsia="zh-CN"/>
              </w:rPr>
            </w:pP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收  入  总  计</w:t>
            </w:r>
          </w:p>
        </w:tc>
        <w:tc>
          <w:tcPr>
            <w:tcW w:w="1023"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1071.14</w:t>
            </w:r>
          </w:p>
        </w:tc>
        <w:tc>
          <w:tcPr>
            <w:tcW w:w="2471"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支  出  总  计</w:t>
            </w:r>
          </w:p>
        </w:tc>
        <w:tc>
          <w:tcPr>
            <w:tcW w:w="994"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1071.14</w:t>
            </w: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1071.14</w:t>
            </w:r>
          </w:p>
        </w:tc>
        <w:tc>
          <w:tcPr>
            <w:tcW w:w="166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lang w:val="en-US" w:eastAsia="zh-CN"/>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592"/>
        <w:gridCol w:w="450"/>
        <w:gridCol w:w="435"/>
        <w:gridCol w:w="2510"/>
        <w:gridCol w:w="660"/>
        <w:gridCol w:w="1024"/>
        <w:gridCol w:w="216"/>
        <w:gridCol w:w="1752"/>
        <w:gridCol w:w="1575"/>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96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7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9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3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96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7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201</w:t>
            </w:r>
          </w:p>
        </w:tc>
        <w:tc>
          <w:tcPr>
            <w:tcW w:w="450"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p>
        </w:tc>
        <w:tc>
          <w:tcPr>
            <w:tcW w:w="435"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top"/>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一般公共服务支出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866.69</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620.69</w:t>
            </w:r>
          </w:p>
        </w:tc>
        <w:tc>
          <w:tcPr>
            <w:tcW w:w="157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color w:val="000000"/>
                <w:sz w:val="20"/>
                <w:szCs w:val="20"/>
                <w:lang w:val="en-US" w:eastAsia="zh-CN"/>
              </w:rPr>
              <w:t>246.00</w:t>
            </w: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top"/>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201</w:t>
            </w:r>
          </w:p>
        </w:tc>
        <w:tc>
          <w:tcPr>
            <w:tcW w:w="450" w:type="dxa"/>
            <w:tcBorders>
              <w:top w:val="nil"/>
              <w:left w:val="nil"/>
              <w:bottom w:val="single" w:color="auto" w:sz="4" w:space="0"/>
              <w:right w:val="single" w:color="auto" w:sz="4" w:space="0"/>
            </w:tcBorders>
            <w:noWrap w:val="0"/>
            <w:vAlign w:val="top"/>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03</w:t>
            </w:r>
          </w:p>
        </w:tc>
        <w:tc>
          <w:tcPr>
            <w:tcW w:w="435"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政府办公厅（室）及相关机构事务</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866.69</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620.69</w:t>
            </w:r>
          </w:p>
        </w:tc>
        <w:tc>
          <w:tcPr>
            <w:tcW w:w="157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color w:val="000000"/>
                <w:sz w:val="20"/>
                <w:szCs w:val="20"/>
                <w:lang w:val="en-US" w:eastAsia="zh-CN"/>
              </w:rPr>
              <w:t>246.00</w:t>
            </w: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top"/>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201</w:t>
            </w:r>
          </w:p>
        </w:tc>
        <w:tc>
          <w:tcPr>
            <w:tcW w:w="450" w:type="dxa"/>
            <w:tcBorders>
              <w:top w:val="nil"/>
              <w:left w:val="nil"/>
              <w:bottom w:val="single" w:color="auto" w:sz="4" w:space="0"/>
              <w:right w:val="single" w:color="auto" w:sz="4" w:space="0"/>
            </w:tcBorders>
            <w:noWrap w:val="0"/>
            <w:vAlign w:val="top"/>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03</w:t>
            </w:r>
          </w:p>
        </w:tc>
        <w:tc>
          <w:tcPr>
            <w:tcW w:w="435" w:type="dxa"/>
            <w:tcBorders>
              <w:top w:val="nil"/>
              <w:left w:val="nil"/>
              <w:bottom w:val="single" w:color="auto" w:sz="4" w:space="0"/>
              <w:right w:val="single" w:color="auto" w:sz="4" w:space="0"/>
            </w:tcBorders>
            <w:noWrap w:val="0"/>
            <w:vAlign w:val="top"/>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w:t>
            </w:r>
          </w:p>
        </w:tc>
        <w:tc>
          <w:tcPr>
            <w:tcW w:w="2510" w:type="dxa"/>
            <w:tcBorders>
              <w:top w:val="nil"/>
              <w:left w:val="nil"/>
              <w:bottom w:val="single" w:color="auto" w:sz="4" w:space="0"/>
              <w:right w:val="single" w:color="auto" w:sz="4" w:space="0"/>
            </w:tcBorders>
            <w:noWrap w:val="0"/>
            <w:vAlign w:val="top"/>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行政运行</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431.81</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431.81</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02</w:t>
            </w:r>
          </w:p>
        </w:tc>
        <w:tc>
          <w:tcPr>
            <w:tcW w:w="251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一般行政管理事务</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246.00</w:t>
            </w:r>
          </w:p>
        </w:tc>
        <w:tc>
          <w:tcPr>
            <w:tcW w:w="1968"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c>
          <w:tcPr>
            <w:tcW w:w="157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246.00</w:t>
            </w: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top"/>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50</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事业运行</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188.88</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188.88</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85.00</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85.00</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val="0"/>
                <w:bCs w:val="0"/>
                <w:color w:val="000000"/>
                <w:sz w:val="20"/>
                <w:szCs w:val="20"/>
                <w:lang w:val="en-US" w:eastAsia="zh-CN"/>
              </w:rPr>
            </w:pPr>
          </w:p>
        </w:tc>
      </w:tr>
      <w:tr>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85.00</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85.00</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val="0"/>
                <w:bCs w:val="0"/>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行政单位离退休</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9.53</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9.53</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05</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75.47</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75.47</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57.08</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57.08</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57.08</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57.08</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行政单位医疗</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24.32</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24.32</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宋体" w:cs="Times New Roman"/>
                <w:color w:val="000000"/>
                <w:sz w:val="20"/>
                <w:szCs w:val="20"/>
                <w:lang w:val="en-US" w:eastAsia="zh-CN"/>
              </w:rPr>
            </w:pPr>
            <w:r>
              <w:rPr>
                <w:rFonts w:hint="eastAsia"/>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02</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事业单位医疗</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13.42</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13.42</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03</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公务员医疗补助</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18.87</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18.87</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99</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0.47</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0.47</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62.37</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62.37</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02</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62.37</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62.37</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b/>
                <w:bCs/>
                <w:color w:val="000000"/>
                <w:sz w:val="20"/>
                <w:szCs w:val="20"/>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02　</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01　</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62.37</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sz w:val="20"/>
                <w:szCs w:val="20"/>
                <w:lang w:val="en-US" w:eastAsia="zh-CN"/>
              </w:rPr>
            </w:pPr>
            <w:r>
              <w:rPr>
                <w:rFonts w:hint="eastAsia" w:ascii="仿宋_GB2312" w:eastAsia="仿宋_GB2312" w:cs="Times New Roman"/>
                <w:color w:val="000000"/>
                <w:sz w:val="20"/>
                <w:szCs w:val="20"/>
                <w:lang w:val="en-US" w:eastAsia="zh-CN"/>
              </w:rPr>
              <w:t>62.37</w:t>
            </w:r>
          </w:p>
        </w:tc>
        <w:tc>
          <w:tcPr>
            <w:tcW w:w="15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sz w:val="20"/>
                <w:szCs w:val="20"/>
                <w:lang w:val="en-US" w:eastAsia="zh-CN"/>
              </w:rPr>
            </w:pPr>
          </w:p>
        </w:tc>
      </w:tr>
      <w:tr>
        <w:tblPrEx>
          <w:tblCellMar>
            <w:top w:w="0" w:type="dxa"/>
            <w:left w:w="108" w:type="dxa"/>
            <w:bottom w:w="0" w:type="dxa"/>
            <w:right w:w="108" w:type="dxa"/>
          </w:tblCellMar>
        </w:tblPrEx>
        <w:trPr>
          <w:trHeight w:val="450" w:hRule="atLeast"/>
        </w:trPr>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合  计</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1071.14</w:t>
            </w:r>
          </w:p>
        </w:tc>
        <w:tc>
          <w:tcPr>
            <w:tcW w:w="1968"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lang w:val="en-US" w:eastAsia="zh-CN"/>
              </w:rPr>
            </w:pPr>
            <w:r>
              <w:rPr>
                <w:rFonts w:hint="eastAsia" w:ascii="仿宋_GB2312" w:eastAsia="仿宋_GB2312" w:cs="Times New Roman"/>
                <w:b/>
                <w:bCs/>
                <w:color w:val="000000"/>
                <w:sz w:val="20"/>
                <w:szCs w:val="20"/>
                <w:lang w:val="en-US" w:eastAsia="zh-CN"/>
              </w:rPr>
              <w:t>825.14</w:t>
            </w:r>
          </w:p>
        </w:tc>
        <w:tc>
          <w:tcPr>
            <w:tcW w:w="1575"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sz w:val="20"/>
                <w:szCs w:val="20"/>
                <w:highlight w:val="cyan"/>
                <w:lang w:val="en-US" w:eastAsia="zh-CN"/>
              </w:rPr>
            </w:pPr>
            <w:r>
              <w:rPr>
                <w:rFonts w:hint="eastAsia" w:ascii="仿宋_GB2312" w:eastAsia="仿宋_GB2312" w:cs="Times New Roman"/>
                <w:b/>
                <w:bCs/>
                <w:color w:val="000000"/>
                <w:sz w:val="20"/>
                <w:szCs w:val="20"/>
                <w:lang w:val="en-US" w:eastAsia="zh-CN"/>
              </w:rPr>
              <w:t>246.00</w:t>
            </w:r>
          </w:p>
        </w:tc>
      </w:tr>
    </w:tbl>
    <w:p>
      <w:pPr>
        <w:jc w:val="center"/>
        <w:rPr>
          <w:rFonts w:hint="eastAsia" w:ascii="仿宋_GB2312" w:eastAsia="仿宋_GB2312" w:cs="Times New Roman"/>
          <w:color w:val="000000"/>
          <w:sz w:val="20"/>
          <w:szCs w:val="20"/>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b/>
                <w:bCs/>
                <w:color w:val="000000"/>
                <w:kern w:val="2"/>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工资福利支出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717.41</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717.41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01</w:t>
            </w:r>
          </w:p>
        </w:tc>
        <w:tc>
          <w:tcPr>
            <w:tcW w:w="2891"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基本工资</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188.79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188.79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02</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津贴补贴</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137.12</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137.12</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03</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奖金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148.48</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148.48</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07</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绩效工资</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45.37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45.37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08</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75.47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75.47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17"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10</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37.74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37.74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11</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公务员医疗补助缴费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18.87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18.87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17"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12</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其他社会保障缴费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3.20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3.20</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13</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住房公积金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62.37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62.37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302</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b/>
                <w:bCs/>
                <w:color w:val="000000"/>
                <w:kern w:val="2"/>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商品和服务支出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93.44</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b/>
                <w:bCs/>
                <w:color w:val="000000"/>
                <w:kern w:val="2"/>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93.44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302</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01</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办公费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8.22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8.22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302</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05</w:t>
            </w:r>
          </w:p>
        </w:tc>
        <w:tc>
          <w:tcPr>
            <w:tcW w:w="2891" w:type="dxa"/>
            <w:tcBorders>
              <w:top w:val="nil"/>
              <w:left w:val="nil"/>
              <w:bottom w:val="single" w:color="auto" w:sz="4" w:space="0"/>
              <w:right w:val="single" w:color="auto" w:sz="4" w:space="0"/>
            </w:tcBorders>
            <w:noWrap w:val="0"/>
            <w:vAlign w:val="top"/>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0.20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302</w:t>
            </w: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06</w:t>
            </w:r>
          </w:p>
        </w:tc>
        <w:tc>
          <w:tcPr>
            <w:tcW w:w="2891" w:type="dxa"/>
            <w:tcBorders>
              <w:top w:val="nil"/>
              <w:left w:val="nil"/>
              <w:bottom w:val="single" w:color="auto" w:sz="4" w:space="0"/>
              <w:right w:val="single" w:color="auto" w:sz="4" w:space="0"/>
            </w:tcBorders>
            <w:noWrap w:val="0"/>
            <w:vAlign w:val="top"/>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电费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0.20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302</w:t>
            </w: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26</w:t>
            </w:r>
          </w:p>
        </w:tc>
        <w:tc>
          <w:tcPr>
            <w:tcW w:w="2891" w:type="dxa"/>
            <w:tcBorders>
              <w:top w:val="nil"/>
              <w:left w:val="nil"/>
              <w:bottom w:val="single" w:color="auto" w:sz="4" w:space="0"/>
              <w:right w:val="single" w:color="auto" w:sz="4" w:space="0"/>
            </w:tcBorders>
            <w:noWrap w:val="0"/>
            <w:vAlign w:val="top"/>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劳务费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54.10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54.10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302</w:t>
            </w: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28</w:t>
            </w:r>
          </w:p>
        </w:tc>
        <w:tc>
          <w:tcPr>
            <w:tcW w:w="2891" w:type="dxa"/>
            <w:tcBorders>
              <w:top w:val="nil"/>
              <w:left w:val="nil"/>
              <w:bottom w:val="single" w:color="auto" w:sz="4" w:space="0"/>
              <w:right w:val="single" w:color="auto" w:sz="4" w:space="0"/>
            </w:tcBorders>
            <w:noWrap w:val="0"/>
            <w:vAlign w:val="top"/>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工会经费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9.12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9.12</w:t>
            </w:r>
          </w:p>
        </w:tc>
      </w:tr>
      <w:tr>
        <w:tblPrEx>
          <w:tblCellMar>
            <w:top w:w="0" w:type="dxa"/>
            <w:left w:w="108" w:type="dxa"/>
            <w:bottom w:w="0" w:type="dxa"/>
            <w:right w:w="108" w:type="dxa"/>
          </w:tblCellMar>
        </w:tblPrEx>
        <w:trPr>
          <w:trHeight w:val="447"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302</w:t>
            </w: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31</w:t>
            </w:r>
          </w:p>
        </w:tc>
        <w:tc>
          <w:tcPr>
            <w:tcW w:w="2891" w:type="dxa"/>
            <w:tcBorders>
              <w:top w:val="nil"/>
              <w:left w:val="nil"/>
              <w:bottom w:val="single" w:color="auto" w:sz="4" w:space="0"/>
              <w:right w:val="single" w:color="auto" w:sz="4" w:space="0"/>
            </w:tcBorders>
            <w:noWrap w:val="0"/>
            <w:vAlign w:val="top"/>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公务用车运行维护费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21.60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303</w:t>
            </w: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b/>
                <w:bCs/>
                <w:color w:val="000000"/>
                <w:kern w:val="2"/>
                <w:sz w:val="20"/>
                <w:szCs w:val="20"/>
                <w:lang w:val="en-US" w:eastAsia="zh-CN" w:bidi="ar-SA"/>
              </w:rPr>
            </w:pPr>
          </w:p>
        </w:tc>
        <w:tc>
          <w:tcPr>
            <w:tcW w:w="2891" w:type="dxa"/>
            <w:tcBorders>
              <w:top w:val="nil"/>
              <w:left w:val="nil"/>
              <w:bottom w:val="single" w:color="auto" w:sz="4" w:space="0"/>
              <w:right w:val="single" w:color="auto" w:sz="4" w:space="0"/>
            </w:tcBorders>
            <w:noWrap w:val="0"/>
            <w:vAlign w:val="top"/>
          </w:tcPr>
          <w:p>
            <w:pPr>
              <w:jc w:val="both"/>
              <w:rPr>
                <w:rFonts w:hint="eastAsia"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对个人和家庭补助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14.29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14.29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303</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02</w:t>
            </w:r>
          </w:p>
        </w:tc>
        <w:tc>
          <w:tcPr>
            <w:tcW w:w="2891" w:type="dxa"/>
            <w:tcBorders>
              <w:top w:val="nil"/>
              <w:left w:val="nil"/>
              <w:bottom w:val="single" w:color="auto" w:sz="4" w:space="0"/>
              <w:right w:val="single" w:color="auto" w:sz="4" w:space="0"/>
            </w:tcBorders>
            <w:noWrap w:val="0"/>
            <w:vAlign w:val="top"/>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退休费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9.53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9.53</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303</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05</w:t>
            </w:r>
          </w:p>
        </w:tc>
        <w:tc>
          <w:tcPr>
            <w:tcW w:w="2891" w:type="dxa"/>
            <w:tcBorders>
              <w:top w:val="nil"/>
              <w:left w:val="nil"/>
              <w:bottom w:val="single" w:color="auto" w:sz="4" w:space="0"/>
              <w:right w:val="single" w:color="auto" w:sz="4" w:space="0"/>
            </w:tcBorders>
            <w:noWrap w:val="0"/>
            <w:vAlign w:val="top"/>
          </w:tcPr>
          <w:p>
            <w:pPr>
              <w:jc w:val="both"/>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生活补助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3.66</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3.66</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303</w:t>
            </w: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09</w:t>
            </w:r>
          </w:p>
        </w:tc>
        <w:tc>
          <w:tcPr>
            <w:tcW w:w="2891" w:type="dxa"/>
            <w:tcBorders>
              <w:top w:val="nil"/>
              <w:left w:val="nil"/>
              <w:bottom w:val="single" w:color="auto" w:sz="4" w:space="0"/>
              <w:right w:val="single" w:color="auto" w:sz="4" w:space="0"/>
            </w:tcBorders>
            <w:noWrap w:val="0"/>
            <w:vAlign w:val="top"/>
          </w:tcPr>
          <w:p>
            <w:pPr>
              <w:jc w:val="both"/>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奖励金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1.10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1.10</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s="Times New Roman"/>
                <w:b/>
                <w:bCs/>
                <w:color w:val="000000"/>
                <w:kern w:val="2"/>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pPr>
              <w:jc w:val="both"/>
              <w:rPr>
                <w:rFonts w:hint="default" w:ascii="仿宋_GB2312" w:eastAsia="仿宋_GB2312" w:cs="Times New Roman"/>
                <w:b/>
                <w:bCs/>
                <w:color w:val="000000"/>
                <w:kern w:val="2"/>
                <w:sz w:val="20"/>
                <w:szCs w:val="20"/>
                <w:lang w:val="en-US" w:eastAsia="zh-CN" w:bidi="ar-SA"/>
              </w:rPr>
            </w:pPr>
          </w:p>
        </w:tc>
        <w:tc>
          <w:tcPr>
            <w:tcW w:w="2891" w:type="dxa"/>
            <w:tcBorders>
              <w:top w:val="nil"/>
              <w:left w:val="nil"/>
              <w:bottom w:val="single" w:color="auto" w:sz="4" w:space="0"/>
              <w:right w:val="single" w:color="auto" w:sz="4" w:space="0"/>
            </w:tcBorders>
            <w:noWrap w:val="0"/>
            <w:vAlign w:val="top"/>
          </w:tcPr>
          <w:p>
            <w:pPr>
              <w:jc w:val="both"/>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合  计</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825.14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731.70</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93.44</w:t>
            </w:r>
          </w:p>
        </w:tc>
      </w:tr>
      <w:tr>
        <w:tblPrEx>
          <w:tblCellMar>
            <w:top w:w="0" w:type="dxa"/>
            <w:left w:w="108" w:type="dxa"/>
            <w:bottom w:w="0" w:type="dxa"/>
            <w:right w:w="108" w:type="dxa"/>
          </w:tblCellMar>
        </w:tblPrEx>
        <w:trPr>
          <w:trHeight w:val="402" w:hRule="atLeast"/>
        </w:trPr>
        <w:tc>
          <w:tcPr>
            <w:tcW w:w="757" w:type="dxa"/>
            <w:vAlign w:val="center"/>
          </w:tcPr>
          <w:p>
            <w:pPr>
              <w:widowControl/>
              <w:jc w:val="center"/>
              <w:rPr>
                <w:rFonts w:hint="default" w:ascii="宋体" w:hAnsi="宋体" w:eastAsia="宋体" w:cs="宋体"/>
                <w:i w:val="0"/>
                <w:color w:val="auto"/>
                <w:kern w:val="2"/>
                <w:sz w:val="18"/>
                <w:szCs w:val="18"/>
                <w:u w:val="none"/>
                <w:lang w:val="en-US" w:eastAsia="zh-CN" w:bidi="ar-SA"/>
              </w:rPr>
            </w:pPr>
          </w:p>
        </w:tc>
        <w:tc>
          <w:tcPr>
            <w:tcW w:w="577" w:type="dxa"/>
            <w:vAlign w:val="center"/>
          </w:tcPr>
          <w:p>
            <w:pPr>
              <w:widowControl/>
              <w:jc w:val="center"/>
              <w:rPr>
                <w:rFonts w:hint="default" w:ascii="宋体" w:hAnsi="宋体" w:eastAsia="宋体" w:cs="宋体"/>
                <w:i w:val="0"/>
                <w:color w:val="auto"/>
                <w:kern w:val="2"/>
                <w:sz w:val="18"/>
                <w:szCs w:val="18"/>
                <w:u w:val="none"/>
                <w:lang w:val="en-US" w:eastAsia="zh-CN" w:bidi="ar-SA"/>
              </w:rPr>
            </w:pPr>
          </w:p>
        </w:tc>
        <w:tc>
          <w:tcPr>
            <w:tcW w:w="2891" w:type="dxa"/>
            <w:vAlign w:val="top"/>
          </w:tcPr>
          <w:p>
            <w:pPr>
              <w:widowControl/>
              <w:jc w:val="left"/>
              <w:rPr>
                <w:rFonts w:hint="default" w:ascii="宋体" w:hAnsi="宋体" w:eastAsia="宋体" w:cs="宋体"/>
                <w:b w:val="0"/>
                <w:bCs w:val="0"/>
                <w:i w:val="0"/>
                <w:color w:val="auto"/>
                <w:kern w:val="2"/>
                <w:sz w:val="18"/>
                <w:szCs w:val="18"/>
                <w:u w:val="none"/>
                <w:lang w:val="en-US" w:eastAsia="zh-CN" w:bidi="ar-SA"/>
              </w:rPr>
            </w:pPr>
          </w:p>
        </w:tc>
        <w:tc>
          <w:tcPr>
            <w:tcW w:w="1701" w:type="dxa"/>
            <w:gridSpan w:val="2"/>
          </w:tcPr>
          <w:p>
            <w:pPr>
              <w:widowControl/>
              <w:jc w:val="left"/>
              <w:rPr>
                <w:rFonts w:ascii="宋体" w:hAnsi="宋体" w:cs="宋体"/>
                <w:color w:val="auto"/>
                <w:kern w:val="0"/>
                <w:sz w:val="20"/>
                <w:szCs w:val="20"/>
                <w:highlight w:val="none"/>
              </w:rPr>
            </w:pPr>
          </w:p>
        </w:tc>
        <w:tc>
          <w:tcPr>
            <w:tcW w:w="1701" w:type="dxa"/>
            <w:gridSpan w:val="2"/>
          </w:tcPr>
          <w:p>
            <w:pPr>
              <w:widowControl/>
              <w:jc w:val="left"/>
              <w:rPr>
                <w:rFonts w:ascii="宋体" w:hAnsi="宋体" w:cs="宋体"/>
                <w:color w:val="auto"/>
                <w:kern w:val="0"/>
                <w:sz w:val="20"/>
                <w:szCs w:val="20"/>
                <w:highlight w:val="none"/>
              </w:rPr>
            </w:pPr>
          </w:p>
        </w:tc>
        <w:tc>
          <w:tcPr>
            <w:tcW w:w="1701" w:type="dxa"/>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6" w:type="dxa"/>
        <w:tblInd w:w="-360" w:type="dxa"/>
        <w:tblLayout w:type="fixed"/>
        <w:tblCellMar>
          <w:top w:w="0" w:type="dxa"/>
          <w:left w:w="108" w:type="dxa"/>
          <w:bottom w:w="0" w:type="dxa"/>
          <w:right w:w="108" w:type="dxa"/>
        </w:tblCellMar>
      </w:tblPr>
      <w:tblGrid>
        <w:gridCol w:w="8"/>
        <w:gridCol w:w="577"/>
        <w:gridCol w:w="436"/>
        <w:gridCol w:w="491"/>
        <w:gridCol w:w="1036"/>
        <w:gridCol w:w="6"/>
        <w:gridCol w:w="925"/>
        <w:gridCol w:w="6"/>
        <w:gridCol w:w="836"/>
        <w:gridCol w:w="6"/>
        <w:gridCol w:w="445"/>
        <w:gridCol w:w="6"/>
        <w:gridCol w:w="969"/>
        <w:gridCol w:w="368"/>
        <w:gridCol w:w="393"/>
        <w:gridCol w:w="476"/>
        <w:gridCol w:w="6"/>
        <w:gridCol w:w="924"/>
        <w:gridCol w:w="6"/>
        <w:gridCol w:w="315"/>
        <w:gridCol w:w="6"/>
        <w:gridCol w:w="414"/>
        <w:gridCol w:w="6"/>
        <w:gridCol w:w="414"/>
        <w:gridCol w:w="6"/>
        <w:gridCol w:w="382"/>
        <w:gridCol w:w="77"/>
        <w:gridCol w:w="6"/>
      </w:tblGrid>
      <w:tr>
        <w:tblPrEx>
          <w:tblCellMar>
            <w:top w:w="0" w:type="dxa"/>
            <w:left w:w="108" w:type="dxa"/>
            <w:bottom w:w="0" w:type="dxa"/>
            <w:right w:w="108" w:type="dxa"/>
          </w:tblCellMar>
        </w:tblPrEx>
        <w:trPr>
          <w:gridBefore w:val="1"/>
          <w:gridAfter w:val="2"/>
          <w:wBefore w:w="8" w:type="dxa"/>
          <w:wAfter w:w="83" w:type="dxa"/>
          <w:trHeight w:val="375" w:hRule="atLeast"/>
        </w:trPr>
        <w:tc>
          <w:tcPr>
            <w:tcW w:w="9455" w:type="dxa"/>
            <w:gridSpan w:val="25"/>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2"/>
          <w:wBefore w:w="8" w:type="dxa"/>
          <w:wAfter w:w="83" w:type="dxa"/>
          <w:trHeight w:val="405" w:hRule="atLeast"/>
        </w:trPr>
        <w:tc>
          <w:tcPr>
            <w:tcW w:w="4313" w:type="dxa"/>
            <w:gridSpan w:val="8"/>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w:t>
            </w:r>
          </w:p>
        </w:tc>
        <w:tc>
          <w:tcPr>
            <w:tcW w:w="1426"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7"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10"/>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847" w:hRule="atLeast"/>
        </w:trPr>
        <w:tc>
          <w:tcPr>
            <w:tcW w:w="1512"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36" w:type="dxa"/>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931" w:type="dxa"/>
            <w:gridSpan w:val="2"/>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2" w:type="dxa"/>
            <w:gridSpan w:val="2"/>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51" w:type="dxa"/>
            <w:gridSpan w:val="2"/>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975" w:type="dxa"/>
            <w:gridSpan w:val="2"/>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68" w:type="dxa"/>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93" w:type="dxa"/>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76" w:type="dxa"/>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930" w:type="dxa"/>
            <w:gridSpan w:val="2"/>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321" w:type="dxa"/>
            <w:gridSpan w:val="2"/>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gridSpan w:val="2"/>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gridSpan w:val="2"/>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585" w:type="dxa"/>
            <w:gridSpan w:val="2"/>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类</w:t>
            </w:r>
          </w:p>
        </w:tc>
        <w:tc>
          <w:tcPr>
            <w:tcW w:w="436" w:type="dxa"/>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款</w:t>
            </w:r>
          </w:p>
        </w:tc>
        <w:tc>
          <w:tcPr>
            <w:tcW w:w="491" w:type="dxa"/>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项</w:t>
            </w:r>
          </w:p>
        </w:tc>
        <w:tc>
          <w:tcPr>
            <w:tcW w:w="1042" w:type="dxa"/>
            <w:gridSpan w:val="2"/>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1" w:type="dxa"/>
            <w:gridSpan w:val="2"/>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842" w:type="dxa"/>
            <w:gridSpan w:val="2"/>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51" w:type="dxa"/>
            <w:gridSpan w:val="2"/>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69" w:type="dxa"/>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68" w:type="dxa"/>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93" w:type="dxa"/>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82" w:type="dxa"/>
            <w:gridSpan w:val="2"/>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0" w:type="dxa"/>
            <w:gridSpan w:val="2"/>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21" w:type="dxa"/>
            <w:gridSpan w:val="2"/>
            <w:tcBorders>
              <w:bottom w:val="single" w:color="auto" w:sz="4" w:space="0"/>
            </w:tcBorders>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20" w:type="dxa"/>
            <w:gridSpan w:val="2"/>
            <w:tcBorders>
              <w:bottom w:val="single" w:color="auto" w:sz="4" w:space="0"/>
            </w:tcBorders>
            <w:noWrap w:val="0"/>
            <w:vAlign w:val="top"/>
          </w:tcPr>
          <w:p>
            <w:pPr>
              <w:jc w:val="both"/>
              <w:rPr>
                <w:rFonts w:hint="eastAsia" w:ascii="仿宋_GB2312" w:eastAsia="仿宋_GB2312" w:cs="Times New Roman"/>
                <w:color w:val="000000"/>
                <w:kern w:val="2"/>
                <w:sz w:val="20"/>
                <w:szCs w:val="20"/>
                <w:lang w:val="en-US" w:eastAsia="zh-CN" w:bidi="ar-SA"/>
              </w:rPr>
            </w:pPr>
          </w:p>
        </w:tc>
        <w:tc>
          <w:tcPr>
            <w:tcW w:w="420" w:type="dxa"/>
            <w:gridSpan w:val="2"/>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3"/>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201</w:t>
            </w:r>
          </w:p>
        </w:tc>
        <w:tc>
          <w:tcPr>
            <w:tcW w:w="436" w:type="dxa"/>
            <w:noWrap w:val="0"/>
            <w:vAlign w:val="center"/>
          </w:tcPr>
          <w:p>
            <w:pPr>
              <w:jc w:val="center"/>
              <w:rPr>
                <w:rFonts w:hint="eastAsia" w:ascii="仿宋_GB2312" w:eastAsia="仿宋_GB2312" w:cs="Times New Roman"/>
                <w:color w:val="000000"/>
                <w:kern w:val="2"/>
                <w:sz w:val="20"/>
                <w:szCs w:val="20"/>
                <w:lang w:val="en-US" w:eastAsia="zh-Hans" w:bidi="ar-SA"/>
              </w:rPr>
            </w:pPr>
          </w:p>
        </w:tc>
        <w:tc>
          <w:tcPr>
            <w:tcW w:w="491"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042" w:type="dxa"/>
            <w:gridSpan w:val="2"/>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一般公共服务支出</w:t>
            </w:r>
          </w:p>
        </w:tc>
        <w:tc>
          <w:tcPr>
            <w:tcW w:w="93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84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246.00</w:t>
            </w:r>
          </w:p>
        </w:tc>
        <w:tc>
          <w:tcPr>
            <w:tcW w:w="45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69" w:type="dxa"/>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231.00</w:t>
            </w:r>
          </w:p>
        </w:tc>
        <w:tc>
          <w:tcPr>
            <w:tcW w:w="368"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93"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8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0"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15.00</w:t>
            </w:r>
          </w:p>
        </w:tc>
        <w:tc>
          <w:tcPr>
            <w:tcW w:w="32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jc w:val="both"/>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widowControl/>
              <w:jc w:val="center"/>
              <w:outlineLvl w:val="1"/>
              <w:rPr>
                <w:rFonts w:ascii="仿宋_GB2312" w:hAnsi="宋体" w:eastAsia="仿宋_GB2312"/>
                <w:b/>
                <w:bCs/>
                <w:color w:val="auto"/>
                <w:kern w:val="0"/>
                <w:sz w:val="32"/>
                <w:szCs w:val="32"/>
                <w:highlight w:val="none"/>
              </w:rPr>
            </w:pPr>
          </w:p>
        </w:tc>
        <w:tc>
          <w:tcPr>
            <w:tcW w:w="465" w:type="dxa"/>
            <w:gridSpan w:val="3"/>
            <w:noWrap w:val="0"/>
            <w:vAlign w:val="top"/>
          </w:tcPr>
          <w:p>
            <w:pPr>
              <w:widowControl/>
              <w:jc w:val="center"/>
              <w:outlineLvl w:val="1"/>
              <w:rPr>
                <w:rFonts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201</w:t>
            </w:r>
          </w:p>
        </w:tc>
        <w:tc>
          <w:tcPr>
            <w:tcW w:w="436" w:type="dxa"/>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03</w:t>
            </w:r>
          </w:p>
        </w:tc>
        <w:tc>
          <w:tcPr>
            <w:tcW w:w="491"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04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政府办公厅（室）及相关机构事务</w:t>
            </w:r>
          </w:p>
        </w:tc>
        <w:tc>
          <w:tcPr>
            <w:tcW w:w="93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84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246.00</w:t>
            </w:r>
          </w:p>
        </w:tc>
        <w:tc>
          <w:tcPr>
            <w:tcW w:w="45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69" w:type="dxa"/>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231.00</w:t>
            </w:r>
          </w:p>
        </w:tc>
        <w:tc>
          <w:tcPr>
            <w:tcW w:w="368"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93"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8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0"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15.00</w:t>
            </w:r>
          </w:p>
        </w:tc>
        <w:tc>
          <w:tcPr>
            <w:tcW w:w="32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jc w:val="both"/>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widowControl/>
              <w:jc w:val="center"/>
              <w:outlineLvl w:val="1"/>
              <w:rPr>
                <w:rFonts w:ascii="仿宋_GB2312" w:hAnsi="宋体" w:eastAsia="仿宋_GB2312"/>
                <w:b/>
                <w:bCs/>
                <w:color w:val="auto"/>
                <w:kern w:val="0"/>
                <w:sz w:val="32"/>
                <w:szCs w:val="32"/>
                <w:highlight w:val="none"/>
              </w:rPr>
            </w:pPr>
          </w:p>
        </w:tc>
        <w:tc>
          <w:tcPr>
            <w:tcW w:w="465" w:type="dxa"/>
            <w:gridSpan w:val="3"/>
            <w:noWrap w:val="0"/>
            <w:vAlign w:val="top"/>
          </w:tcPr>
          <w:p>
            <w:pPr>
              <w:widowControl/>
              <w:jc w:val="center"/>
              <w:outlineLvl w:val="1"/>
              <w:rPr>
                <w:rFonts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201</w:t>
            </w:r>
          </w:p>
        </w:tc>
        <w:tc>
          <w:tcPr>
            <w:tcW w:w="436" w:type="dxa"/>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03</w:t>
            </w:r>
          </w:p>
        </w:tc>
        <w:tc>
          <w:tcPr>
            <w:tcW w:w="491" w:type="dxa"/>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02</w:t>
            </w:r>
          </w:p>
        </w:tc>
        <w:tc>
          <w:tcPr>
            <w:tcW w:w="1042" w:type="dxa"/>
            <w:gridSpan w:val="2"/>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一般行政管理事务</w:t>
            </w:r>
          </w:p>
        </w:tc>
        <w:tc>
          <w:tcPr>
            <w:tcW w:w="93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运转经费(2025年非定额）</w:t>
            </w:r>
          </w:p>
        </w:tc>
        <w:tc>
          <w:tcPr>
            <w:tcW w:w="842" w:type="dxa"/>
            <w:gridSpan w:val="2"/>
            <w:noWrap w:val="0"/>
            <w:vAlign w:val="center"/>
          </w:tcPr>
          <w:p>
            <w:pPr>
              <w:jc w:val="center"/>
              <w:rPr>
                <w:rFonts w:hint="default"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246.00</w:t>
            </w:r>
          </w:p>
        </w:tc>
        <w:tc>
          <w:tcPr>
            <w:tcW w:w="45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69" w:type="dxa"/>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231.00</w:t>
            </w:r>
          </w:p>
        </w:tc>
        <w:tc>
          <w:tcPr>
            <w:tcW w:w="368"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93"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8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0"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15.00</w:t>
            </w:r>
          </w:p>
        </w:tc>
        <w:tc>
          <w:tcPr>
            <w:tcW w:w="32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jc w:val="both"/>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widowControl/>
              <w:jc w:val="center"/>
              <w:outlineLvl w:val="1"/>
              <w:rPr>
                <w:rFonts w:ascii="仿宋_GB2312" w:hAnsi="宋体" w:eastAsia="仿宋_GB2312"/>
                <w:color w:val="auto"/>
                <w:kern w:val="0"/>
                <w:sz w:val="32"/>
                <w:szCs w:val="32"/>
                <w:highlight w:val="none"/>
              </w:rPr>
            </w:pPr>
          </w:p>
        </w:tc>
        <w:tc>
          <w:tcPr>
            <w:tcW w:w="465" w:type="dxa"/>
            <w:gridSpan w:val="3"/>
            <w:noWrap w:val="0"/>
            <w:vAlign w:val="top"/>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36"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91"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04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84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5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69"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68"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93"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8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0"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2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jc w:val="both"/>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widowControl/>
              <w:jc w:val="center"/>
              <w:outlineLvl w:val="1"/>
              <w:rPr>
                <w:rFonts w:ascii="仿宋_GB2312" w:hAnsi="宋体" w:eastAsia="仿宋_GB2312"/>
                <w:color w:val="auto"/>
                <w:kern w:val="0"/>
                <w:sz w:val="32"/>
                <w:szCs w:val="32"/>
                <w:highlight w:val="none"/>
              </w:rPr>
            </w:pPr>
          </w:p>
        </w:tc>
        <w:tc>
          <w:tcPr>
            <w:tcW w:w="465" w:type="dxa"/>
            <w:gridSpan w:val="3"/>
            <w:noWrap w:val="0"/>
            <w:vAlign w:val="top"/>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36"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91"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04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84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5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69"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68"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93"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8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0"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32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jc w:val="both"/>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widowControl/>
              <w:jc w:val="center"/>
              <w:outlineLvl w:val="1"/>
              <w:rPr>
                <w:rFonts w:ascii="仿宋_GB2312" w:hAnsi="宋体" w:eastAsia="仿宋_GB2312"/>
                <w:color w:val="auto"/>
                <w:kern w:val="0"/>
                <w:sz w:val="32"/>
                <w:szCs w:val="32"/>
                <w:highlight w:val="none"/>
              </w:rPr>
            </w:pPr>
          </w:p>
        </w:tc>
        <w:tc>
          <w:tcPr>
            <w:tcW w:w="465" w:type="dxa"/>
            <w:gridSpan w:val="3"/>
            <w:noWrap w:val="0"/>
            <w:vAlign w:val="top"/>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36"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91" w:type="dxa"/>
            <w:noWrap w:val="0"/>
            <w:vAlign w:val="center"/>
          </w:tcPr>
          <w:p>
            <w:pPr>
              <w:jc w:val="center"/>
              <w:rPr>
                <w:rFonts w:hint="eastAsia" w:ascii="仿宋_GB2312" w:eastAsia="仿宋_GB2312" w:cs="Times New Roman"/>
                <w:color w:val="000000"/>
                <w:kern w:val="2"/>
                <w:sz w:val="20"/>
                <w:szCs w:val="20"/>
                <w:lang w:val="en-US" w:eastAsia="zh-CN" w:bidi="ar-SA"/>
              </w:rPr>
            </w:pPr>
          </w:p>
        </w:tc>
        <w:tc>
          <w:tcPr>
            <w:tcW w:w="1042"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931" w:type="dxa"/>
            <w:gridSpan w:val="2"/>
            <w:noWrap w:val="0"/>
            <w:vAlign w:val="center"/>
          </w:tcPr>
          <w:p>
            <w:pPr>
              <w:jc w:val="center"/>
              <w:rPr>
                <w:rFonts w:hint="eastAsia"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合 计</w:t>
            </w:r>
          </w:p>
        </w:tc>
        <w:tc>
          <w:tcPr>
            <w:tcW w:w="842" w:type="dxa"/>
            <w:gridSpan w:val="2"/>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246.00</w:t>
            </w:r>
          </w:p>
        </w:tc>
        <w:tc>
          <w:tcPr>
            <w:tcW w:w="451" w:type="dxa"/>
            <w:gridSpan w:val="2"/>
            <w:noWrap w:val="0"/>
            <w:vAlign w:val="center"/>
          </w:tcPr>
          <w:p>
            <w:pPr>
              <w:jc w:val="center"/>
              <w:rPr>
                <w:rFonts w:hint="eastAsia" w:ascii="仿宋_GB2312" w:eastAsia="仿宋_GB2312" w:cs="Times New Roman"/>
                <w:b/>
                <w:bCs/>
                <w:color w:val="000000"/>
                <w:kern w:val="2"/>
                <w:sz w:val="20"/>
                <w:szCs w:val="20"/>
                <w:lang w:val="en-US" w:eastAsia="zh-CN" w:bidi="ar-SA"/>
              </w:rPr>
            </w:pPr>
          </w:p>
        </w:tc>
        <w:tc>
          <w:tcPr>
            <w:tcW w:w="969" w:type="dxa"/>
            <w:noWrap w:val="0"/>
            <w:vAlign w:val="center"/>
          </w:tcPr>
          <w:p>
            <w:pPr>
              <w:jc w:val="center"/>
              <w:rPr>
                <w:rFonts w:hint="default"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231.00</w:t>
            </w:r>
          </w:p>
        </w:tc>
        <w:tc>
          <w:tcPr>
            <w:tcW w:w="368" w:type="dxa"/>
            <w:noWrap w:val="0"/>
            <w:vAlign w:val="center"/>
          </w:tcPr>
          <w:p>
            <w:pPr>
              <w:jc w:val="center"/>
              <w:rPr>
                <w:rFonts w:hint="eastAsia" w:ascii="仿宋_GB2312" w:eastAsia="仿宋_GB2312" w:cs="Times New Roman"/>
                <w:b/>
                <w:bCs/>
                <w:color w:val="000000"/>
                <w:kern w:val="2"/>
                <w:sz w:val="20"/>
                <w:szCs w:val="20"/>
                <w:lang w:val="en-US" w:eastAsia="zh-CN" w:bidi="ar-SA"/>
              </w:rPr>
            </w:pPr>
          </w:p>
        </w:tc>
        <w:tc>
          <w:tcPr>
            <w:tcW w:w="393" w:type="dxa"/>
            <w:noWrap w:val="0"/>
            <w:vAlign w:val="center"/>
          </w:tcPr>
          <w:p>
            <w:pPr>
              <w:jc w:val="center"/>
              <w:rPr>
                <w:rFonts w:hint="eastAsia" w:ascii="仿宋_GB2312" w:eastAsia="仿宋_GB2312" w:cs="Times New Roman"/>
                <w:b/>
                <w:bCs/>
                <w:color w:val="000000"/>
                <w:kern w:val="2"/>
                <w:sz w:val="20"/>
                <w:szCs w:val="20"/>
                <w:lang w:val="en-US" w:eastAsia="zh-CN" w:bidi="ar-SA"/>
              </w:rPr>
            </w:pPr>
          </w:p>
        </w:tc>
        <w:tc>
          <w:tcPr>
            <w:tcW w:w="482" w:type="dxa"/>
            <w:gridSpan w:val="2"/>
            <w:noWrap w:val="0"/>
            <w:vAlign w:val="center"/>
          </w:tcPr>
          <w:p>
            <w:pPr>
              <w:jc w:val="center"/>
              <w:rPr>
                <w:rFonts w:hint="eastAsia" w:ascii="仿宋_GB2312" w:eastAsia="仿宋_GB2312" w:cs="Times New Roman"/>
                <w:b/>
                <w:bCs/>
                <w:color w:val="000000"/>
                <w:kern w:val="2"/>
                <w:sz w:val="20"/>
                <w:szCs w:val="20"/>
                <w:lang w:val="en-US" w:eastAsia="zh-CN" w:bidi="ar-SA"/>
              </w:rPr>
            </w:pPr>
          </w:p>
        </w:tc>
        <w:tc>
          <w:tcPr>
            <w:tcW w:w="930" w:type="dxa"/>
            <w:gridSpan w:val="2"/>
            <w:noWrap w:val="0"/>
            <w:vAlign w:val="center"/>
          </w:tcPr>
          <w:p>
            <w:pPr>
              <w:jc w:val="center"/>
              <w:rPr>
                <w:rFonts w:hint="eastAsia" w:ascii="仿宋_GB2312" w:eastAsia="仿宋_GB2312" w:cs="Times New Roman"/>
                <w:b/>
                <w:bCs/>
                <w:color w:val="000000"/>
                <w:kern w:val="2"/>
                <w:sz w:val="20"/>
                <w:szCs w:val="20"/>
                <w:lang w:val="en-US" w:eastAsia="zh-CN" w:bidi="ar-SA"/>
              </w:rPr>
            </w:pPr>
            <w:r>
              <w:rPr>
                <w:rFonts w:hint="eastAsia" w:ascii="仿宋_GB2312" w:eastAsia="仿宋_GB2312" w:cs="Times New Roman"/>
                <w:b/>
                <w:bCs/>
                <w:color w:val="000000"/>
                <w:kern w:val="2"/>
                <w:sz w:val="20"/>
                <w:szCs w:val="20"/>
                <w:lang w:val="en-US" w:eastAsia="zh-CN" w:bidi="ar-SA"/>
              </w:rPr>
              <w:t>15.00</w:t>
            </w:r>
          </w:p>
        </w:tc>
        <w:tc>
          <w:tcPr>
            <w:tcW w:w="321" w:type="dxa"/>
            <w:gridSpan w:val="2"/>
            <w:noWrap w:val="0"/>
            <w:vAlign w:val="center"/>
          </w:tcPr>
          <w:p>
            <w:pPr>
              <w:jc w:val="center"/>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jc w:val="both"/>
              <w:rPr>
                <w:rFonts w:hint="eastAsia" w:ascii="仿宋_GB2312" w:eastAsia="仿宋_GB2312" w:cs="Times New Roman"/>
                <w:color w:val="000000"/>
                <w:kern w:val="2"/>
                <w:sz w:val="20"/>
                <w:szCs w:val="20"/>
                <w:lang w:val="en-US" w:eastAsia="zh-CN" w:bidi="ar-SA"/>
              </w:rPr>
            </w:pPr>
          </w:p>
        </w:tc>
        <w:tc>
          <w:tcPr>
            <w:tcW w:w="420" w:type="dxa"/>
            <w:gridSpan w:val="2"/>
            <w:noWrap w:val="0"/>
            <w:vAlign w:val="top"/>
          </w:tcPr>
          <w:p>
            <w:pPr>
              <w:jc w:val="center"/>
              <w:rPr>
                <w:rFonts w:hint="eastAsia" w:ascii="仿宋_GB2312" w:eastAsia="仿宋_GB2312" w:cs="Times New Roman"/>
                <w:b/>
                <w:bCs/>
                <w:color w:val="000000"/>
                <w:sz w:val="20"/>
                <w:szCs w:val="20"/>
                <w:lang w:val="en-US" w:eastAsia="zh-CN"/>
              </w:rPr>
            </w:pPr>
          </w:p>
        </w:tc>
        <w:tc>
          <w:tcPr>
            <w:tcW w:w="465" w:type="dxa"/>
            <w:gridSpan w:val="3"/>
            <w:noWrap w:val="0"/>
            <w:vAlign w:val="top"/>
          </w:tcPr>
          <w:p>
            <w:pPr>
              <w:jc w:val="center"/>
              <w:rPr>
                <w:rFonts w:hint="eastAsia" w:ascii="仿宋_GB2312" w:eastAsia="仿宋_GB2312" w:cs="Times New Roman"/>
                <w:b/>
                <w:bCs/>
                <w:color w:val="000000"/>
                <w:sz w:val="20"/>
                <w:szCs w:val="20"/>
                <w:lang w:val="en-US" w:eastAsia="zh-CN"/>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bidi w:val="0"/>
        <w:jc w:val="left"/>
        <w:rPr>
          <w:rFonts w:hint="eastAsia" w:ascii="Times New Roman" w:hAnsi="Times New Roman" w:eastAsia="宋体" w:cs="Times New Roman"/>
          <w:kern w:val="2"/>
          <w:sz w:val="21"/>
          <w:szCs w:val="24"/>
          <w:lang w:val="en-US" w:eastAsia="zh-CN" w:bidi="ar-SA"/>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科</w:t>
            </w:r>
            <w:r>
              <w:rPr>
                <w:rFonts w:hint="eastAsia" w:ascii="仿宋_GB2312" w:hAnsi="宋体" w:eastAsia="仿宋_GB2312" w:cs="宋体"/>
                <w:b/>
                <w:bCs/>
                <w:color w:val="auto"/>
                <w:kern w:val="0"/>
                <w:sz w:val="20"/>
                <w:szCs w:val="20"/>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政府性基金预算</w:t>
            </w:r>
            <w:r>
              <w:rPr>
                <w:rFonts w:hint="eastAsia" w:ascii="仿宋_GB2312" w:hAnsi="宋体" w:eastAsia="仿宋_GB2312" w:cs="宋体"/>
                <w:b/>
                <w:bCs/>
                <w:color w:val="auto"/>
                <w:kern w:val="0"/>
                <w:sz w:val="20"/>
                <w:szCs w:val="20"/>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20"/>
                <w:szCs w:val="20"/>
                <w:highlight w:val="none"/>
              </w:rPr>
            </w:pP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20"/>
                <w:szCs w:val="20"/>
                <w:highlight w:val="none"/>
              </w:rPr>
            </w:pP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20"/>
                <w:szCs w:val="20"/>
                <w:highlight w:val="none"/>
              </w:rPr>
            </w:pP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bl>
    <w:p>
      <w:pPr>
        <w:widowControl/>
        <w:spacing w:line="280" w:lineRule="exact"/>
        <w:jc w:val="center"/>
        <w:outlineLvl w:val="1"/>
        <w:rPr>
          <w:rFonts w:hint="eastAsia" w:ascii="仿宋_GB2312" w:hAnsi="宋体" w:eastAsia="仿宋_GB2312"/>
          <w:b/>
          <w:color w:val="auto"/>
          <w:kern w:val="0"/>
          <w:sz w:val="20"/>
          <w:szCs w:val="20"/>
          <w:highlight w:val="none"/>
          <w:lang w:val="en-US" w:eastAsia="zh-CN"/>
        </w:rPr>
      </w:pPr>
    </w:p>
    <w:p>
      <w:pPr>
        <w:widowControl/>
        <w:spacing w:line="280" w:lineRule="exact"/>
        <w:outlineLvl w:val="1"/>
        <w:rPr>
          <w:rFonts w:hint="eastAsia" w:ascii="仿宋_GB2312" w:hAnsi="宋体" w:eastAsia="仿宋_GB2312"/>
          <w:b/>
          <w:bCs w:val="0"/>
          <w:color w:val="auto"/>
          <w:kern w:val="0"/>
          <w:sz w:val="28"/>
          <w:szCs w:val="32"/>
          <w:highlight w:val="none"/>
          <w:lang w:val="en-US" w:eastAsia="zh-CN"/>
        </w:rPr>
      </w:pPr>
      <w:r>
        <w:rPr>
          <w:rFonts w:hint="eastAsia" w:ascii="仿宋_GB2312" w:hAnsi="宋体" w:eastAsia="仿宋_GB2312"/>
          <w:b/>
          <w:bCs w:val="0"/>
          <w:color w:val="auto"/>
          <w:kern w:val="0"/>
          <w:sz w:val="28"/>
          <w:szCs w:val="32"/>
          <w:highlight w:val="none"/>
          <w:lang w:val="en-US" w:eastAsia="zh-CN"/>
        </w:rPr>
        <w:t>呼图壁县人民政府办公室2025年没有使用政府性基金预算支出，政府性基金预算支出情况表为空。</w:t>
      </w:r>
    </w:p>
    <w:p>
      <w:pPr>
        <w:widowControl/>
        <w:spacing w:line="280" w:lineRule="exact"/>
        <w:outlineLvl w:val="1"/>
        <w:rPr>
          <w:rFonts w:hint="eastAsia" w:ascii="仿宋_GB2312" w:hAnsi="宋体" w:eastAsia="仿宋_GB2312"/>
          <w:b/>
          <w:bCs w:val="0"/>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r>
    </w:tbl>
    <w:p>
      <w:pPr>
        <w:widowControl/>
        <w:spacing w:line="280" w:lineRule="exact"/>
        <w:jc w:val="center"/>
        <w:outlineLvl w:val="1"/>
        <w:rPr>
          <w:rFonts w:hint="eastAsia" w:ascii="仿宋_GB2312" w:hAnsi="宋体" w:eastAsia="仿宋_GB2312"/>
          <w:b w:val="0"/>
          <w:bCs/>
          <w:color w:val="auto"/>
          <w:kern w:val="0"/>
          <w:sz w:val="28"/>
          <w:szCs w:val="32"/>
          <w:highlight w:val="none"/>
          <w:lang w:eastAsia="zh-CN"/>
        </w:rPr>
      </w:pPr>
    </w:p>
    <w:p>
      <w:pPr>
        <w:widowControl/>
        <w:spacing w:line="280" w:lineRule="exact"/>
        <w:outlineLvl w:val="1"/>
        <w:rPr>
          <w:rFonts w:hint="eastAsia" w:ascii="仿宋_GB2312" w:hAnsi="宋体" w:eastAsia="仿宋_GB2312"/>
          <w:b/>
          <w:bCs w:val="0"/>
          <w:kern w:val="0"/>
          <w:sz w:val="28"/>
          <w:szCs w:val="32"/>
        </w:rPr>
      </w:pPr>
      <w:r>
        <w:rPr>
          <w:rFonts w:hint="eastAsia" w:ascii="仿宋_GB2312" w:hAnsi="宋体" w:eastAsia="仿宋_GB2312"/>
          <w:b/>
          <w:bCs w:val="0"/>
          <w:kern w:val="0"/>
          <w:sz w:val="28"/>
          <w:szCs w:val="32"/>
          <w:lang w:val="en-US" w:eastAsia="zh-CN"/>
        </w:rPr>
        <w:t>呼图壁县人民政府办公室2025年没有使用</w:t>
      </w:r>
      <w:r>
        <w:rPr>
          <w:rFonts w:hint="eastAsia" w:ascii="仿宋_GB2312" w:hAnsi="宋体" w:eastAsia="仿宋_GB2312" w:cs="Times New Roman"/>
          <w:b/>
          <w:bCs w:val="0"/>
          <w:kern w:val="0"/>
          <w:sz w:val="28"/>
          <w:szCs w:val="32"/>
          <w:lang w:val="en-US" w:eastAsia="zh-CN"/>
        </w:rPr>
        <w:t>国有资本经营预算支出，国有资本经营预算支出情况表为空</w:t>
      </w:r>
      <w:r>
        <w:rPr>
          <w:rFonts w:hint="eastAsia" w:ascii="仿宋_GB2312" w:hAnsi="宋体" w:eastAsia="仿宋_GB2312"/>
          <w:b/>
          <w:bCs w:val="0"/>
          <w:kern w:val="0"/>
          <w:sz w:val="28"/>
          <w:szCs w:val="32"/>
        </w:rPr>
        <w:t>。</w:t>
      </w:r>
    </w:p>
    <w:p>
      <w:pPr>
        <w:keepNext w:val="0"/>
        <w:keepLines w:val="0"/>
        <w:widowControl/>
        <w:suppressLineNumbers w:val="0"/>
        <w:jc w:val="left"/>
        <w:textAlignment w:val="bottom"/>
        <w:rPr>
          <w:rFonts w:hint="eastAsia" w:ascii="宋体" w:hAnsi="宋体" w:eastAsia="宋体" w:cs="宋体"/>
          <w:b w:val="0"/>
          <w:bCs/>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lang w:eastAsia="zh-CN"/>
              </w:rPr>
              <w:t>“</w:t>
            </w:r>
            <w:r>
              <w:rPr>
                <w:rFonts w:hint="eastAsia" w:ascii="仿宋_GB2312" w:hAnsi="宋体" w:eastAsia="仿宋_GB2312"/>
                <w:b w:val="0"/>
                <w:bCs/>
                <w:color w:val="auto"/>
                <w:kern w:val="0"/>
                <w:sz w:val="24"/>
                <w:szCs w:val="24"/>
                <w:highlight w:val="none"/>
                <w:vertAlign w:val="baseline"/>
              </w:rPr>
              <w:t>三公</w:t>
            </w:r>
            <w:r>
              <w:rPr>
                <w:rFonts w:hint="eastAsia" w:ascii="仿宋_GB2312" w:hAnsi="宋体" w:eastAsia="仿宋_GB2312"/>
                <w:b w:val="0"/>
                <w:bCs/>
                <w:color w:val="auto"/>
                <w:kern w:val="0"/>
                <w:sz w:val="24"/>
                <w:szCs w:val="24"/>
                <w:highlight w:val="none"/>
                <w:vertAlign w:val="baseline"/>
                <w:lang w:eastAsia="zh-CN"/>
              </w:rPr>
              <w:t>”</w:t>
            </w:r>
            <w:r>
              <w:rPr>
                <w:rFonts w:hint="eastAsia" w:ascii="仿宋_GB2312" w:hAnsi="宋体" w:eastAsia="仿宋_GB2312"/>
                <w:b w:val="0"/>
                <w:bCs/>
                <w:color w:val="auto"/>
                <w:kern w:val="0"/>
                <w:sz w:val="24"/>
                <w:szCs w:val="24"/>
                <w:highlight w:val="none"/>
                <w:vertAlign w:val="baseline"/>
                <w:lang w:val="en-US" w:eastAsia="zh-CN"/>
              </w:rPr>
              <w:t>经费</w:t>
            </w:r>
            <w:r>
              <w:rPr>
                <w:rFonts w:hint="eastAsia" w:ascii="仿宋_GB2312" w:hAnsi="宋体" w:eastAsia="仿宋_GB2312"/>
                <w:b w:val="0"/>
                <w:bCs/>
                <w:color w:val="auto"/>
                <w:kern w:val="0"/>
                <w:sz w:val="24"/>
                <w:szCs w:val="24"/>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lang w:val="en-US" w:eastAsia="zh-Hans"/>
              </w:rPr>
            </w:pPr>
            <w:r>
              <w:rPr>
                <w:rFonts w:hint="eastAsia" w:ascii="仿宋_GB2312" w:hAnsi="宋体" w:eastAsia="仿宋_GB2312"/>
                <w:b w:val="0"/>
                <w:bCs/>
                <w:color w:val="auto"/>
                <w:kern w:val="0"/>
                <w:sz w:val="24"/>
                <w:szCs w:val="24"/>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lang w:val="en-US" w:eastAsia="zh-Hans"/>
              </w:rPr>
            </w:pPr>
            <w:r>
              <w:rPr>
                <w:rFonts w:hint="eastAsia" w:ascii="仿宋_GB2312" w:hAnsi="宋体" w:eastAsia="仿宋_GB2312"/>
                <w:b w:val="0"/>
                <w:bCs/>
                <w:color w:val="auto"/>
                <w:kern w:val="0"/>
                <w:sz w:val="24"/>
                <w:szCs w:val="24"/>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215" w:type="dxa"/>
            <w:vMerge w:val="continue"/>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314"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lang w:val="en-US" w:eastAsia="zh-Hans"/>
              </w:rPr>
            </w:pPr>
            <w:r>
              <w:rPr>
                <w:rFonts w:hint="eastAsia" w:ascii="仿宋_GB2312" w:hAnsi="宋体" w:eastAsia="仿宋_GB2312"/>
                <w:b w:val="0"/>
                <w:bCs/>
                <w:color w:val="auto"/>
                <w:kern w:val="0"/>
                <w:sz w:val="24"/>
                <w:szCs w:val="24"/>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818" w:type="dxa"/>
            <w:noWrap w:val="0"/>
            <w:vAlign w:val="center"/>
          </w:tcPr>
          <w:p>
            <w:pPr>
              <w:widowControl/>
              <w:jc w:val="center"/>
              <w:outlineLvl w:val="1"/>
              <w:rPr>
                <w:rFonts w:hint="eastAsia" w:ascii="仿宋_GB2312" w:hAnsi="宋体" w:eastAsia="仿宋_GB2312"/>
                <w:b/>
                <w:bCs w:val="0"/>
                <w:color w:val="auto"/>
                <w:kern w:val="0"/>
                <w:sz w:val="24"/>
                <w:szCs w:val="24"/>
                <w:highlight w:val="none"/>
                <w:vertAlign w:val="baseline"/>
              </w:rPr>
            </w:pPr>
            <w:r>
              <w:rPr>
                <w:rFonts w:hint="eastAsia" w:ascii="仿宋_GB2312" w:hAnsi="宋体" w:eastAsia="仿宋_GB2312"/>
                <w:b/>
                <w:bCs w:val="0"/>
                <w:color w:val="auto"/>
                <w:kern w:val="0"/>
                <w:sz w:val="24"/>
                <w:szCs w:val="24"/>
                <w:highlight w:val="none"/>
                <w:vertAlign w:val="baseline"/>
              </w:rPr>
              <w:t>合计</w:t>
            </w:r>
          </w:p>
        </w:tc>
        <w:tc>
          <w:tcPr>
            <w:tcW w:w="1215" w:type="dxa"/>
            <w:noWrap w:val="0"/>
            <w:vAlign w:val="top"/>
          </w:tcPr>
          <w:p>
            <w:pPr>
              <w:widowControl/>
              <w:outlineLvl w:val="1"/>
              <w:rPr>
                <w:rFonts w:hint="default" w:ascii="仿宋_GB2312" w:hAnsi="宋体" w:eastAsia="仿宋_GB2312"/>
                <w:b/>
                <w:bCs w:val="0"/>
                <w:color w:val="auto"/>
                <w:kern w:val="0"/>
                <w:sz w:val="24"/>
                <w:szCs w:val="24"/>
                <w:highlight w:val="none"/>
                <w:vertAlign w:val="baseline"/>
                <w:lang w:val="en-US" w:eastAsia="zh-CN"/>
              </w:rPr>
            </w:pPr>
            <w:r>
              <w:rPr>
                <w:rFonts w:hint="eastAsia" w:ascii="仿宋_GB2312" w:hAnsi="宋体" w:eastAsia="仿宋_GB2312"/>
                <w:b/>
                <w:bCs w:val="0"/>
                <w:color w:val="auto"/>
                <w:kern w:val="0"/>
                <w:sz w:val="24"/>
                <w:szCs w:val="24"/>
                <w:highlight w:val="none"/>
                <w:vertAlign w:val="baseline"/>
                <w:lang w:val="en-US" w:eastAsia="zh-CN"/>
              </w:rPr>
              <w:t>21.60</w:t>
            </w:r>
          </w:p>
        </w:tc>
        <w:tc>
          <w:tcPr>
            <w:tcW w:w="1314" w:type="dxa"/>
            <w:noWrap w:val="0"/>
            <w:vAlign w:val="top"/>
          </w:tcPr>
          <w:p>
            <w:pPr>
              <w:widowControl/>
              <w:outlineLvl w:val="1"/>
              <w:rPr>
                <w:rFonts w:hint="default" w:ascii="仿宋_GB2312" w:hAnsi="宋体" w:eastAsia="仿宋_GB2312"/>
                <w:b/>
                <w:bCs w:val="0"/>
                <w:color w:val="auto"/>
                <w:kern w:val="0"/>
                <w:sz w:val="24"/>
                <w:szCs w:val="24"/>
                <w:highlight w:val="none"/>
                <w:vertAlign w:val="baseline"/>
                <w:lang w:val="en-US" w:eastAsia="zh-CN"/>
              </w:rPr>
            </w:pPr>
            <w:r>
              <w:rPr>
                <w:rFonts w:hint="eastAsia" w:ascii="仿宋_GB2312" w:hAnsi="宋体" w:eastAsia="仿宋_GB2312"/>
                <w:b/>
                <w:bCs w:val="0"/>
                <w:color w:val="auto"/>
                <w:kern w:val="0"/>
                <w:sz w:val="24"/>
                <w:szCs w:val="24"/>
                <w:highlight w:val="none"/>
                <w:vertAlign w:val="baseline"/>
                <w:lang w:val="en-US" w:eastAsia="zh-CN"/>
              </w:rPr>
              <w:t>21.60</w:t>
            </w: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因公出国（境）费</w:t>
            </w:r>
          </w:p>
        </w:tc>
        <w:tc>
          <w:tcPr>
            <w:tcW w:w="121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314"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公务接待费</w:t>
            </w:r>
          </w:p>
        </w:tc>
        <w:tc>
          <w:tcPr>
            <w:tcW w:w="121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314"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bCs w:val="0"/>
                <w:color w:val="auto"/>
                <w:kern w:val="0"/>
                <w:sz w:val="24"/>
                <w:szCs w:val="24"/>
                <w:highlight w:val="none"/>
                <w:vertAlign w:val="baseline"/>
              </w:rPr>
            </w:pPr>
            <w:r>
              <w:rPr>
                <w:rFonts w:hint="eastAsia" w:ascii="仿宋_GB2312" w:hAnsi="宋体" w:eastAsia="仿宋_GB2312"/>
                <w:b/>
                <w:bCs w:val="0"/>
                <w:color w:val="auto"/>
                <w:kern w:val="0"/>
                <w:sz w:val="24"/>
                <w:szCs w:val="24"/>
                <w:highlight w:val="none"/>
                <w:vertAlign w:val="baseline"/>
              </w:rPr>
              <w:t>公务用车购置及运行费</w:t>
            </w:r>
          </w:p>
          <w:p>
            <w:pPr>
              <w:widowControl/>
              <w:jc w:val="center"/>
              <w:outlineLvl w:val="1"/>
              <w:rPr>
                <w:rFonts w:hint="eastAsia" w:ascii="仿宋_GB2312" w:hAnsi="宋体" w:eastAsia="仿宋_GB2312"/>
                <w:b/>
                <w:bCs w:val="0"/>
                <w:color w:val="auto"/>
                <w:kern w:val="0"/>
                <w:sz w:val="24"/>
                <w:szCs w:val="24"/>
                <w:highlight w:val="none"/>
                <w:vertAlign w:val="baseline"/>
              </w:rPr>
            </w:pPr>
            <w:r>
              <w:rPr>
                <w:rFonts w:hint="eastAsia" w:ascii="仿宋_GB2312" w:hAnsi="宋体" w:eastAsia="仿宋_GB2312"/>
                <w:b/>
                <w:bCs w:val="0"/>
                <w:color w:val="auto"/>
                <w:kern w:val="0"/>
                <w:sz w:val="24"/>
                <w:szCs w:val="24"/>
                <w:highlight w:val="none"/>
                <w:vertAlign w:val="baseline"/>
              </w:rPr>
              <w:t>（小计）</w:t>
            </w:r>
          </w:p>
        </w:tc>
        <w:tc>
          <w:tcPr>
            <w:tcW w:w="1215" w:type="dxa"/>
            <w:noWrap w:val="0"/>
            <w:vAlign w:val="top"/>
          </w:tcPr>
          <w:p>
            <w:pPr>
              <w:widowControl/>
              <w:outlineLvl w:val="1"/>
              <w:rPr>
                <w:rFonts w:hint="default" w:ascii="仿宋_GB2312" w:hAnsi="宋体" w:eastAsia="仿宋_GB2312"/>
                <w:b/>
                <w:bCs w:val="0"/>
                <w:color w:val="auto"/>
                <w:kern w:val="0"/>
                <w:sz w:val="24"/>
                <w:szCs w:val="24"/>
                <w:highlight w:val="none"/>
                <w:vertAlign w:val="baseline"/>
                <w:lang w:val="en-US" w:eastAsia="zh-CN"/>
              </w:rPr>
            </w:pPr>
            <w:r>
              <w:rPr>
                <w:rFonts w:hint="eastAsia" w:ascii="仿宋_GB2312" w:hAnsi="宋体" w:eastAsia="仿宋_GB2312"/>
                <w:b/>
                <w:bCs w:val="0"/>
                <w:color w:val="auto"/>
                <w:kern w:val="0"/>
                <w:sz w:val="24"/>
                <w:szCs w:val="24"/>
                <w:highlight w:val="none"/>
                <w:vertAlign w:val="baseline"/>
                <w:lang w:val="en-US" w:eastAsia="zh-CN"/>
              </w:rPr>
              <w:t>21.60</w:t>
            </w:r>
          </w:p>
        </w:tc>
        <w:tc>
          <w:tcPr>
            <w:tcW w:w="1314" w:type="dxa"/>
            <w:noWrap w:val="0"/>
            <w:vAlign w:val="top"/>
          </w:tcPr>
          <w:p>
            <w:pPr>
              <w:widowControl/>
              <w:outlineLvl w:val="1"/>
              <w:rPr>
                <w:rFonts w:hint="default" w:ascii="仿宋_GB2312" w:hAnsi="宋体" w:eastAsia="仿宋_GB2312"/>
                <w:b/>
                <w:bCs w:val="0"/>
                <w:color w:val="auto"/>
                <w:kern w:val="0"/>
                <w:sz w:val="24"/>
                <w:szCs w:val="24"/>
                <w:highlight w:val="none"/>
                <w:vertAlign w:val="baseline"/>
                <w:lang w:val="en-US" w:eastAsia="zh-CN"/>
              </w:rPr>
            </w:pPr>
            <w:r>
              <w:rPr>
                <w:rFonts w:hint="eastAsia" w:ascii="仿宋_GB2312" w:hAnsi="宋体" w:eastAsia="仿宋_GB2312"/>
                <w:b/>
                <w:bCs w:val="0"/>
                <w:color w:val="auto"/>
                <w:kern w:val="0"/>
                <w:sz w:val="24"/>
                <w:szCs w:val="24"/>
                <w:highlight w:val="none"/>
                <w:vertAlign w:val="baseline"/>
                <w:lang w:val="en-US" w:eastAsia="zh-CN"/>
              </w:rPr>
              <w:t>21.60</w:t>
            </w: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40" w:firstLineChars="100"/>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val="0"/>
                <w:bCs/>
                <w:color w:val="auto"/>
                <w:kern w:val="0"/>
                <w:sz w:val="24"/>
                <w:szCs w:val="24"/>
                <w:highlight w:val="none"/>
                <w:vertAlign w:val="baseline"/>
              </w:rPr>
            </w:pPr>
          </w:p>
        </w:tc>
        <w:tc>
          <w:tcPr>
            <w:tcW w:w="1314" w:type="dxa"/>
            <w:noWrap w:val="0"/>
            <w:vAlign w:val="top"/>
          </w:tcPr>
          <w:p>
            <w:pPr>
              <w:widowControl/>
              <w:outlineLvl w:val="1"/>
              <w:rPr>
                <w:rFonts w:hint="default" w:ascii="仿宋_GB2312" w:hAnsi="宋体" w:eastAsia="仿宋_GB2312"/>
                <w:b w:val="0"/>
                <w:bCs/>
                <w:color w:val="auto"/>
                <w:kern w:val="0"/>
                <w:sz w:val="24"/>
                <w:szCs w:val="24"/>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 xml:space="preserve">     </w:t>
            </w:r>
            <w:r>
              <w:rPr>
                <w:rFonts w:hint="default" w:ascii="仿宋_GB2312" w:hAnsi="宋体" w:eastAsia="仿宋_GB2312"/>
                <w:b w:val="0"/>
                <w:bCs/>
                <w:color w:val="auto"/>
                <w:kern w:val="0"/>
                <w:sz w:val="24"/>
                <w:szCs w:val="24"/>
                <w:highlight w:val="none"/>
                <w:vertAlign w:val="baseline"/>
              </w:rPr>
              <w:t xml:space="preserve">  </w:t>
            </w:r>
            <w:r>
              <w:rPr>
                <w:rFonts w:hint="eastAsia" w:ascii="仿宋_GB2312" w:hAnsi="宋体" w:eastAsia="仿宋_GB2312"/>
                <w:b w:val="0"/>
                <w:bCs/>
                <w:color w:val="auto"/>
                <w:kern w:val="0"/>
                <w:sz w:val="24"/>
                <w:szCs w:val="24"/>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val="0"/>
                <w:bCs/>
                <w:color w:val="auto"/>
                <w:kern w:val="0"/>
                <w:sz w:val="24"/>
                <w:szCs w:val="24"/>
                <w:highlight w:val="none"/>
                <w:vertAlign w:val="baseline"/>
                <w:lang w:val="en-US" w:eastAsia="zh-CN"/>
              </w:rPr>
            </w:pPr>
            <w:r>
              <w:rPr>
                <w:rFonts w:hint="eastAsia" w:ascii="仿宋_GB2312" w:hAnsi="宋体" w:eastAsia="仿宋_GB2312"/>
                <w:b w:val="0"/>
                <w:bCs/>
                <w:color w:val="auto"/>
                <w:kern w:val="0"/>
                <w:sz w:val="24"/>
                <w:szCs w:val="24"/>
                <w:highlight w:val="none"/>
                <w:vertAlign w:val="baseline"/>
                <w:lang w:val="en-US" w:eastAsia="zh-CN"/>
              </w:rPr>
              <w:t>21.60</w:t>
            </w:r>
          </w:p>
        </w:tc>
        <w:tc>
          <w:tcPr>
            <w:tcW w:w="1314" w:type="dxa"/>
            <w:noWrap w:val="0"/>
            <w:vAlign w:val="top"/>
          </w:tcPr>
          <w:p>
            <w:pPr>
              <w:widowControl/>
              <w:outlineLvl w:val="1"/>
              <w:rPr>
                <w:rFonts w:hint="default" w:ascii="仿宋_GB2312" w:hAnsi="宋体" w:eastAsia="仿宋_GB2312"/>
                <w:b w:val="0"/>
                <w:bCs/>
                <w:color w:val="auto"/>
                <w:kern w:val="0"/>
                <w:sz w:val="24"/>
                <w:szCs w:val="24"/>
                <w:highlight w:val="none"/>
                <w:vertAlign w:val="baseline"/>
                <w:lang w:val="en-US" w:eastAsia="zh-CN"/>
              </w:rPr>
            </w:pPr>
            <w:r>
              <w:rPr>
                <w:rFonts w:hint="eastAsia" w:ascii="仿宋_GB2312" w:hAnsi="宋体" w:eastAsia="仿宋_GB2312"/>
                <w:b w:val="0"/>
                <w:bCs/>
                <w:color w:val="auto"/>
                <w:kern w:val="0"/>
                <w:sz w:val="24"/>
                <w:szCs w:val="24"/>
                <w:highlight w:val="none"/>
                <w:vertAlign w:val="baseline"/>
                <w:lang w:val="en-US" w:eastAsia="zh-CN"/>
              </w:rPr>
              <w:t>21.60</w:t>
            </w: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bl>
    <w:p>
      <w:pPr>
        <w:spacing w:line="600" w:lineRule="exact"/>
        <w:ind w:left="640"/>
        <w:jc w:val="center"/>
        <w:rPr>
          <w:rFonts w:hint="eastAsia" w:ascii="仿宋" w:hAnsi="仿宋" w:eastAsia="仿宋" w:cs="仿宋_GB2312"/>
          <w:b w:val="0"/>
          <w:bCs/>
          <w:color w:val="auto"/>
          <w:kern w:val="0"/>
          <w:sz w:val="24"/>
          <w:szCs w:val="24"/>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呼图壁县人民政府办公室</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jc w:val="both"/>
              <w:rPr>
                <w:rFonts w:hint="default"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val="en-US" w:eastAsia="zh-CN"/>
              </w:rPr>
              <w:t>2024年为民办实事经费</w:t>
            </w:r>
          </w:p>
        </w:tc>
        <w:tc>
          <w:tcPr>
            <w:tcW w:w="850" w:type="dxa"/>
            <w:noWrap w:val="0"/>
            <w:vAlign w:val="center"/>
          </w:tcPr>
          <w:p>
            <w:pPr>
              <w:widowControl/>
              <w:jc w:val="both"/>
              <w:rPr>
                <w:rFonts w:hint="default"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val="en-US" w:eastAsia="zh-CN"/>
              </w:rPr>
              <w:t>2.36</w:t>
            </w:r>
          </w:p>
        </w:tc>
        <w:tc>
          <w:tcPr>
            <w:tcW w:w="1054" w:type="dxa"/>
            <w:noWrap w:val="0"/>
            <w:vAlign w:val="center"/>
          </w:tcPr>
          <w:p>
            <w:pPr>
              <w:widowControl/>
              <w:jc w:val="both"/>
              <w:rPr>
                <w:rFonts w:hint="default"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val="en-US" w:eastAsia="zh-CN"/>
              </w:rPr>
              <w:t>2.36</w:t>
            </w:r>
          </w:p>
        </w:tc>
        <w:tc>
          <w:tcPr>
            <w:tcW w:w="890" w:type="dxa"/>
            <w:noWrap w:val="0"/>
            <w:vAlign w:val="center"/>
          </w:tcPr>
          <w:p>
            <w:pPr>
              <w:widowControl/>
              <w:jc w:val="both"/>
              <w:rPr>
                <w:rFonts w:hint="eastAsia" w:ascii="仿宋_GB2312" w:hAnsi="宋体" w:eastAsia="仿宋_GB2312"/>
                <w:color w:val="auto"/>
                <w:kern w:val="0"/>
                <w:sz w:val="24"/>
                <w:highlight w:val="none"/>
                <w:lang w:val="en-US" w:eastAsia="zh-CN"/>
              </w:rPr>
            </w:pPr>
          </w:p>
        </w:tc>
        <w:tc>
          <w:tcPr>
            <w:tcW w:w="714" w:type="dxa"/>
            <w:noWrap w:val="0"/>
            <w:vAlign w:val="center"/>
          </w:tcPr>
          <w:p>
            <w:pPr>
              <w:widowControl/>
              <w:jc w:val="both"/>
              <w:rPr>
                <w:rFonts w:hint="eastAsia" w:ascii="仿宋_GB2312" w:hAnsi="宋体" w:eastAsia="仿宋_GB2312"/>
                <w:color w:val="auto"/>
                <w:kern w:val="0"/>
                <w:sz w:val="24"/>
                <w:highlight w:val="none"/>
                <w:lang w:val="en-US" w:eastAsia="zh-CN"/>
              </w:rPr>
            </w:pPr>
          </w:p>
        </w:tc>
        <w:tc>
          <w:tcPr>
            <w:tcW w:w="1211" w:type="dxa"/>
            <w:noWrap w:val="0"/>
            <w:vAlign w:val="center"/>
          </w:tcPr>
          <w:p>
            <w:pPr>
              <w:widowControl/>
              <w:jc w:val="both"/>
              <w:rPr>
                <w:rFonts w:hint="default"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val="en-US" w:eastAsia="zh-CN"/>
              </w:rPr>
              <w:t>2.36</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总计</w:t>
            </w:r>
          </w:p>
        </w:tc>
        <w:tc>
          <w:tcPr>
            <w:tcW w:w="850" w:type="dxa"/>
            <w:noWrap w:val="0"/>
            <w:vAlign w:val="center"/>
          </w:tcPr>
          <w:p>
            <w:pPr>
              <w:spacing w:line="600" w:lineRule="exact"/>
              <w:jc w:val="center"/>
              <w:rPr>
                <w:rFonts w:hint="default" w:ascii="仿宋" w:hAnsi="仿宋" w:eastAsia="仿宋" w:cs="仿宋_GB2312"/>
                <w:b/>
                <w:bCs/>
                <w:color w:val="auto"/>
                <w:kern w:val="0"/>
                <w:sz w:val="28"/>
                <w:szCs w:val="28"/>
                <w:highlight w:val="none"/>
                <w:lang w:val="en-US" w:eastAsia="zh-CN"/>
              </w:rPr>
            </w:pPr>
            <w:r>
              <w:rPr>
                <w:rFonts w:hint="eastAsia" w:ascii="仿宋" w:hAnsi="仿宋" w:eastAsia="仿宋" w:cs="仿宋_GB2312"/>
                <w:b/>
                <w:bCs/>
                <w:color w:val="auto"/>
                <w:kern w:val="0"/>
                <w:sz w:val="28"/>
                <w:szCs w:val="28"/>
                <w:highlight w:val="none"/>
                <w:lang w:val="en-US" w:eastAsia="zh-CN"/>
              </w:rPr>
              <w:t>2.36</w:t>
            </w:r>
          </w:p>
        </w:tc>
        <w:tc>
          <w:tcPr>
            <w:tcW w:w="1054" w:type="dxa"/>
            <w:noWrap w:val="0"/>
            <w:vAlign w:val="center"/>
          </w:tcPr>
          <w:p>
            <w:pPr>
              <w:spacing w:line="600" w:lineRule="exact"/>
              <w:jc w:val="center"/>
              <w:rPr>
                <w:rFonts w:hint="default" w:ascii="仿宋" w:hAnsi="仿宋" w:eastAsia="仿宋" w:cs="仿宋_GB2312"/>
                <w:b/>
                <w:bCs/>
                <w:color w:val="auto"/>
                <w:kern w:val="0"/>
                <w:sz w:val="28"/>
                <w:szCs w:val="28"/>
                <w:highlight w:val="none"/>
                <w:lang w:val="en-US" w:eastAsia="zh-CN"/>
              </w:rPr>
            </w:pPr>
            <w:r>
              <w:rPr>
                <w:rFonts w:hint="eastAsia" w:ascii="仿宋" w:hAnsi="仿宋" w:eastAsia="仿宋" w:cs="仿宋_GB2312"/>
                <w:b/>
                <w:bCs/>
                <w:color w:val="auto"/>
                <w:kern w:val="0"/>
                <w:sz w:val="28"/>
                <w:szCs w:val="28"/>
                <w:highlight w:val="none"/>
                <w:lang w:val="en-US" w:eastAsia="zh-CN"/>
              </w:rPr>
              <w:t>2.36</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
                <w:bCs/>
                <w:color w:val="auto"/>
                <w:kern w:val="0"/>
                <w:sz w:val="28"/>
                <w:szCs w:val="28"/>
                <w:highlight w:val="none"/>
                <w:lang w:val="en-US" w:eastAsia="zh-CN"/>
              </w:rPr>
            </w:pPr>
            <w:r>
              <w:rPr>
                <w:rFonts w:hint="eastAsia" w:ascii="仿宋" w:hAnsi="仿宋" w:eastAsia="仿宋" w:cs="仿宋_GB2312"/>
                <w:b/>
                <w:bCs/>
                <w:color w:val="auto"/>
                <w:kern w:val="0"/>
                <w:sz w:val="28"/>
                <w:szCs w:val="28"/>
                <w:highlight w:val="none"/>
                <w:lang w:val="en-US" w:eastAsia="zh-CN"/>
              </w:rPr>
              <w:t>2.36</w:t>
            </w:r>
          </w:p>
        </w:tc>
        <w:tc>
          <w:tcPr>
            <w:tcW w:w="797" w:type="dxa"/>
            <w:noWrap w:val="0"/>
            <w:vAlign w:val="center"/>
          </w:tcPr>
          <w:p>
            <w:pPr>
              <w:spacing w:line="600" w:lineRule="exact"/>
              <w:jc w:val="center"/>
              <w:rPr>
                <w:rFonts w:ascii="仿宋" w:hAnsi="仿宋" w:eastAsia="仿宋" w:cs="仿宋_GB2312"/>
                <w:b/>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lang w:eastAsia="zh-CN"/>
        </w:rPr>
        <w:t>呼图壁县人民政府办公室</w:t>
      </w:r>
      <w:r>
        <w:rPr>
          <w:rFonts w:hint="eastAsia" w:ascii="楷体_GB2312" w:hAnsi="楷体_GB2312" w:eastAsia="楷体_GB2312" w:cs="楷体_GB2312"/>
          <w:b/>
          <w:kern w:val="0"/>
          <w:sz w:val="32"/>
          <w:szCs w:val="32"/>
        </w:rPr>
        <w:t>202</w:t>
      </w:r>
      <w:r>
        <w:rPr>
          <w:rFonts w:hint="eastAsia" w:ascii="楷体_GB2312" w:hAnsi="楷体_GB2312" w:eastAsia="楷体_GB2312" w:cs="楷体_GB2312"/>
          <w:b/>
          <w:kern w:val="0"/>
          <w:sz w:val="32"/>
          <w:szCs w:val="32"/>
          <w:lang w:val="en-US" w:eastAsia="zh-CN"/>
        </w:rPr>
        <w:t>5</w:t>
      </w:r>
      <w:r>
        <w:rPr>
          <w:rFonts w:hint="eastAsia" w:ascii="楷体_GB2312" w:hAnsi="楷体_GB2312" w:eastAsia="楷体_GB2312" w:cs="楷体_GB2312"/>
          <w:b/>
          <w:kern w:val="0"/>
          <w:sz w:val="32"/>
          <w:szCs w:val="32"/>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按照全口径预算的原则，</w:t>
      </w:r>
      <w:r>
        <w:rPr>
          <w:rFonts w:hint="eastAsia" w:ascii="仿宋" w:hAnsi="仿宋" w:eastAsia="仿宋" w:cs="仿宋"/>
          <w:kern w:val="0"/>
          <w:sz w:val="32"/>
          <w:szCs w:val="32"/>
          <w:lang w:eastAsia="zh-CN"/>
        </w:rPr>
        <w:t>呼图壁县人民政府办公室</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color w:val="auto"/>
          <w:kern w:val="0"/>
          <w:sz w:val="32"/>
          <w:szCs w:val="32"/>
          <w:highlight w:val="none"/>
        </w:rPr>
        <w:t>年所有收入和支出均纳入</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预算管理。收支总预算</w:t>
      </w:r>
      <w:r>
        <w:rPr>
          <w:rFonts w:hint="eastAsia" w:ascii="仿宋" w:hAnsi="仿宋" w:eastAsia="仿宋" w:cs="仿宋"/>
          <w:color w:val="auto"/>
          <w:kern w:val="0"/>
          <w:sz w:val="32"/>
          <w:szCs w:val="32"/>
          <w:highlight w:val="none"/>
          <w:lang w:val="en-US" w:eastAsia="zh-CN"/>
        </w:rPr>
        <w:t>1493.50</w:t>
      </w:r>
      <w:r>
        <w:rPr>
          <w:rFonts w:hint="eastAsia" w:ascii="仿宋" w:hAnsi="仿宋" w:eastAsia="仿宋" w:cs="仿宋"/>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收入预算包括：一般公共预算</w:t>
      </w:r>
      <w:r>
        <w:rPr>
          <w:rFonts w:hint="eastAsia" w:ascii="仿宋" w:hAnsi="仿宋" w:eastAsia="仿宋" w:cs="仿宋"/>
          <w:color w:val="auto"/>
          <w:kern w:val="0"/>
          <w:sz w:val="32"/>
          <w:szCs w:val="32"/>
          <w:highlight w:val="none"/>
          <w:lang w:eastAsia="zh-CN"/>
        </w:rPr>
        <w:t>收入</w:t>
      </w:r>
      <w:r>
        <w:rPr>
          <w:rFonts w:hint="eastAsia" w:ascii="仿宋" w:hAnsi="仿宋" w:eastAsia="仿宋" w:cs="仿宋"/>
          <w:color w:val="auto"/>
          <w:kern w:val="0"/>
          <w:sz w:val="32"/>
          <w:szCs w:val="32"/>
          <w:highlight w:val="none"/>
        </w:rPr>
        <w:t>、</w:t>
      </w:r>
      <w:r>
        <w:rPr>
          <w:rFonts w:hint="eastAsia" w:ascii="仿宋" w:hAnsi="仿宋" w:eastAsia="仿宋" w:cs="仿宋"/>
          <w:kern w:val="0"/>
          <w:sz w:val="32"/>
          <w:szCs w:val="32"/>
          <w:highlight w:val="none"/>
          <w:lang w:val="en-US" w:eastAsia="zh-Hans"/>
        </w:rPr>
        <w:t>单位资金、财政拨款结转结余</w:t>
      </w:r>
      <w:r>
        <w:rPr>
          <w:rFonts w:hint="eastAsia"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color w:val="auto"/>
          <w:kern w:val="0"/>
          <w:sz w:val="32"/>
          <w:szCs w:val="32"/>
          <w:highlight w:val="none"/>
        </w:rPr>
        <w:t>支出预算包括：一般公共服务支出、</w:t>
      </w:r>
      <w:r>
        <w:rPr>
          <w:rFonts w:hint="eastAsia" w:ascii="仿宋" w:hAnsi="仿宋" w:eastAsia="仿宋" w:cs="仿宋"/>
          <w:kern w:val="0"/>
          <w:sz w:val="32"/>
          <w:szCs w:val="32"/>
        </w:rPr>
        <w:t>社会保障和就业支出、卫生健康支出、</w:t>
      </w:r>
      <w:r>
        <w:rPr>
          <w:rFonts w:hint="eastAsia" w:ascii="仿宋" w:hAnsi="仿宋" w:eastAsia="仿宋" w:cs="仿宋"/>
          <w:kern w:val="0"/>
          <w:sz w:val="32"/>
          <w:szCs w:val="32"/>
          <w:lang w:val="en-US" w:eastAsia="zh-CN"/>
        </w:rPr>
        <w:t>住房保障支出。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kern w:val="0"/>
          <w:sz w:val="32"/>
          <w:szCs w:val="32"/>
          <w:lang w:eastAsia="zh-CN"/>
        </w:rPr>
        <w:t>呼图壁县人民政府办公室</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呼图壁县人民政府办公室</w:t>
      </w:r>
      <w:r>
        <w:rPr>
          <w:rFonts w:hint="eastAsia" w:ascii="仿宋" w:hAnsi="仿宋" w:eastAsia="仿宋" w:cs="仿宋"/>
          <w:color w:val="auto"/>
          <w:kern w:val="0"/>
          <w:sz w:val="32"/>
          <w:szCs w:val="32"/>
          <w:highlight w:val="none"/>
        </w:rPr>
        <w:t>收入预算</w:t>
      </w:r>
      <w:r>
        <w:rPr>
          <w:rFonts w:hint="eastAsia" w:ascii="仿宋" w:hAnsi="仿宋" w:eastAsia="仿宋" w:cs="仿宋"/>
          <w:color w:val="auto"/>
          <w:kern w:val="0"/>
          <w:sz w:val="32"/>
          <w:szCs w:val="32"/>
          <w:highlight w:val="none"/>
          <w:lang w:val="en-US" w:eastAsia="zh-CN"/>
        </w:rPr>
        <w:t>1493.50</w:t>
      </w:r>
      <w:r>
        <w:rPr>
          <w:rFonts w:hint="eastAsia" w:ascii="仿宋" w:hAnsi="仿宋" w:eastAsia="仿宋" w:cs="仿宋"/>
          <w:color w:val="auto"/>
          <w:kern w:val="0"/>
          <w:sz w:val="32"/>
          <w:szCs w:val="32"/>
          <w:highlight w:val="none"/>
          <w:lang w:eastAsia="zh-CN"/>
        </w:rPr>
        <w:t>万</w:t>
      </w:r>
      <w:r>
        <w:rPr>
          <w:rFonts w:hint="eastAsia" w:ascii="仿宋" w:hAnsi="仿宋" w:eastAsia="仿宋" w:cs="仿宋"/>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CN"/>
        </w:rPr>
        <w:t>1071.14</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71.72</w:t>
      </w:r>
      <w:r>
        <w:rPr>
          <w:rFonts w:hint="eastAsia" w:ascii="仿宋" w:hAnsi="仿宋" w:eastAsia="仿宋" w:cs="仿宋"/>
          <w:color w:val="auto"/>
          <w:kern w:val="0"/>
          <w:sz w:val="32"/>
          <w:szCs w:val="32"/>
          <w:highlight w:val="none"/>
        </w:rPr>
        <w:t>%，比上年预算减少</w:t>
      </w:r>
      <w:r>
        <w:rPr>
          <w:rFonts w:hint="eastAsia" w:ascii="仿宋" w:hAnsi="仿宋" w:eastAsia="仿宋" w:cs="仿宋"/>
          <w:color w:val="auto"/>
          <w:kern w:val="0"/>
          <w:sz w:val="32"/>
          <w:szCs w:val="32"/>
          <w:highlight w:val="none"/>
          <w:lang w:val="en-US" w:eastAsia="zh-CN"/>
        </w:rPr>
        <w:t>60.11</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5.31%，</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eastAsia="zh-CN"/>
        </w:rPr>
        <w:t>机构改革，</w:t>
      </w:r>
      <w:r>
        <w:rPr>
          <w:rFonts w:hint="eastAsia" w:ascii="仿宋" w:hAnsi="仿宋" w:eastAsia="仿宋" w:cs="仿宋"/>
          <w:color w:val="auto"/>
          <w:kern w:val="0"/>
          <w:sz w:val="32"/>
          <w:szCs w:val="32"/>
          <w:highlight w:val="none"/>
          <w:lang w:val="en-US" w:eastAsia="zh-CN"/>
        </w:rPr>
        <w:t>12名干部划入县社工部及减少一中一小棚户区改造资金等</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w:t>
      </w: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Hans"/>
        </w:rPr>
        <w:t>安排的转移支付资金</w:t>
      </w:r>
      <w:r>
        <w:rPr>
          <w:rFonts w:hint="eastAsia" w:ascii="仿宋" w:hAnsi="仿宋" w:eastAsia="仿宋" w:cs="仿宋"/>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政府性基金预算0.00万元，占0.00%，比上年预算增加0.00万元，增长0.00%，主要原因是呼图壁县人民政府办公室202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lang w:eastAsia="zh-CN"/>
        </w:rPr>
        <w:t>年财政未安排政府性基金预算。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国有资本经营预算0.00万元，占0.00%，比上年预算增加0.00万元，增长0.00%，主要原因是呼图壁县人民政府办公室202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lang w:eastAsia="zh-CN"/>
        </w:rPr>
        <w:t>年财政未安排国有资本经营预算。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Hans"/>
        </w:rPr>
        <w:t>单位资金</w:t>
      </w:r>
      <w:r>
        <w:rPr>
          <w:rFonts w:hint="eastAsia" w:ascii="仿宋" w:hAnsi="仿宋" w:eastAsia="仿宋" w:cs="仿宋"/>
          <w:color w:val="auto"/>
          <w:kern w:val="0"/>
          <w:sz w:val="32"/>
          <w:szCs w:val="32"/>
          <w:highlight w:val="none"/>
          <w:lang w:val="en-US" w:eastAsia="zh-CN"/>
        </w:rPr>
        <w:t>420</w:t>
      </w:r>
      <w:r>
        <w:rPr>
          <w:rFonts w:hint="eastAsia" w:ascii="仿宋" w:hAnsi="仿宋" w:eastAsia="仿宋" w:cs="仿宋"/>
          <w:color w:val="auto"/>
          <w:kern w:val="0"/>
          <w:sz w:val="32"/>
          <w:szCs w:val="32"/>
          <w:highlight w:val="none"/>
          <w:lang w:eastAsia="zh-CN"/>
        </w:rPr>
        <w:t>万元，占</w:t>
      </w:r>
      <w:r>
        <w:rPr>
          <w:rFonts w:hint="eastAsia" w:ascii="仿宋" w:hAnsi="仿宋" w:eastAsia="仿宋" w:cs="仿宋"/>
          <w:color w:val="auto"/>
          <w:kern w:val="0"/>
          <w:sz w:val="32"/>
          <w:szCs w:val="32"/>
          <w:highlight w:val="none"/>
          <w:lang w:val="en-US" w:eastAsia="zh-CN"/>
        </w:rPr>
        <w:t>28.12</w:t>
      </w:r>
      <w:r>
        <w:rPr>
          <w:rFonts w:hint="eastAsia" w:ascii="仿宋" w:hAnsi="仿宋" w:eastAsia="仿宋" w:cs="仿宋"/>
          <w:color w:val="auto"/>
          <w:kern w:val="0"/>
          <w:sz w:val="32"/>
          <w:szCs w:val="32"/>
          <w:highlight w:val="none"/>
          <w:lang w:eastAsia="zh-CN"/>
        </w:rPr>
        <w:t>%，比上年预算增加</w:t>
      </w:r>
      <w:r>
        <w:rPr>
          <w:rFonts w:hint="eastAsia" w:ascii="仿宋" w:hAnsi="仿宋" w:eastAsia="仿宋" w:cs="仿宋"/>
          <w:color w:val="auto"/>
          <w:kern w:val="0"/>
          <w:sz w:val="32"/>
          <w:szCs w:val="32"/>
          <w:highlight w:val="none"/>
          <w:lang w:val="en-US" w:eastAsia="zh-CN"/>
        </w:rPr>
        <w:t>42</w:t>
      </w:r>
      <w:r>
        <w:rPr>
          <w:rFonts w:hint="eastAsia" w:ascii="仿宋" w:hAnsi="仿宋" w:eastAsia="仿宋" w:cs="仿宋"/>
          <w:color w:val="auto"/>
          <w:kern w:val="0"/>
          <w:sz w:val="32"/>
          <w:szCs w:val="32"/>
          <w:highlight w:val="none"/>
          <w:lang w:eastAsia="zh-CN"/>
        </w:rPr>
        <w:t>万元，增长</w:t>
      </w:r>
      <w:r>
        <w:rPr>
          <w:rFonts w:hint="eastAsia" w:ascii="仿宋" w:hAnsi="仿宋" w:eastAsia="仿宋" w:cs="仿宋"/>
          <w:color w:val="auto"/>
          <w:kern w:val="0"/>
          <w:sz w:val="32"/>
          <w:szCs w:val="32"/>
          <w:highlight w:val="none"/>
          <w:lang w:val="en-US" w:eastAsia="zh-CN"/>
        </w:rPr>
        <w:t>11.11%，</w:t>
      </w:r>
      <w:r>
        <w:rPr>
          <w:rFonts w:hint="eastAsia" w:ascii="仿宋" w:hAnsi="仿宋" w:eastAsia="仿宋" w:cs="仿宋"/>
          <w:color w:val="auto"/>
          <w:kern w:val="0"/>
          <w:sz w:val="32"/>
          <w:szCs w:val="32"/>
          <w:highlight w:val="none"/>
          <w:lang w:eastAsia="zh-CN"/>
        </w:rPr>
        <w:t>主要原因是</w:t>
      </w:r>
      <w:r>
        <w:rPr>
          <w:rFonts w:hint="eastAsia" w:ascii="仿宋" w:hAnsi="仿宋" w:eastAsia="仿宋" w:cs="仿宋"/>
          <w:color w:val="auto"/>
          <w:kern w:val="0"/>
          <w:sz w:val="32"/>
          <w:szCs w:val="32"/>
          <w:highlight w:val="none"/>
          <w:lang w:val="en-US" w:eastAsia="zh-CN"/>
        </w:rPr>
        <w:t>2025年增加县</w:t>
      </w:r>
      <w:r>
        <w:rPr>
          <w:rFonts w:hint="eastAsia" w:ascii="仿宋" w:hAnsi="仿宋" w:eastAsia="仿宋" w:cs="仿宋"/>
          <w:color w:val="auto"/>
          <w:kern w:val="0"/>
          <w:sz w:val="32"/>
          <w:szCs w:val="32"/>
          <w:highlight w:val="none"/>
          <w:lang w:eastAsia="zh-CN"/>
        </w:rPr>
        <w:t>红十会会费、单位取得的利息收入及其他收入。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Hans"/>
        </w:rPr>
        <w:t>财政拨款结转</w:t>
      </w:r>
      <w:r>
        <w:rPr>
          <w:rFonts w:hint="eastAsia" w:ascii="仿宋" w:hAnsi="仿宋" w:eastAsia="仿宋" w:cs="仿宋"/>
          <w:color w:val="auto"/>
          <w:kern w:val="0"/>
          <w:sz w:val="32"/>
          <w:szCs w:val="32"/>
          <w:highlight w:val="none"/>
          <w:lang w:val="en-US" w:eastAsia="zh-CN"/>
        </w:rPr>
        <w:t>2.36</w:t>
      </w:r>
      <w:r>
        <w:rPr>
          <w:rFonts w:hint="eastAsia" w:ascii="仿宋" w:hAnsi="仿宋" w:eastAsia="仿宋" w:cs="仿宋"/>
          <w:color w:val="auto"/>
          <w:kern w:val="0"/>
          <w:sz w:val="32"/>
          <w:szCs w:val="32"/>
          <w:highlight w:val="none"/>
          <w:lang w:eastAsia="zh-CN"/>
        </w:rPr>
        <w:t>万元，占</w:t>
      </w:r>
      <w:r>
        <w:rPr>
          <w:rFonts w:hint="eastAsia" w:ascii="仿宋" w:hAnsi="仿宋" w:eastAsia="仿宋" w:cs="仿宋"/>
          <w:color w:val="auto"/>
          <w:kern w:val="0"/>
          <w:sz w:val="32"/>
          <w:szCs w:val="32"/>
          <w:highlight w:val="none"/>
          <w:lang w:val="en-US" w:eastAsia="zh-CN"/>
        </w:rPr>
        <w:t>0.16</w:t>
      </w:r>
      <w:r>
        <w:rPr>
          <w:rFonts w:hint="eastAsia" w:ascii="仿宋" w:hAnsi="仿宋" w:eastAsia="仿宋" w:cs="仿宋"/>
          <w:color w:val="auto"/>
          <w:kern w:val="0"/>
          <w:sz w:val="32"/>
          <w:szCs w:val="32"/>
          <w:highlight w:val="none"/>
          <w:lang w:eastAsia="zh-CN"/>
        </w:rPr>
        <w:t>%，比上年预算增加</w:t>
      </w:r>
      <w:r>
        <w:rPr>
          <w:rFonts w:hint="eastAsia" w:ascii="仿宋" w:hAnsi="仿宋" w:eastAsia="仿宋" w:cs="仿宋"/>
          <w:color w:val="auto"/>
          <w:kern w:val="0"/>
          <w:sz w:val="32"/>
          <w:szCs w:val="32"/>
          <w:highlight w:val="none"/>
          <w:lang w:val="en-US" w:eastAsia="zh-CN"/>
        </w:rPr>
        <w:t>2.36</w:t>
      </w:r>
      <w:r>
        <w:rPr>
          <w:rFonts w:hint="eastAsia" w:ascii="仿宋" w:hAnsi="仿宋" w:eastAsia="仿宋" w:cs="仿宋"/>
          <w:color w:val="auto"/>
          <w:kern w:val="0"/>
          <w:sz w:val="32"/>
          <w:szCs w:val="32"/>
          <w:highlight w:val="none"/>
          <w:lang w:eastAsia="zh-CN"/>
        </w:rPr>
        <w:t>万元，增长</w:t>
      </w:r>
      <w:r>
        <w:rPr>
          <w:rFonts w:hint="eastAsia" w:ascii="仿宋" w:hAnsi="仿宋" w:eastAsia="仿宋" w:cs="仿宋"/>
          <w:color w:val="auto"/>
          <w:kern w:val="0"/>
          <w:sz w:val="32"/>
          <w:szCs w:val="32"/>
          <w:highlight w:val="none"/>
          <w:lang w:val="en-US" w:eastAsia="zh-CN"/>
        </w:rPr>
        <w:t>100%，</w:t>
      </w:r>
      <w:r>
        <w:rPr>
          <w:rFonts w:hint="eastAsia" w:ascii="仿宋" w:hAnsi="仿宋" w:eastAsia="仿宋" w:cs="仿宋"/>
          <w:color w:val="auto"/>
          <w:kern w:val="0"/>
          <w:sz w:val="32"/>
          <w:szCs w:val="32"/>
          <w:highlight w:val="none"/>
          <w:lang w:eastAsia="zh-CN"/>
        </w:rPr>
        <w:t>主要原因是结转</w:t>
      </w:r>
      <w:r>
        <w:rPr>
          <w:rFonts w:hint="eastAsia" w:ascii="仿宋" w:hAnsi="仿宋" w:eastAsia="仿宋" w:cs="仿宋"/>
          <w:color w:val="auto"/>
          <w:kern w:val="0"/>
          <w:sz w:val="32"/>
          <w:szCs w:val="32"/>
          <w:highlight w:val="none"/>
          <w:lang w:val="en-US" w:eastAsia="zh-CN"/>
        </w:rPr>
        <w:t>2024年为民办实事经费</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kern w:val="0"/>
          <w:sz w:val="32"/>
          <w:szCs w:val="32"/>
          <w:lang w:eastAsia="zh-CN"/>
        </w:rPr>
        <w:t>呼图壁县人民政府办公室</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呼图壁县人民政府办公室</w:t>
      </w:r>
      <w:r>
        <w:rPr>
          <w:rFonts w:hint="eastAsia" w:ascii="仿宋" w:hAnsi="仿宋" w:eastAsia="仿宋" w:cs="仿宋"/>
          <w:color w:val="auto"/>
          <w:kern w:val="0"/>
          <w:sz w:val="32"/>
          <w:szCs w:val="32"/>
          <w:highlight w:val="none"/>
          <w:lang w:val="en-US" w:eastAsia="zh-CN"/>
        </w:rPr>
        <w:t>2025</w:t>
      </w:r>
      <w:r>
        <w:rPr>
          <w:rFonts w:hint="eastAsia" w:ascii="仿宋" w:hAnsi="仿宋" w:eastAsia="仿宋" w:cs="仿宋"/>
          <w:color w:val="auto"/>
          <w:kern w:val="0"/>
          <w:sz w:val="32"/>
          <w:szCs w:val="32"/>
          <w:highlight w:val="none"/>
          <w:lang w:eastAsia="zh-CN"/>
        </w:rPr>
        <w:t>年支出预算</w:t>
      </w:r>
      <w:r>
        <w:rPr>
          <w:rFonts w:hint="eastAsia" w:ascii="仿宋" w:hAnsi="仿宋" w:eastAsia="仿宋" w:cs="仿宋"/>
          <w:color w:val="auto"/>
          <w:kern w:val="0"/>
          <w:sz w:val="32"/>
          <w:szCs w:val="32"/>
          <w:highlight w:val="none"/>
          <w:lang w:val="en-US" w:eastAsia="zh-CN"/>
        </w:rPr>
        <w:t>1493.50</w:t>
      </w:r>
      <w:r>
        <w:rPr>
          <w:rFonts w:hint="eastAsia" w:ascii="仿宋" w:hAnsi="仿宋" w:eastAsia="仿宋" w:cs="仿宋"/>
          <w:color w:val="auto"/>
          <w:kern w:val="0"/>
          <w:sz w:val="32"/>
          <w:szCs w:val="32"/>
          <w:highlight w:val="none"/>
          <w:lang w:eastAsia="zh-CN"/>
        </w:rPr>
        <w:t>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基本支出</w:t>
      </w:r>
      <w:r>
        <w:rPr>
          <w:rFonts w:hint="eastAsia" w:ascii="仿宋" w:hAnsi="仿宋" w:eastAsia="仿宋" w:cs="仿宋"/>
          <w:color w:val="auto"/>
          <w:kern w:val="0"/>
          <w:sz w:val="32"/>
          <w:szCs w:val="32"/>
          <w:highlight w:val="none"/>
          <w:lang w:val="en-US" w:eastAsia="zh-CN"/>
        </w:rPr>
        <w:t>1245.14</w:t>
      </w:r>
      <w:r>
        <w:rPr>
          <w:rFonts w:hint="eastAsia" w:ascii="仿宋" w:hAnsi="仿宋" w:eastAsia="仿宋" w:cs="仿宋"/>
          <w:color w:val="auto"/>
          <w:kern w:val="0"/>
          <w:sz w:val="32"/>
          <w:szCs w:val="32"/>
          <w:highlight w:val="none"/>
          <w:lang w:eastAsia="zh-CN"/>
        </w:rPr>
        <w:t>万元，占</w:t>
      </w:r>
      <w:r>
        <w:rPr>
          <w:rFonts w:hint="eastAsia" w:ascii="仿宋" w:hAnsi="仿宋" w:eastAsia="仿宋" w:cs="仿宋"/>
          <w:color w:val="auto"/>
          <w:kern w:val="0"/>
          <w:sz w:val="32"/>
          <w:szCs w:val="32"/>
          <w:highlight w:val="none"/>
          <w:lang w:val="en-US" w:eastAsia="zh-CN"/>
        </w:rPr>
        <w:t>83.37</w:t>
      </w:r>
      <w:r>
        <w:rPr>
          <w:rFonts w:hint="eastAsia" w:ascii="仿宋" w:hAnsi="仿宋" w:eastAsia="仿宋" w:cs="仿宋"/>
          <w:color w:val="auto"/>
          <w:kern w:val="0"/>
          <w:sz w:val="32"/>
          <w:szCs w:val="32"/>
          <w:highlight w:val="none"/>
          <w:lang w:eastAsia="zh-CN"/>
        </w:rPr>
        <w:t xml:space="preserve">%，比上年预算减少   </w:t>
      </w:r>
      <w:r>
        <w:rPr>
          <w:rFonts w:hint="eastAsia" w:ascii="仿宋" w:hAnsi="仿宋" w:eastAsia="仿宋" w:cs="仿宋"/>
          <w:color w:val="auto"/>
          <w:kern w:val="0"/>
          <w:sz w:val="32"/>
          <w:szCs w:val="32"/>
          <w:highlight w:val="none"/>
          <w:lang w:val="en-US" w:eastAsia="zh-CN"/>
        </w:rPr>
        <w:t>139.11</w:t>
      </w:r>
      <w:r>
        <w:rPr>
          <w:rFonts w:hint="eastAsia" w:ascii="仿宋" w:hAnsi="仿宋" w:eastAsia="仿宋" w:cs="仿宋"/>
          <w:color w:val="auto"/>
          <w:kern w:val="0"/>
          <w:sz w:val="32"/>
          <w:szCs w:val="32"/>
          <w:highlight w:val="none"/>
          <w:lang w:eastAsia="zh-CN"/>
        </w:rPr>
        <w:t>万元，下降</w:t>
      </w:r>
      <w:r>
        <w:rPr>
          <w:rFonts w:hint="eastAsia" w:ascii="仿宋" w:hAnsi="仿宋" w:eastAsia="仿宋" w:cs="仿宋"/>
          <w:color w:val="auto"/>
          <w:kern w:val="0"/>
          <w:sz w:val="32"/>
          <w:szCs w:val="32"/>
          <w:highlight w:val="none"/>
          <w:lang w:val="en-US" w:eastAsia="zh-CN"/>
        </w:rPr>
        <w:t>10.05%，</w:t>
      </w:r>
      <w:r>
        <w:rPr>
          <w:rFonts w:hint="eastAsia" w:ascii="仿宋" w:hAnsi="仿宋" w:eastAsia="仿宋" w:cs="仿宋"/>
          <w:color w:val="auto"/>
          <w:kern w:val="0"/>
          <w:sz w:val="32"/>
          <w:szCs w:val="32"/>
          <w:highlight w:val="none"/>
          <w:lang w:eastAsia="zh-CN"/>
        </w:rPr>
        <w:t>主要原因是</w:t>
      </w:r>
      <w:r>
        <w:rPr>
          <w:rFonts w:hint="eastAsia" w:ascii="仿宋" w:hAnsi="仿宋" w:eastAsia="仿宋" w:cs="仿宋"/>
          <w:color w:val="auto"/>
          <w:kern w:val="0"/>
          <w:sz w:val="32"/>
          <w:szCs w:val="32"/>
          <w:highlight w:val="none"/>
          <w:lang w:val="en-US" w:eastAsia="zh-CN"/>
        </w:rPr>
        <w:t>12名干部干部划入县社工部及减少一中一小棚户区改造资金等</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项目支出</w:t>
      </w:r>
      <w:r>
        <w:rPr>
          <w:rFonts w:hint="eastAsia" w:ascii="仿宋" w:hAnsi="仿宋" w:eastAsia="仿宋" w:cs="仿宋"/>
          <w:color w:val="auto"/>
          <w:kern w:val="0"/>
          <w:sz w:val="32"/>
          <w:szCs w:val="32"/>
          <w:highlight w:val="none"/>
          <w:lang w:val="en-US" w:eastAsia="zh-CN"/>
        </w:rPr>
        <w:t>248.36</w:t>
      </w:r>
      <w:r>
        <w:rPr>
          <w:rFonts w:hint="eastAsia" w:ascii="仿宋" w:hAnsi="仿宋" w:eastAsia="仿宋" w:cs="仿宋"/>
          <w:color w:val="auto"/>
          <w:kern w:val="0"/>
          <w:sz w:val="32"/>
          <w:szCs w:val="32"/>
          <w:highlight w:val="none"/>
          <w:lang w:eastAsia="zh-CN"/>
        </w:rPr>
        <w:t>万元，占</w:t>
      </w:r>
      <w:r>
        <w:rPr>
          <w:rFonts w:hint="eastAsia" w:ascii="仿宋" w:hAnsi="仿宋" w:eastAsia="仿宋" w:cs="仿宋"/>
          <w:color w:val="auto"/>
          <w:kern w:val="0"/>
          <w:sz w:val="32"/>
          <w:szCs w:val="32"/>
          <w:highlight w:val="none"/>
          <w:lang w:val="en-US" w:eastAsia="zh-CN"/>
        </w:rPr>
        <w:t>16.63</w:t>
      </w:r>
      <w:r>
        <w:rPr>
          <w:rFonts w:hint="eastAsia" w:ascii="仿宋" w:hAnsi="仿宋" w:eastAsia="仿宋" w:cs="仿宋"/>
          <w:color w:val="auto"/>
          <w:kern w:val="0"/>
          <w:sz w:val="32"/>
          <w:szCs w:val="32"/>
          <w:highlight w:val="none"/>
          <w:lang w:eastAsia="zh-CN"/>
        </w:rPr>
        <w:t>%，比上年预算增加</w:t>
      </w:r>
      <w:r>
        <w:rPr>
          <w:rFonts w:hint="eastAsia" w:ascii="仿宋" w:hAnsi="仿宋" w:eastAsia="仿宋" w:cs="仿宋"/>
          <w:color w:val="auto"/>
          <w:kern w:val="0"/>
          <w:sz w:val="32"/>
          <w:szCs w:val="32"/>
          <w:highlight w:val="none"/>
          <w:lang w:val="en-US" w:eastAsia="zh-CN"/>
        </w:rPr>
        <w:t>123.36</w:t>
      </w:r>
      <w:r>
        <w:rPr>
          <w:rFonts w:hint="eastAsia" w:ascii="仿宋" w:hAnsi="仿宋" w:eastAsia="仿宋" w:cs="仿宋"/>
          <w:color w:val="auto"/>
          <w:kern w:val="0"/>
          <w:sz w:val="32"/>
          <w:szCs w:val="32"/>
          <w:highlight w:val="none"/>
          <w:lang w:eastAsia="zh-CN"/>
        </w:rPr>
        <w:t>万元，增长</w:t>
      </w:r>
      <w:r>
        <w:rPr>
          <w:rFonts w:hint="eastAsia" w:ascii="仿宋" w:hAnsi="仿宋" w:eastAsia="仿宋" w:cs="仿宋"/>
          <w:color w:val="auto"/>
          <w:kern w:val="0"/>
          <w:sz w:val="32"/>
          <w:szCs w:val="32"/>
          <w:highlight w:val="none"/>
          <w:lang w:val="en-US" w:eastAsia="zh-CN"/>
        </w:rPr>
        <w:t>98.69%，</w:t>
      </w:r>
      <w:r>
        <w:rPr>
          <w:rFonts w:hint="eastAsia" w:ascii="仿宋" w:hAnsi="仿宋" w:eastAsia="仿宋" w:cs="仿宋"/>
          <w:color w:val="auto"/>
          <w:kern w:val="0"/>
          <w:sz w:val="32"/>
          <w:szCs w:val="32"/>
          <w:highlight w:val="none"/>
          <w:lang w:eastAsia="zh-CN"/>
        </w:rPr>
        <w:t>主要原因是增加政府救助综合保障保险资金及结转</w:t>
      </w:r>
      <w:r>
        <w:rPr>
          <w:rFonts w:hint="eastAsia" w:ascii="仿宋" w:hAnsi="仿宋" w:eastAsia="仿宋" w:cs="仿宋"/>
          <w:color w:val="auto"/>
          <w:kern w:val="0"/>
          <w:sz w:val="32"/>
          <w:szCs w:val="32"/>
          <w:highlight w:val="none"/>
          <w:lang w:val="en-US" w:eastAsia="zh-CN"/>
        </w:rPr>
        <w:t>2024年为民办实事经费</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呼图壁县人民政府办公室</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呼图壁县人民政府办公室2025</w:t>
      </w:r>
      <w:r>
        <w:rPr>
          <w:rFonts w:hint="eastAsia" w:ascii="仿宋" w:hAnsi="仿宋" w:eastAsia="仿宋" w:cs="仿宋"/>
          <w:color w:val="auto"/>
          <w:kern w:val="0"/>
          <w:sz w:val="32"/>
          <w:szCs w:val="32"/>
          <w:highlight w:val="none"/>
          <w:lang w:eastAsia="zh-CN"/>
        </w:rPr>
        <w:t>年财政拨款收支总预算</w:t>
      </w:r>
      <w:r>
        <w:rPr>
          <w:rFonts w:hint="eastAsia" w:ascii="仿宋" w:hAnsi="仿宋" w:eastAsia="仿宋" w:cs="仿宋"/>
          <w:color w:val="auto"/>
          <w:kern w:val="0"/>
          <w:sz w:val="32"/>
          <w:szCs w:val="32"/>
          <w:highlight w:val="none"/>
          <w:lang w:val="en-US" w:eastAsia="zh-CN"/>
        </w:rPr>
        <w:t>1071.14</w:t>
      </w:r>
      <w:r>
        <w:rPr>
          <w:rFonts w:hint="eastAsia" w:ascii="仿宋" w:hAnsi="仿宋" w:eastAsia="仿宋" w:cs="仿宋"/>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收入预算包括：一般公共预算拨款</w:t>
      </w:r>
      <w:r>
        <w:rPr>
          <w:rFonts w:hint="eastAsia" w:ascii="仿宋" w:hAnsi="仿宋" w:eastAsia="仿宋" w:cs="仿宋"/>
          <w:color w:val="auto"/>
          <w:kern w:val="0"/>
          <w:sz w:val="32"/>
          <w:szCs w:val="32"/>
          <w:highlight w:val="none"/>
          <w:lang w:val="en-US" w:eastAsia="zh-CN"/>
        </w:rPr>
        <w:t>1071.14</w:t>
      </w:r>
      <w:r>
        <w:rPr>
          <w:rFonts w:hint="eastAsia" w:ascii="仿宋" w:hAnsi="仿宋" w:eastAsia="仿宋" w:cs="仿宋"/>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一般公共预算支出包括：一般公共服务支出</w:t>
      </w:r>
      <w:r>
        <w:rPr>
          <w:rFonts w:hint="eastAsia" w:ascii="仿宋" w:hAnsi="仿宋" w:eastAsia="仿宋" w:cs="仿宋"/>
          <w:color w:val="auto"/>
          <w:kern w:val="0"/>
          <w:sz w:val="32"/>
          <w:szCs w:val="32"/>
          <w:highlight w:val="none"/>
          <w:lang w:val="en-US" w:eastAsia="zh-CN"/>
        </w:rPr>
        <w:t>866.69</w:t>
      </w:r>
      <w:r>
        <w:rPr>
          <w:rFonts w:hint="eastAsia" w:ascii="仿宋" w:hAnsi="仿宋" w:eastAsia="仿宋" w:cs="仿宋"/>
          <w:color w:val="auto"/>
          <w:kern w:val="0"/>
          <w:sz w:val="32"/>
          <w:szCs w:val="32"/>
          <w:highlight w:val="none"/>
          <w:lang w:eastAsia="zh-CN"/>
        </w:rPr>
        <w:t>万元，主要用于人员工资基本支出及公用经费支出；社会保障和就业支出</w:t>
      </w:r>
      <w:r>
        <w:rPr>
          <w:rFonts w:hint="eastAsia" w:ascii="仿宋" w:hAnsi="仿宋" w:eastAsia="仿宋" w:cs="仿宋"/>
          <w:color w:val="auto"/>
          <w:kern w:val="0"/>
          <w:sz w:val="32"/>
          <w:szCs w:val="32"/>
          <w:highlight w:val="none"/>
          <w:lang w:val="en-US" w:eastAsia="zh-CN"/>
        </w:rPr>
        <w:t>85.00万元，主要用于</w:t>
      </w:r>
      <w:r>
        <w:rPr>
          <w:rFonts w:hint="eastAsia" w:ascii="仿宋" w:hAnsi="仿宋" w:eastAsia="仿宋" w:cs="仿宋"/>
          <w:color w:val="auto"/>
          <w:kern w:val="0"/>
          <w:sz w:val="32"/>
          <w:szCs w:val="32"/>
          <w:highlight w:val="none"/>
          <w:lang w:eastAsia="zh-CN"/>
        </w:rPr>
        <w:t>机关事业单位基本养老保险缴费支出</w:t>
      </w:r>
      <w:r>
        <w:rPr>
          <w:rFonts w:hint="eastAsia" w:ascii="仿宋" w:hAnsi="仿宋" w:eastAsia="仿宋" w:cs="仿宋"/>
          <w:color w:val="auto"/>
          <w:kern w:val="0"/>
          <w:sz w:val="32"/>
          <w:szCs w:val="32"/>
          <w:highlight w:val="none"/>
          <w:lang w:val="en-US" w:eastAsia="zh-CN"/>
        </w:rPr>
        <w:t>；卫生健康支出57.08万元，主要用于</w:t>
      </w:r>
      <w:r>
        <w:rPr>
          <w:rFonts w:hint="eastAsia" w:ascii="仿宋" w:hAnsi="仿宋" w:eastAsia="仿宋" w:cs="仿宋"/>
          <w:color w:val="auto"/>
          <w:kern w:val="0"/>
          <w:sz w:val="32"/>
          <w:szCs w:val="32"/>
          <w:highlight w:val="none"/>
          <w:lang w:eastAsia="zh-CN"/>
        </w:rPr>
        <w:t>行政事业单位医疗和公务员医疗补助支出</w:t>
      </w:r>
      <w:r>
        <w:rPr>
          <w:rFonts w:hint="eastAsia" w:ascii="仿宋" w:hAnsi="仿宋" w:eastAsia="仿宋" w:cs="仿宋"/>
          <w:color w:val="auto"/>
          <w:kern w:val="0"/>
          <w:sz w:val="32"/>
          <w:szCs w:val="32"/>
          <w:highlight w:val="none"/>
          <w:lang w:val="en-US" w:eastAsia="zh-CN"/>
        </w:rPr>
        <w:t>；住房保障支出62.37万元，</w:t>
      </w:r>
      <w:r>
        <w:rPr>
          <w:rFonts w:hint="eastAsia" w:ascii="仿宋" w:hAnsi="仿宋" w:eastAsia="仿宋" w:cs="仿宋"/>
          <w:color w:val="auto"/>
          <w:kern w:val="0"/>
          <w:sz w:val="32"/>
          <w:szCs w:val="32"/>
          <w:highlight w:val="none"/>
          <w:lang w:eastAsia="zh-CN"/>
        </w:rPr>
        <w:t>主要用于单位职工住房公积金支出。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呼图壁县人民政府办公室</w:t>
      </w:r>
      <w:r>
        <w:rPr>
          <w:rFonts w:hint="eastAsia" w:ascii="楷体_GB2312" w:hAnsi="楷体_GB2312" w:eastAsia="楷体_GB2312" w:cs="楷体_GB2312"/>
          <w:b/>
          <w:bCs/>
          <w:kern w:val="0"/>
          <w:sz w:val="32"/>
          <w:szCs w:val="32"/>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呼图壁县人民政府办公室</w:t>
      </w:r>
      <w:r>
        <w:rPr>
          <w:rFonts w:hint="eastAsia" w:ascii="仿宋" w:hAnsi="仿宋" w:eastAsia="仿宋" w:cs="仿宋"/>
          <w:color w:val="auto"/>
          <w:kern w:val="0"/>
          <w:sz w:val="32"/>
          <w:szCs w:val="32"/>
          <w:highlight w:val="none"/>
          <w:lang w:val="en-US" w:eastAsia="zh-CN"/>
        </w:rPr>
        <w:t>2025</w:t>
      </w:r>
      <w:r>
        <w:rPr>
          <w:rFonts w:hint="eastAsia" w:ascii="仿宋" w:hAnsi="仿宋" w:eastAsia="仿宋" w:cs="仿宋"/>
          <w:color w:val="auto"/>
          <w:kern w:val="0"/>
          <w:sz w:val="32"/>
          <w:szCs w:val="32"/>
          <w:highlight w:val="none"/>
          <w:lang w:eastAsia="zh-CN"/>
        </w:rPr>
        <w:t>年一般公共预算拨款合计</w:t>
      </w:r>
      <w:r>
        <w:rPr>
          <w:rFonts w:hint="eastAsia" w:ascii="仿宋" w:hAnsi="仿宋" w:eastAsia="仿宋" w:cs="仿宋"/>
          <w:color w:val="auto"/>
          <w:kern w:val="0"/>
          <w:sz w:val="32"/>
          <w:szCs w:val="32"/>
          <w:highlight w:val="none"/>
          <w:lang w:val="en-US" w:eastAsia="zh-CN"/>
        </w:rPr>
        <w:t>1071.14</w:t>
      </w:r>
      <w:r>
        <w:rPr>
          <w:rFonts w:hint="eastAsia" w:ascii="仿宋" w:hAnsi="仿宋" w:eastAsia="仿宋" w:cs="仿宋"/>
          <w:color w:val="auto"/>
          <w:kern w:val="0"/>
          <w:sz w:val="32"/>
          <w:szCs w:val="32"/>
          <w:highlight w:val="none"/>
          <w:lang w:eastAsia="zh-CN"/>
        </w:rPr>
        <w:t>万元，其中：基本支出</w:t>
      </w:r>
      <w:r>
        <w:rPr>
          <w:rFonts w:hint="eastAsia" w:ascii="仿宋" w:hAnsi="仿宋" w:eastAsia="仿宋" w:cs="仿宋"/>
          <w:color w:val="auto"/>
          <w:kern w:val="0"/>
          <w:sz w:val="32"/>
          <w:szCs w:val="32"/>
          <w:highlight w:val="none"/>
          <w:lang w:val="en-US" w:eastAsia="zh-CN"/>
        </w:rPr>
        <w:t>825.14</w:t>
      </w:r>
      <w:r>
        <w:rPr>
          <w:rFonts w:hint="eastAsia" w:ascii="仿宋" w:hAnsi="仿宋" w:eastAsia="仿宋" w:cs="仿宋"/>
          <w:color w:val="auto"/>
          <w:kern w:val="0"/>
          <w:sz w:val="32"/>
          <w:szCs w:val="32"/>
          <w:highlight w:val="none"/>
          <w:lang w:eastAsia="zh-CN"/>
        </w:rPr>
        <w:t>万元，比上年预算减少</w:t>
      </w:r>
      <w:r>
        <w:rPr>
          <w:rFonts w:hint="eastAsia" w:ascii="仿宋" w:hAnsi="仿宋" w:eastAsia="仿宋" w:cs="仿宋"/>
          <w:color w:val="auto"/>
          <w:kern w:val="0"/>
          <w:sz w:val="32"/>
          <w:szCs w:val="32"/>
          <w:highlight w:val="none"/>
          <w:lang w:val="en-US" w:eastAsia="zh-CN"/>
        </w:rPr>
        <w:t>181.14</w:t>
      </w:r>
      <w:r>
        <w:rPr>
          <w:rFonts w:hint="eastAsia" w:ascii="仿宋" w:hAnsi="仿宋" w:eastAsia="仿宋" w:cs="仿宋"/>
          <w:color w:val="auto"/>
          <w:kern w:val="0"/>
          <w:sz w:val="32"/>
          <w:szCs w:val="32"/>
          <w:highlight w:val="none"/>
          <w:lang w:eastAsia="zh-CN"/>
        </w:rPr>
        <w:t>万元，下降</w:t>
      </w:r>
      <w:r>
        <w:rPr>
          <w:rFonts w:hint="eastAsia" w:ascii="仿宋" w:hAnsi="仿宋" w:eastAsia="仿宋" w:cs="仿宋"/>
          <w:color w:val="auto"/>
          <w:kern w:val="0"/>
          <w:sz w:val="32"/>
          <w:szCs w:val="32"/>
          <w:highlight w:val="none"/>
          <w:lang w:val="en-US" w:eastAsia="zh-CN"/>
        </w:rPr>
        <w:t>18.00</w:t>
      </w:r>
      <w:r>
        <w:rPr>
          <w:rFonts w:hint="eastAsia" w:ascii="仿宋" w:hAnsi="仿宋" w:eastAsia="仿宋" w:cs="仿宋"/>
          <w:color w:val="auto"/>
          <w:kern w:val="0"/>
          <w:sz w:val="32"/>
          <w:szCs w:val="32"/>
          <w:highlight w:val="none"/>
          <w:lang w:eastAsia="zh-CN"/>
        </w:rPr>
        <w:t>%。主要原因是：机构改革，</w:t>
      </w:r>
      <w:r>
        <w:rPr>
          <w:rFonts w:hint="eastAsia" w:ascii="仿宋" w:hAnsi="仿宋" w:eastAsia="仿宋" w:cs="仿宋"/>
          <w:color w:val="auto"/>
          <w:kern w:val="0"/>
          <w:sz w:val="32"/>
          <w:szCs w:val="32"/>
          <w:highlight w:val="none"/>
          <w:lang w:val="en-US" w:eastAsia="zh-CN"/>
        </w:rPr>
        <w:t>12名干部划入县社工部及减少一中一小棚户区改造资金等</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项目支出</w:t>
      </w:r>
      <w:r>
        <w:rPr>
          <w:rFonts w:hint="eastAsia" w:ascii="仿宋" w:hAnsi="仿宋" w:eastAsia="仿宋" w:cs="仿宋"/>
          <w:color w:val="auto"/>
          <w:kern w:val="0"/>
          <w:sz w:val="32"/>
          <w:szCs w:val="32"/>
          <w:highlight w:val="none"/>
          <w:lang w:val="en-US" w:eastAsia="zh-CN"/>
        </w:rPr>
        <w:t>246</w:t>
      </w:r>
      <w:r>
        <w:rPr>
          <w:rFonts w:hint="eastAsia" w:ascii="仿宋" w:hAnsi="仿宋" w:eastAsia="仿宋" w:cs="仿宋"/>
          <w:color w:val="auto"/>
          <w:kern w:val="0"/>
          <w:sz w:val="32"/>
          <w:szCs w:val="32"/>
          <w:highlight w:val="none"/>
          <w:lang w:eastAsia="zh-CN"/>
        </w:rPr>
        <w:t>万元，比上年预算增加</w:t>
      </w:r>
      <w:r>
        <w:rPr>
          <w:rFonts w:hint="eastAsia" w:ascii="仿宋" w:hAnsi="仿宋" w:eastAsia="仿宋" w:cs="仿宋"/>
          <w:color w:val="auto"/>
          <w:kern w:val="0"/>
          <w:sz w:val="32"/>
          <w:szCs w:val="32"/>
          <w:highlight w:val="none"/>
          <w:lang w:val="en-US" w:eastAsia="zh-CN"/>
        </w:rPr>
        <w:t>121</w:t>
      </w:r>
      <w:r>
        <w:rPr>
          <w:rFonts w:hint="eastAsia" w:ascii="仿宋" w:hAnsi="仿宋" w:eastAsia="仿宋" w:cs="仿宋"/>
          <w:color w:val="auto"/>
          <w:kern w:val="0"/>
          <w:sz w:val="32"/>
          <w:szCs w:val="32"/>
          <w:highlight w:val="none"/>
          <w:lang w:eastAsia="zh-CN"/>
        </w:rPr>
        <w:t>万元，增长</w:t>
      </w:r>
      <w:r>
        <w:rPr>
          <w:rFonts w:hint="eastAsia" w:ascii="仿宋" w:hAnsi="仿宋" w:eastAsia="仿宋" w:cs="仿宋"/>
          <w:color w:val="auto"/>
          <w:kern w:val="0"/>
          <w:sz w:val="32"/>
          <w:szCs w:val="32"/>
          <w:highlight w:val="none"/>
          <w:lang w:val="en-US" w:eastAsia="zh-CN"/>
        </w:rPr>
        <w:t>96.80</w:t>
      </w:r>
      <w:r>
        <w:rPr>
          <w:rFonts w:hint="eastAsia" w:ascii="仿宋" w:hAnsi="仿宋" w:eastAsia="仿宋" w:cs="仿宋"/>
          <w:color w:val="auto"/>
          <w:kern w:val="0"/>
          <w:sz w:val="32"/>
          <w:szCs w:val="32"/>
          <w:highlight w:val="none"/>
          <w:lang w:eastAsia="zh-CN"/>
        </w:rPr>
        <w:t>%。主要原因是增加政府救助综合保障保险资金及结转</w:t>
      </w:r>
      <w:r>
        <w:rPr>
          <w:rFonts w:hint="eastAsia" w:ascii="仿宋" w:hAnsi="仿宋" w:eastAsia="仿宋" w:cs="仿宋"/>
          <w:color w:val="auto"/>
          <w:kern w:val="0"/>
          <w:sz w:val="32"/>
          <w:szCs w:val="32"/>
          <w:highlight w:val="none"/>
          <w:lang w:val="en-US" w:eastAsia="zh-CN"/>
        </w:rPr>
        <w:t>2024年为民办实事经费</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eastAsia="zh-CN"/>
        </w:rPr>
        <w:t>（</w:t>
      </w:r>
      <w:r>
        <w:rPr>
          <w:rFonts w:hint="eastAsia" w:ascii="仿宋_GB2312" w:hAnsi="仿宋_GB2312" w:eastAsia="仿宋_GB2312" w:cs="仿宋_GB2312"/>
          <w:b/>
          <w:color w:val="auto"/>
          <w:kern w:val="0"/>
          <w:sz w:val="32"/>
          <w:szCs w:val="32"/>
          <w:highlight w:val="none"/>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1.一般公共服务（类）866.69万元，占80.91%。</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2.社会保障和就业支出（类）85.00万元，占7.94%。</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3.卫生健康支出（类）57.08万元，占5.33%。</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4.住房保障支出（类）62.37万元，占5.82%</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一般公共服务（类）政府办公厅（室）及相关机构事务（款）行政运行（项）:2025预算数为431.81万元，比上年预算减少320.68万元，下降42.62%，主要原因是机构改革，12名干部划入县社工部，所以人员经费预算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2、一般公共服务（类）政府办公厅（室）及相关机构事务（款）一般行政管理事务（项）:2025预算数为246.00万元，比上年预算增加126.00万元，增长105.00%，主要原因是增加政府救助综合保障保险资金。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3、一般公共服务（类）政府办公厅（室）及相关机构事务（款）事业运行（项）:2025预算数为188.88万元，比上年预算增加188.88万元，增长100%，主要原因是2024年事业运行款未做预算，2025年新增事业运行款。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4.社会保障和就业支出（类）行政事业单位养老支出（款）行政单位离退休（项）：2025年预算数为9.53万元，比上年预算数减少20.39万元，下降68.15%，主要原因是1名离休干部去世，所以行政单位离退休减少。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5.社会保障和就业支出（类）行政事业单位养老支出（款）机关事业单位基本养老保险费支出（项）：2025年预算数为75.47万元，比上年预算数减少15.13万元，下降16.70%，主要原因是机构改革，12名干部划入县社工部，所以机关事业单位基本养老保险费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6.卫生健康支出（类）行政事业单位医疗（款）行政单位医疗（项）：2025年预算数为24.32万元，比上年预算数减少33.77万元，下降58.13%，主要原因是12名干部划入县社工部，所以行政单位医疗减少。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7.卫生健康支出（类）行政事业单位医疗（款）事业单位医疗（项）：2025年预算数为13.42万元，比上年预算数增加13.42万元，增长100%，主要原因是2024年只有行政单位医疗款项，2025年将行政单位医疗款分为行政单位医疗款及事业单位医疗款，所以事业单位医疗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8.卫生健康支出（类）行政事业单位医疗（款）公务员医疗补助（项）：2025年预算数为18.87万元，比上年预算数增加10.57万元，增长127.35%，主要原因是社保基数调整增加，所以公务员医疗增加。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9.卫生健康支出（类）行政事业单位医疗（款）其他行政事业单位医疗支出（项）：2025年预算数为0.47万元，比上年预算数增加0.14万元，增长42.42%，要原因是2025年大病缴费比例增加，所以其他行政事业单位医疗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10.住房保障支出（类）住房改革支出（款）住房公积金（项）：2025年预算数为62.37万元，比上年预算数减少12.78万元，下降17.01%，主要原因是机构改革，12名干部划入县社工部，所以住房公积金减少。</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呼图壁县人民政府办公室</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呼图壁县人民政府办公室2025年一般公共预算基本支出825.14万元，其中：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人员经费731.70万元，主要包括：基本工资、津贴补贴、奖金、绩效工资、机关事业单位基本养老保险缴费、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公用经费93.44万元，主要包括：办公费、水费、电费、劳务费、工会经费、公务用车运行维护费。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七、关于</w:t>
      </w:r>
      <w:r>
        <w:rPr>
          <w:rFonts w:hint="eastAsia" w:ascii="楷体_GB2312" w:hAnsi="楷体_GB2312" w:eastAsia="楷体_GB2312" w:cs="楷体_GB2312"/>
          <w:b/>
          <w:bCs/>
          <w:color w:val="auto"/>
          <w:kern w:val="0"/>
          <w:sz w:val="32"/>
          <w:szCs w:val="32"/>
          <w:highlight w:val="none"/>
          <w:lang w:eastAsia="zh-CN"/>
        </w:rPr>
        <w:t>呼图壁县人民政府办公室</w:t>
      </w:r>
      <w:r>
        <w:rPr>
          <w:rFonts w:hint="eastAsia" w:ascii="楷体_GB2312" w:hAnsi="楷体_GB2312" w:eastAsia="楷体_GB2312" w:cs="楷体_GB2312"/>
          <w:b/>
          <w:bCs/>
          <w:color w:val="auto"/>
          <w:kern w:val="0"/>
          <w:sz w:val="32"/>
          <w:szCs w:val="32"/>
          <w:highlight w:val="none"/>
        </w:rPr>
        <w:t>20</w:t>
      </w:r>
      <w:r>
        <w:rPr>
          <w:rFonts w:hint="eastAsia" w:ascii="楷体_GB2312" w:hAnsi="楷体_GB2312" w:eastAsia="楷体_GB2312" w:cs="楷体_GB2312"/>
          <w:b/>
          <w:bCs/>
          <w:color w:val="auto"/>
          <w:kern w:val="0"/>
          <w:sz w:val="32"/>
          <w:szCs w:val="32"/>
          <w:highlight w:val="none"/>
          <w:lang w:val="en-US" w:eastAsia="zh-CN"/>
        </w:rPr>
        <w:t>25</w:t>
      </w:r>
      <w:r>
        <w:rPr>
          <w:rFonts w:hint="eastAsia" w:ascii="楷体_GB2312" w:hAnsi="楷体_GB2312" w:eastAsia="楷体_GB2312" w:cs="楷体_GB2312"/>
          <w:b/>
          <w:bCs/>
          <w:color w:val="auto"/>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1、项目名称：运转经费（2025年非定额）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设立的政策依据：呼财预字【2025】5号《2025年呼图壁县财经委员会第一次会议纪要》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预算安排规模：120万元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项目承担单位：呼图壁县人民政府办公室</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用于购买办公室采购打印纸及电脑硒鼓、粉墨等办公用品与设备38万元，办公室广告版面制作费25万元，办公室电话费与光纤费25万元，培训活动费用10万元，单位会议室进行粉刷装修与日常维修10万元，支付2025年大学生志愿者1-12月工资12万元，共计120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资金执行时间：2025年1月-12月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2、项目名称：政府救助综合保障保险保费（2025年非定额）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设立的政策依据：呼县政阅（2024）80 号文件和《2025年呼图壁县财经委员会第一次会议纪要》</w:t>
      </w:r>
      <w:bookmarkStart w:id="1" w:name="_GoBack"/>
      <w:bookmarkEnd w:id="1"/>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预算安排规模：126万元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项目承担单位：呼图壁县人民政府办公室</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资金分配情况：126万元全部用于政府救助综合保障保险保费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资金执行时间：2025年10月-2026年10月</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呼图壁县人民政府办公室</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呼图壁县人民政府办公室2025年没有使用政府性基金预算拨款安排的支出，政府性基金预算支出情况表为空表。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呼图壁县人民政府办公室2025年没有使用国有资本经营预算拨款安排的支出，国有资本经营预算支出情况表为空表。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呼图壁县人民政府办公室</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呼图壁县人民政府办公室2025年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“三公”经费数为21.60万元，其中：因公出国（境）费0万元，公务用车购置费0万元，公务用车运行费21.60万元，公务接待费0万元。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“三公”经费比上年</w:t>
      </w:r>
      <w:r>
        <w:rPr>
          <w:rFonts w:hint="eastAsia" w:ascii="仿宋" w:hAnsi="仿宋" w:eastAsia="仿宋" w:cs="仿宋"/>
          <w:color w:val="auto"/>
          <w:kern w:val="0"/>
          <w:sz w:val="32"/>
          <w:szCs w:val="32"/>
          <w:highlight w:val="none"/>
          <w:lang w:val="en-US" w:eastAsia="zh-Hans"/>
        </w:rPr>
        <w:t>预算</w:t>
      </w:r>
      <w:r>
        <w:rPr>
          <w:rFonts w:hint="eastAsia" w:ascii="仿宋" w:hAnsi="仿宋" w:eastAsia="仿宋" w:cs="仿宋"/>
          <w:color w:val="auto"/>
          <w:kern w:val="0"/>
          <w:sz w:val="32"/>
          <w:szCs w:val="32"/>
          <w:highlight w:val="none"/>
          <w:lang w:val="en-US" w:eastAsia="zh-CN"/>
        </w:rPr>
        <w:t>增加0.8万元，增长3.85%，其中：因公出国（境）费增加0万元，增长0%，主要原因是2024年、2025年均未安排此项预算；公务用车购置费增加0万元，增长0%，主要原因是2024年和2025年均未安排此项预算；公务用车运行费增加0.8万元，增长3.85%，主要原因是车辆年限较长，维修率增高，清算阵欠历年车辆维修费等，所以2025年公务用车运行费较上年增加0.8万元；公务接待费增加0万元，增长0%，主要原因是2024年和2025年均未排公务接待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呼图壁县人民政府办公室</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呼图壁县人民政府办公室2025年上年结转结余2.36万元，包括：财政拨款2.36万元，非财政拨款0万元，其中：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2024年为民办实事经费2.36万元，主要用于：25%用于访贫问苦，为群众送信息、送信息、送服务、送温暖；50%用于困难群众房屋修缮、村道、桥涵、引水渠维修，支持小型种植养殖、家庭旅游、农产品加工业发展、组织群众参加学习等；25%用于补充村级组织工作经费，积极组织开展各类活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呼图壁县人民政府办公室2025年的机关运行经费财政拨款预算93.44万元，比上年预算增加42.91万元，增长84.92%。主要原因是增加了政府救助综合保障保险资金。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2025年，呼图壁县人民政府办公室政府预算262.82万元，其中：政府采购货物预算65.22万元，政府采购工程预算0万元，政府采购服务预算197.60万元。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2025年，呼图壁县人民政府办公室政府面向中小企业预留政府采购项目预算金额262.82万元，小微企业预留政府采购项目预算金额262.82万元。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截至2024年底，呼图壁县人民政府办公室政府及下属各预算单位占用使用国有资产总体情况为：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1.房屋567平方米，价值146万元。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2.车辆11辆，价值148.69万元；其中：一般公务用车0辆，价值0万元；执法执勤用车0辆，价值0万元；其他车辆11辆，价值148.69万元。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3.办公家具价值79.75万元。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4.其他资产价值224.56万元。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部门价值50万元以上大型设备0台，部门价值100万元以上大型设备0台。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2025年部门预算未安排购置车辆经费，安排购置50万元以上大型设备0台，单位价值100万元以上大型设备0台。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bookmarkStart w:id="0" w:name="OLE_LINK1"/>
      <w:r>
        <w:rPr>
          <w:rFonts w:hint="default" w:ascii="仿宋" w:hAnsi="仿宋" w:eastAsia="仿宋" w:cs="仿宋"/>
          <w:color w:val="auto"/>
          <w:kern w:val="0"/>
          <w:sz w:val="32"/>
          <w:szCs w:val="32"/>
          <w:highlight w:val="none"/>
          <w:lang w:val="en-US" w:eastAsia="zh-CN"/>
        </w:rPr>
        <w:t>2025</w:t>
      </w:r>
      <w:r>
        <w:rPr>
          <w:rFonts w:hint="eastAsia" w:ascii="仿宋" w:hAnsi="仿宋" w:eastAsia="仿宋" w:cs="仿宋"/>
          <w:color w:val="auto"/>
          <w:kern w:val="0"/>
          <w:sz w:val="32"/>
          <w:szCs w:val="32"/>
          <w:highlight w:val="none"/>
          <w:lang w:val="en-US" w:eastAsia="zh-CN"/>
        </w:rPr>
        <w:t>年，本部门预算绩效管理整体预算绩效目标1个，涉及预算金额1071.14万元；当年预算安排项目共2个，其中:</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项目涉及预算金额246万元；</w:t>
      </w:r>
      <w:r>
        <w:rPr>
          <w:rFonts w:hint="eastAsia" w:ascii="仿宋" w:hAnsi="仿宋" w:eastAsia="仿宋" w:cs="仿宋"/>
          <w:color w:val="auto"/>
          <w:kern w:val="0"/>
          <w:sz w:val="32"/>
          <w:szCs w:val="32"/>
          <w:highlight w:val="none"/>
          <w:lang w:val="en-US" w:eastAsia="zh-Hans"/>
        </w:rPr>
        <w:t>非财政拨款项目</w:t>
      </w:r>
      <w:r>
        <w:rPr>
          <w:rFonts w:hint="eastAsia" w:ascii="仿宋" w:hAnsi="仿宋" w:eastAsia="仿宋" w:cs="仿宋"/>
          <w:color w:val="auto"/>
          <w:kern w:val="0"/>
          <w:sz w:val="32"/>
          <w:szCs w:val="32"/>
          <w:highlight w:val="none"/>
          <w:lang w:val="en-US" w:eastAsia="zh-CN"/>
        </w:rPr>
        <w:t xml:space="preserve">涉及预算金额0万元。具体情况见下表：  </w:t>
      </w:r>
    </w:p>
    <w:bookmarkEnd w:id="0"/>
    <w:tbl>
      <w:tblPr>
        <w:tblStyle w:val="8"/>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ind w:firstLine="3213" w:firstLineChars="100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u w:val="none"/>
                <w:lang w:eastAsia="zh-CN"/>
              </w:rPr>
              <w:t>呼图壁县人民政府办公室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u w:val="none"/>
                <w:lang w:eastAsia="zh-CN"/>
              </w:rPr>
              <w:t>孙殿萍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18099000789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7"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督促检查贯彻执行中央、国务院和自治区、自治州、县党委、政府重要文件、县人民政府会议决定事项及重要批示的落实情况并跟踪调研，及时向县人民政府领导同志报告；负责督查落实上级及本级人民政府重大决策和重要工作部署；负责县人民政府领导督促检查的服务工作和组织协调工作。保障机关正常运转，日常办公、车辆运行等费用，调动干部职工积极性，达到预期绩效目标要求。2025年信息发布数不少于2510条，使目标信息在更广泛的范围内被传播，让更多的人了解到组织、服务和相关内容，扩大影响力。组织各类学习不少于50次，通过学习新政策及法规等，干部能够不断更新知识体系，提升业务水平，高效地履行职责，优化工作流程，提升政府整体行政效率和服务质量。</w:t>
            </w:r>
          </w:p>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1071.14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tabs>
                <w:tab w:val="left" w:pos="475"/>
              </w:tabs>
              <w:jc w:val="left"/>
              <w:rPr>
                <w:rFonts w:hint="eastAsia" w:ascii="宋体" w:hAnsi="宋体" w:eastAsia="宋体" w:cs="宋体"/>
                <w:i w:val="0"/>
                <w:iCs w:val="0"/>
                <w:color w:val="000000"/>
                <w:sz w:val="20"/>
                <w:szCs w:val="20"/>
                <w:highlight w:val="none"/>
                <w:u w:val="none"/>
                <w:lang w:eastAsia="zh-CN"/>
              </w:rPr>
            </w:pPr>
            <w:r>
              <w:rPr>
                <w:rFonts w:hint="eastAsia" w:ascii="宋体" w:hAnsi="宋体" w:eastAsia="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完成信息发布数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cs="宋体"/>
                <w:color w:val="000000"/>
                <w:sz w:val="18"/>
                <w:szCs w:val="18"/>
                <w:lang w:val="en-US" w:eastAsia="zh-CN"/>
              </w:rPr>
              <w:t>≥2510条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2025年呼图壁县人民政府办公室工作计划及2024年呼图壁县人民政府办公室工作总结</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tabs>
                <w:tab w:val="left" w:pos="475"/>
              </w:tabs>
              <w:jc w:val="left"/>
              <w:rPr>
                <w:rFonts w:hint="eastAsia" w:ascii="宋体" w:hAnsi="宋体" w:eastAsia="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eastAsia="zh-CN"/>
              </w:rPr>
              <w:t>组织各类学习次数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color w:val="000000"/>
                <w:sz w:val="18"/>
                <w:szCs w:val="18"/>
                <w:lang w:val="en-US" w:eastAsia="zh-CN"/>
              </w:rPr>
              <w:t>≥50次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2025年呼图壁县人民政府办公室工作计划及2024年呼图壁县人民政府办公室工作总结</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学习培训合格率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cs="宋体"/>
                <w:color w:val="000000"/>
                <w:sz w:val="18"/>
                <w:szCs w:val="18"/>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2025年呼图壁县人民政府办公室工作计划及2024年呼图壁县人民政府办公室工作总结</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cs="宋体"/>
                <w:i w:val="0"/>
                <w:iCs w:val="0"/>
                <w:color w:val="000000"/>
                <w:sz w:val="24"/>
                <w:szCs w:val="24"/>
                <w:highlight w:val="none"/>
                <w:u w:val="none"/>
                <w:lang w:val="en-US" w:eastAsia="zh-CN"/>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党员干部集中学习及时率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color w:val="000000"/>
                <w:sz w:val="18"/>
                <w:szCs w:val="18"/>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2025年呼图壁县人民政府办公室工作计划及2024年呼图壁县人民政府办公室工作总结</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cs="宋体"/>
                <w:i w:val="0"/>
                <w:iCs w:val="0"/>
                <w:color w:val="000000"/>
                <w:sz w:val="24"/>
                <w:szCs w:val="24"/>
                <w:highlight w:val="none"/>
                <w:u w:val="none"/>
                <w:lang w:val="en-US" w:eastAsia="zh-CN"/>
              </w:rPr>
              <w:t>19</w:t>
            </w:r>
          </w:p>
        </w:tc>
      </w:tr>
    </w:tbl>
    <w:tbl>
      <w:tblPr>
        <w:tblStyle w:val="8"/>
        <w:tblW w:w="98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2"/>
        <w:gridCol w:w="971"/>
        <w:gridCol w:w="1"/>
        <w:gridCol w:w="970"/>
        <w:gridCol w:w="2"/>
        <w:gridCol w:w="970"/>
        <w:gridCol w:w="2"/>
        <w:gridCol w:w="970"/>
        <w:gridCol w:w="2"/>
        <w:gridCol w:w="970"/>
        <w:gridCol w:w="2"/>
        <w:gridCol w:w="970"/>
        <w:gridCol w:w="2"/>
        <w:gridCol w:w="972"/>
        <w:gridCol w:w="20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69" w:type="dxa"/>
            <w:gridSpan w:val="1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69" w:type="dxa"/>
            <w:gridSpan w:val="1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2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呼图壁县人民政府办公室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运转经费（2025年非定额）</w:t>
            </w:r>
          </w:p>
        </w:tc>
        <w:tc>
          <w:tcPr>
            <w:tcW w:w="19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蔡建勇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97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26" w:type="dxa"/>
            <w:gridSpan w:val="13"/>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打印纸及电脑硒鼓、粉墨等办公用品与设备，保障办公室日常办公的开展，对办公室广告版面进行制作，增强单位文化氛围，支付办公室电话费与光纤费，保障单位通信正常；对基层干部职工进行考察学习培训活动，提高单位职工业务能力；对单位会议室进行粉刷装修与日常维修，通过粉刷与维修，改善办公环境，提高员工人身安全性。六是支付2025年大学生志愿者1-12月工资，保障其正常生活水平。通过实施该项目，保障机关正常运转，日常办公、车辆运行等费用，调动干部职工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完成信息发布数量</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&gt;=2510条</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=2500条</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基层干部职工培训次数</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&gt;=10次</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=10次</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设备维修后的合格率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会议开展的及时率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邮电费标准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&lt;=0.50万元/次</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=0.50万元/次</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增强统合服务意识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显著增加</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显著增加</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干部职工满意度</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69" w:type="dxa"/>
            <w:gridSpan w:val="1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69" w:type="dxa"/>
            <w:gridSpan w:val="1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2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呼图壁县人民政府办公室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政府救助综合保障保险</w:t>
            </w:r>
            <w:r>
              <w:rPr>
                <w:rFonts w:hint="eastAsia" w:ascii="宋体" w:hAnsi="宋体" w:cs="宋体"/>
                <w:i w:val="0"/>
                <w:iCs w:val="0"/>
                <w:color w:val="000000"/>
                <w:kern w:val="0"/>
                <w:sz w:val="18"/>
                <w:szCs w:val="18"/>
                <w:u w:val="none"/>
                <w:lang w:val="en-US" w:eastAsia="zh-CN" w:bidi="ar"/>
              </w:rPr>
              <w:t>保费（2025年非定额）</w:t>
            </w:r>
          </w:p>
        </w:tc>
        <w:tc>
          <w:tcPr>
            <w:tcW w:w="19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蔡建勇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w:t>
            </w:r>
          </w:p>
        </w:tc>
        <w:tc>
          <w:tcPr>
            <w:tcW w:w="97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25" w:type="dxa"/>
            <w:gridSpan w:val="12"/>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126万元，续保“政府救助综合保障保险”，主要用于2025年政府救助综合保障保险资金，进一步完善政府在推进高质量发展中的应急保障机制，提升政府兜底保障能力，切实保障各族群众生命财产安全。达到预期绩效目标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完成政府救助保障保险数量</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=1批</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=2批</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保险对象符合率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辖区内居民覆盖率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保险金赔付及时率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保险费标准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&lt;=10.50万元/月</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=10.50万元/月</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增强社会稳定性</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显著增强</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显著增强</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b/>
          <w:bCs w:val="0"/>
          <w:lang w:val="en-US" w:eastAsia="zh-CN"/>
        </w:rPr>
      </w:pPr>
      <w:r>
        <w:rPr>
          <w:rFonts w:hint="eastAsia" w:ascii="楷体_GB2312" w:hAnsi="宋体" w:eastAsia="楷体_GB2312" w:cs="宋体"/>
          <w:b/>
          <w:bCs w:val="0"/>
          <w:kern w:val="0"/>
          <w:sz w:val="32"/>
          <w:szCs w:val="32"/>
          <w:highlight w:val="none"/>
        </w:rPr>
        <w:t>其他需说明的事</w:t>
      </w:r>
      <w:r>
        <w:rPr>
          <w:rFonts w:hint="eastAsia" w:ascii="楷体_GB2312" w:hAnsi="宋体" w:eastAsia="楷体_GB2312" w:cs="宋体"/>
          <w:b/>
          <w:bCs w:val="0"/>
          <w:kern w:val="0"/>
          <w:sz w:val="32"/>
          <w:szCs w:val="32"/>
          <w:highlight w:val="none"/>
          <w:lang w:eastAsia="zh-CN"/>
        </w:rPr>
        <w:t>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1120" w:firstLineChars="400"/>
        <w:jc w:val="both"/>
        <w:textAlignment w:val="auto"/>
        <w:outlineLvl w:val="9"/>
        <w:rPr>
          <w:rFonts w:hint="eastAsia"/>
          <w:lang w:val="en-US" w:eastAsia="zh-CN"/>
        </w:rPr>
      </w:pPr>
      <w:r>
        <w:rPr>
          <w:rFonts w:hint="eastAsia"/>
          <w:b w:val="0"/>
          <w:bCs/>
          <w:sz w:val="28"/>
          <w:szCs w:val="28"/>
          <w:lang w:val="en-US" w:eastAsia="zh-CN"/>
        </w:rPr>
        <w:t>无</w:t>
      </w:r>
    </w:p>
    <w:p>
      <w:pPr>
        <w:pStyle w:val="2"/>
        <w:numPr>
          <w:ilvl w:val="0"/>
          <w:numId w:val="0"/>
        </w:numPr>
        <w:ind w:firstLine="2891" w:firstLineChars="900"/>
        <w:rPr>
          <w:rFonts w:hint="eastAsia" w:ascii="黑体" w:hAnsi="黑体" w:eastAsia="黑体"/>
          <w:kern w:val="0"/>
          <w:sz w:val="32"/>
          <w:szCs w:val="32"/>
          <w:highlight w:val="none"/>
        </w:rPr>
      </w:pPr>
    </w:p>
    <w:p>
      <w:pPr>
        <w:pStyle w:val="2"/>
        <w:numPr>
          <w:ilvl w:val="0"/>
          <w:numId w:val="0"/>
        </w:numPr>
        <w:ind w:firstLine="2891" w:firstLineChars="900"/>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呼图壁县人民政府办公室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C4C71"/>
    <w:multiLevelType w:val="singleLevel"/>
    <w:tmpl w:val="100C4C71"/>
    <w:lvl w:ilvl="0" w:tentative="0">
      <w:start w:val="5"/>
      <w:numFmt w:val="chineseCounting"/>
      <w:suff w:val="nothing"/>
      <w:lvlText w:val="（%1）"/>
      <w:lvlJc w:val="left"/>
      <w:rPr>
        <w:rFonts w:hint="eastAsia"/>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MGZmNWI5YmEyODFiYzM0NGI4MDJmNjA3Mjc0ZjEifQ=="/>
  </w:docVars>
  <w:rsids>
    <w:rsidRoot w:val="10587512"/>
    <w:rsid w:val="00566F73"/>
    <w:rsid w:val="00585974"/>
    <w:rsid w:val="00BB1BC0"/>
    <w:rsid w:val="00CF11FB"/>
    <w:rsid w:val="00E41A1F"/>
    <w:rsid w:val="014903A9"/>
    <w:rsid w:val="01641AB1"/>
    <w:rsid w:val="017B2F92"/>
    <w:rsid w:val="01BB3532"/>
    <w:rsid w:val="01F9496E"/>
    <w:rsid w:val="020E507E"/>
    <w:rsid w:val="02732F8E"/>
    <w:rsid w:val="02CB7F49"/>
    <w:rsid w:val="03777D47"/>
    <w:rsid w:val="037800D1"/>
    <w:rsid w:val="03BB2799"/>
    <w:rsid w:val="04267087"/>
    <w:rsid w:val="04267B2D"/>
    <w:rsid w:val="044C330C"/>
    <w:rsid w:val="04BC55AB"/>
    <w:rsid w:val="05397FD9"/>
    <w:rsid w:val="057A5F58"/>
    <w:rsid w:val="05CA273A"/>
    <w:rsid w:val="06293F5F"/>
    <w:rsid w:val="070E6657"/>
    <w:rsid w:val="078C3C86"/>
    <w:rsid w:val="080E3E4F"/>
    <w:rsid w:val="084451C2"/>
    <w:rsid w:val="08450B28"/>
    <w:rsid w:val="08762705"/>
    <w:rsid w:val="08792E31"/>
    <w:rsid w:val="088F5575"/>
    <w:rsid w:val="08E81855"/>
    <w:rsid w:val="094F1CA8"/>
    <w:rsid w:val="09C06006"/>
    <w:rsid w:val="0A267E8C"/>
    <w:rsid w:val="0A4168EC"/>
    <w:rsid w:val="0AD672A7"/>
    <w:rsid w:val="0B247F12"/>
    <w:rsid w:val="0B7C3034"/>
    <w:rsid w:val="0B841FFD"/>
    <w:rsid w:val="0BD56A2F"/>
    <w:rsid w:val="0C0A3890"/>
    <w:rsid w:val="0CA36850"/>
    <w:rsid w:val="0CD20198"/>
    <w:rsid w:val="0CEC568C"/>
    <w:rsid w:val="0CF252ED"/>
    <w:rsid w:val="0D6E5FD0"/>
    <w:rsid w:val="0DC566A4"/>
    <w:rsid w:val="0DDF6F9F"/>
    <w:rsid w:val="0E320E7D"/>
    <w:rsid w:val="0E735C25"/>
    <w:rsid w:val="0E9208E7"/>
    <w:rsid w:val="0F0240B0"/>
    <w:rsid w:val="0F7A549E"/>
    <w:rsid w:val="101F18A2"/>
    <w:rsid w:val="10587512"/>
    <w:rsid w:val="105D0E37"/>
    <w:rsid w:val="10916BDA"/>
    <w:rsid w:val="11036B00"/>
    <w:rsid w:val="11301FEB"/>
    <w:rsid w:val="11B6451D"/>
    <w:rsid w:val="11B701C6"/>
    <w:rsid w:val="121D53E7"/>
    <w:rsid w:val="121E62E8"/>
    <w:rsid w:val="12DD66CE"/>
    <w:rsid w:val="13885FE7"/>
    <w:rsid w:val="13B57413"/>
    <w:rsid w:val="13F953A4"/>
    <w:rsid w:val="144476E1"/>
    <w:rsid w:val="14FC2C5A"/>
    <w:rsid w:val="1697741D"/>
    <w:rsid w:val="16E505AC"/>
    <w:rsid w:val="19A215AC"/>
    <w:rsid w:val="1A132B78"/>
    <w:rsid w:val="1AC437A4"/>
    <w:rsid w:val="1B153D26"/>
    <w:rsid w:val="1BEB54C3"/>
    <w:rsid w:val="1C045905"/>
    <w:rsid w:val="1C3C6084"/>
    <w:rsid w:val="1C47643B"/>
    <w:rsid w:val="1C8C02F2"/>
    <w:rsid w:val="1D3E1AFE"/>
    <w:rsid w:val="1D7024BF"/>
    <w:rsid w:val="1DD41F50"/>
    <w:rsid w:val="1DD67B7A"/>
    <w:rsid w:val="1E6432D4"/>
    <w:rsid w:val="1E89232D"/>
    <w:rsid w:val="1EB61656"/>
    <w:rsid w:val="1F24531B"/>
    <w:rsid w:val="1FA761DD"/>
    <w:rsid w:val="20407429"/>
    <w:rsid w:val="20CF3CE4"/>
    <w:rsid w:val="20DD55C0"/>
    <w:rsid w:val="21DF33A1"/>
    <w:rsid w:val="22156149"/>
    <w:rsid w:val="22922CB8"/>
    <w:rsid w:val="22DB78DD"/>
    <w:rsid w:val="23D5132F"/>
    <w:rsid w:val="244D65B8"/>
    <w:rsid w:val="2492221D"/>
    <w:rsid w:val="24B42D8E"/>
    <w:rsid w:val="250855AF"/>
    <w:rsid w:val="255A6C57"/>
    <w:rsid w:val="258B383C"/>
    <w:rsid w:val="25FD25BB"/>
    <w:rsid w:val="263B7010"/>
    <w:rsid w:val="26AA4214"/>
    <w:rsid w:val="26B4291F"/>
    <w:rsid w:val="26BD282A"/>
    <w:rsid w:val="26E769FA"/>
    <w:rsid w:val="27065291"/>
    <w:rsid w:val="2820550D"/>
    <w:rsid w:val="286D65BC"/>
    <w:rsid w:val="28D9041B"/>
    <w:rsid w:val="292B0A1C"/>
    <w:rsid w:val="293B2E83"/>
    <w:rsid w:val="2A750617"/>
    <w:rsid w:val="2AFC4894"/>
    <w:rsid w:val="2B317A55"/>
    <w:rsid w:val="2B3A05DE"/>
    <w:rsid w:val="2B6901C6"/>
    <w:rsid w:val="2BEA5A50"/>
    <w:rsid w:val="2C133ADC"/>
    <w:rsid w:val="2CEF6408"/>
    <w:rsid w:val="2D480265"/>
    <w:rsid w:val="2D726F1C"/>
    <w:rsid w:val="2D977453"/>
    <w:rsid w:val="2D9B19FF"/>
    <w:rsid w:val="2E2943BA"/>
    <w:rsid w:val="2EF22236"/>
    <w:rsid w:val="2F233047"/>
    <w:rsid w:val="2F35502B"/>
    <w:rsid w:val="2FED29FE"/>
    <w:rsid w:val="300E1D4A"/>
    <w:rsid w:val="309F58BA"/>
    <w:rsid w:val="30B05F05"/>
    <w:rsid w:val="310F3573"/>
    <w:rsid w:val="31A86325"/>
    <w:rsid w:val="32007960"/>
    <w:rsid w:val="325A081E"/>
    <w:rsid w:val="325D72B9"/>
    <w:rsid w:val="32D0296B"/>
    <w:rsid w:val="32D560F7"/>
    <w:rsid w:val="333637FF"/>
    <w:rsid w:val="3342753F"/>
    <w:rsid w:val="334D0401"/>
    <w:rsid w:val="33A64156"/>
    <w:rsid w:val="33A76F60"/>
    <w:rsid w:val="33BF7FB0"/>
    <w:rsid w:val="341E7629"/>
    <w:rsid w:val="342D0640"/>
    <w:rsid w:val="34392554"/>
    <w:rsid w:val="3546548C"/>
    <w:rsid w:val="35F117C8"/>
    <w:rsid w:val="36D37685"/>
    <w:rsid w:val="374A79A5"/>
    <w:rsid w:val="37AC16B6"/>
    <w:rsid w:val="37C62FFD"/>
    <w:rsid w:val="38284F1B"/>
    <w:rsid w:val="38A16B52"/>
    <w:rsid w:val="39514902"/>
    <w:rsid w:val="39B0409D"/>
    <w:rsid w:val="3AE61BE9"/>
    <w:rsid w:val="3AED72E0"/>
    <w:rsid w:val="3B5709BB"/>
    <w:rsid w:val="3BB17038"/>
    <w:rsid w:val="3BE45FB7"/>
    <w:rsid w:val="3BF21AC7"/>
    <w:rsid w:val="3C013037"/>
    <w:rsid w:val="3C705720"/>
    <w:rsid w:val="3CB75DFD"/>
    <w:rsid w:val="3F2C58E7"/>
    <w:rsid w:val="3F9A6442"/>
    <w:rsid w:val="3FA20E0A"/>
    <w:rsid w:val="3FA41C10"/>
    <w:rsid w:val="3FDF4D23"/>
    <w:rsid w:val="40107314"/>
    <w:rsid w:val="40745ED4"/>
    <w:rsid w:val="40757A1B"/>
    <w:rsid w:val="41083B3B"/>
    <w:rsid w:val="41270465"/>
    <w:rsid w:val="41DB2FFE"/>
    <w:rsid w:val="42F779C3"/>
    <w:rsid w:val="42FF2FEE"/>
    <w:rsid w:val="43502DA9"/>
    <w:rsid w:val="435E3A45"/>
    <w:rsid w:val="43992426"/>
    <w:rsid w:val="43C26223"/>
    <w:rsid w:val="43D8307E"/>
    <w:rsid w:val="44507CD3"/>
    <w:rsid w:val="44AF5181"/>
    <w:rsid w:val="45275AB9"/>
    <w:rsid w:val="455A018C"/>
    <w:rsid w:val="457257BF"/>
    <w:rsid w:val="45D15947"/>
    <w:rsid w:val="46222885"/>
    <w:rsid w:val="46B02CAB"/>
    <w:rsid w:val="46CE3131"/>
    <w:rsid w:val="46D70A2F"/>
    <w:rsid w:val="47A20D34"/>
    <w:rsid w:val="48A50D36"/>
    <w:rsid w:val="48C63658"/>
    <w:rsid w:val="493059DD"/>
    <w:rsid w:val="494F7907"/>
    <w:rsid w:val="49541890"/>
    <w:rsid w:val="49CF24B8"/>
    <w:rsid w:val="4AC3659C"/>
    <w:rsid w:val="4ACA307C"/>
    <w:rsid w:val="4ADF73DC"/>
    <w:rsid w:val="4B127960"/>
    <w:rsid w:val="4B1B26BD"/>
    <w:rsid w:val="4B2321FE"/>
    <w:rsid w:val="4B315A3D"/>
    <w:rsid w:val="4B660377"/>
    <w:rsid w:val="4BBE2F4C"/>
    <w:rsid w:val="4C0055E5"/>
    <w:rsid w:val="4C3677AE"/>
    <w:rsid w:val="4C706B3A"/>
    <w:rsid w:val="4CDB5EEB"/>
    <w:rsid w:val="4E005538"/>
    <w:rsid w:val="4E696833"/>
    <w:rsid w:val="4EFA7B93"/>
    <w:rsid w:val="4F3B332E"/>
    <w:rsid w:val="4F820F5D"/>
    <w:rsid w:val="50F738BC"/>
    <w:rsid w:val="516C5DC9"/>
    <w:rsid w:val="51C15CED"/>
    <w:rsid w:val="52285DEB"/>
    <w:rsid w:val="52291EF3"/>
    <w:rsid w:val="52A5412F"/>
    <w:rsid w:val="52AD62F0"/>
    <w:rsid w:val="52D96B49"/>
    <w:rsid w:val="53662C65"/>
    <w:rsid w:val="53A94D0A"/>
    <w:rsid w:val="53E44113"/>
    <w:rsid w:val="542250B9"/>
    <w:rsid w:val="546308FE"/>
    <w:rsid w:val="55720782"/>
    <w:rsid w:val="55BB16B6"/>
    <w:rsid w:val="55D32512"/>
    <w:rsid w:val="56396CA7"/>
    <w:rsid w:val="566E3C04"/>
    <w:rsid w:val="56FE59C9"/>
    <w:rsid w:val="570D735E"/>
    <w:rsid w:val="571B2674"/>
    <w:rsid w:val="589917F1"/>
    <w:rsid w:val="58C425E6"/>
    <w:rsid w:val="58E608E9"/>
    <w:rsid w:val="59B241EC"/>
    <w:rsid w:val="5A5E27F6"/>
    <w:rsid w:val="5A6964AB"/>
    <w:rsid w:val="5A704801"/>
    <w:rsid w:val="5A7B7EE2"/>
    <w:rsid w:val="5A8C5E4D"/>
    <w:rsid w:val="5A9E6CD7"/>
    <w:rsid w:val="5AA9042B"/>
    <w:rsid w:val="5AAC740D"/>
    <w:rsid w:val="5AED2A9A"/>
    <w:rsid w:val="5BC934FF"/>
    <w:rsid w:val="5C0A2013"/>
    <w:rsid w:val="5C8425C1"/>
    <w:rsid w:val="5D9E1657"/>
    <w:rsid w:val="5DB94C15"/>
    <w:rsid w:val="5E225DE5"/>
    <w:rsid w:val="5E257683"/>
    <w:rsid w:val="5E7802BC"/>
    <w:rsid w:val="5E7D154C"/>
    <w:rsid w:val="5E833CC0"/>
    <w:rsid w:val="5EE078B0"/>
    <w:rsid w:val="5EFF5692"/>
    <w:rsid w:val="5F0D5523"/>
    <w:rsid w:val="5F2346ED"/>
    <w:rsid w:val="5FCE3389"/>
    <w:rsid w:val="60456A97"/>
    <w:rsid w:val="61086613"/>
    <w:rsid w:val="61686204"/>
    <w:rsid w:val="62505054"/>
    <w:rsid w:val="62917095"/>
    <w:rsid w:val="62D14DA8"/>
    <w:rsid w:val="63021C8A"/>
    <w:rsid w:val="630E06E5"/>
    <w:rsid w:val="639C0C65"/>
    <w:rsid w:val="63AA4059"/>
    <w:rsid w:val="6408782B"/>
    <w:rsid w:val="64F578F6"/>
    <w:rsid w:val="65322CBF"/>
    <w:rsid w:val="65B35574"/>
    <w:rsid w:val="65BA594A"/>
    <w:rsid w:val="65C658ED"/>
    <w:rsid w:val="66EF56D2"/>
    <w:rsid w:val="67865154"/>
    <w:rsid w:val="685D1BD9"/>
    <w:rsid w:val="686A23D2"/>
    <w:rsid w:val="68CC52CB"/>
    <w:rsid w:val="68DE4FFE"/>
    <w:rsid w:val="691B0000"/>
    <w:rsid w:val="694B58D7"/>
    <w:rsid w:val="69AB5856"/>
    <w:rsid w:val="69CE4E15"/>
    <w:rsid w:val="6A05054A"/>
    <w:rsid w:val="6A0E5F5C"/>
    <w:rsid w:val="6A313178"/>
    <w:rsid w:val="6B3E7E06"/>
    <w:rsid w:val="6B7F3246"/>
    <w:rsid w:val="6B804791"/>
    <w:rsid w:val="6BCE4DF8"/>
    <w:rsid w:val="6BF904A6"/>
    <w:rsid w:val="6C0871D4"/>
    <w:rsid w:val="6CA750F5"/>
    <w:rsid w:val="6CB5251A"/>
    <w:rsid w:val="6CC61305"/>
    <w:rsid w:val="6CD429A0"/>
    <w:rsid w:val="6CD57A2F"/>
    <w:rsid w:val="6DDD07AF"/>
    <w:rsid w:val="6E1A4F92"/>
    <w:rsid w:val="6E361452"/>
    <w:rsid w:val="6E623C7C"/>
    <w:rsid w:val="6EF07839"/>
    <w:rsid w:val="6F63000B"/>
    <w:rsid w:val="6FCF0C72"/>
    <w:rsid w:val="707A2C85"/>
    <w:rsid w:val="707E129D"/>
    <w:rsid w:val="70CE729E"/>
    <w:rsid w:val="70F03B69"/>
    <w:rsid w:val="71500A63"/>
    <w:rsid w:val="717C1858"/>
    <w:rsid w:val="71EB71F7"/>
    <w:rsid w:val="72B56DCF"/>
    <w:rsid w:val="72E964BC"/>
    <w:rsid w:val="72EB5D67"/>
    <w:rsid w:val="735C7C42"/>
    <w:rsid w:val="73910EEE"/>
    <w:rsid w:val="749968D4"/>
    <w:rsid w:val="74D07EF1"/>
    <w:rsid w:val="75795A4A"/>
    <w:rsid w:val="75A00A5E"/>
    <w:rsid w:val="75B570E6"/>
    <w:rsid w:val="75BF3AC1"/>
    <w:rsid w:val="75E2787A"/>
    <w:rsid w:val="75F52A98"/>
    <w:rsid w:val="76032787"/>
    <w:rsid w:val="76DA2D9A"/>
    <w:rsid w:val="770627E3"/>
    <w:rsid w:val="7706409E"/>
    <w:rsid w:val="77611C9C"/>
    <w:rsid w:val="77946AC0"/>
    <w:rsid w:val="7797777E"/>
    <w:rsid w:val="77C80AC6"/>
    <w:rsid w:val="780A1873"/>
    <w:rsid w:val="785744C1"/>
    <w:rsid w:val="787D11B8"/>
    <w:rsid w:val="78A771BA"/>
    <w:rsid w:val="78AC6820"/>
    <w:rsid w:val="78F26636"/>
    <w:rsid w:val="792C5912"/>
    <w:rsid w:val="798E3ED6"/>
    <w:rsid w:val="799E1313"/>
    <w:rsid w:val="7A4D5B40"/>
    <w:rsid w:val="7B156856"/>
    <w:rsid w:val="7B1C5074"/>
    <w:rsid w:val="7CBA4FE2"/>
    <w:rsid w:val="7CC06CB8"/>
    <w:rsid w:val="7CC344A8"/>
    <w:rsid w:val="7D06612B"/>
    <w:rsid w:val="7E527933"/>
    <w:rsid w:val="7E880152"/>
    <w:rsid w:val="7E8B30DA"/>
    <w:rsid w:val="7F08312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napToGrid w:val="0"/>
      <w:spacing w:line="560" w:lineRule="exact"/>
      <w:ind w:firstLine="880" w:firstLineChars="200"/>
      <w:outlineLvl w:val="2"/>
    </w:pPr>
    <w:rPr>
      <w:rFonts w:hint="default" w:eastAsia="仿宋"/>
      <w:b/>
      <w:sz w:val="21"/>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2522</Words>
  <Characters>2798</Characters>
  <Lines>0</Lines>
  <Paragraphs>0</Paragraphs>
  <TotalTime>0</TotalTime>
  <ScaleCrop>false</ScaleCrop>
  <LinksUpToDate>false</LinksUpToDate>
  <CharactersWithSpaces>2917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2025-05-22T10:28:00Z</cp:lastPrinted>
  <dcterms:modified xsi:type="dcterms:W3CDTF">2025-05-29T05:43:01Z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8B60F4E4A62640B495EB83E5C5563132_13</vt:lpwstr>
  </property>
  <property fmtid="{D5CDD505-2E9C-101B-9397-08002B2CF9AE}" pid="4" name="KSOTemplateDocerSaveRecord">
    <vt:lpwstr>eyJoZGlkIjoiN2EyMTIxNTJlMjY2NjM5NjdjYmYwZjVhYjA4ZGEwODEiLCJ1c2VySWQiOiI0MjYzNjAxNTMifQ==</vt:lpwstr>
  </property>
</Properties>
</file>