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呼图壁县人民代表大会常务委员会办公室</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w:t>
      </w: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color w:val="auto"/>
          <w:kern w:val="0"/>
          <w:sz w:val="32"/>
          <w:szCs w:val="32"/>
          <w:highlight w:val="none"/>
          <w:lang w:eastAsia="zh-CN"/>
        </w:rPr>
        <w:t>呼图壁县人民代表大会常务委员会办公室部门概况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 w:hAnsi="仿宋" w:eastAsia="仿宋"/>
          <w:b/>
          <w:color w:val="000000"/>
          <w:sz w:val="28"/>
          <w:szCs w:val="28"/>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 w:hAnsi="仿宋" w:eastAsia="仿宋"/>
          <w:b/>
          <w:color w:val="000000"/>
          <w:sz w:val="28"/>
          <w:szCs w:val="28"/>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呼图壁县人民代表大会常务委员会办公室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呼图壁县人民代表大会常务委员会办公室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呼图壁县人民代表大会常务委员会办公室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呼图壁县人民代表大会常务委员会办公室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呼图壁县人民代表大会常务委员会办公室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default"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呼图壁县人民代表大会常务委员会办公室</w:t>
      </w:r>
      <w:r>
        <w:rPr>
          <w:rFonts w:hint="eastAsia" w:ascii="黑体" w:hAnsi="黑体" w:eastAsia="黑体"/>
          <w:color w:val="auto"/>
          <w:kern w:val="0"/>
          <w:sz w:val="32"/>
          <w:szCs w:val="32"/>
          <w:highlight w:val="none"/>
          <w:lang w:val="en-US" w:eastAsia="zh-CN"/>
        </w:rPr>
        <w:t>部门</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14"/>
        <w:spacing w:line="560" w:lineRule="exact"/>
        <w:ind w:firstLine="56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按照《宪法》和《地方组织法》规定，县人大常委会是人民代表大会的常设机构，是地方国家权力机关，代表人民当家作主，管理国家事务。其主要任务和职责是：</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1.在本行政区域内，保证宪法、法律、行政法规和上级人民代表大会及其常务委员会决议的遵守和执行；</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2.领导或者主持本级人民代表大会代表的选举；</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3.召集本级人民代表大会会议；</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4.讨论、决定本行政区域内的政治、经济、教育、科学、文化、卫生、环境和资源保护、民政、民族等工作的重大事项；</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5.根据本级人民政府的建议，决定对本行政区域内的国民经济和社会发展计划、预算的部分变更；</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6.监督本级人民政府、人民法院和人民检察院的工作，联系本级人民代表大会代表，受理人民群众对上述机关和国家工作人员的申诉和意见；</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7.撤销本级人民政府的不适当的决定和命令；</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8.在本级人民代表大会闭会期间，决定“一府两院”个别组成人员的任免；</w:t>
      </w:r>
    </w:p>
    <w:p>
      <w:pPr>
        <w:widowControl/>
        <w:spacing w:line="560" w:lineRule="exact"/>
        <w:ind w:firstLine="640" w:firstLineChars="200"/>
        <w:rPr>
          <w:rFonts w:ascii="仿宋_GB2312" w:hAnsi="宋体" w:eastAsia="仿宋_GB2312" w:cs="宋体"/>
          <w:bCs/>
          <w:kern w:val="0"/>
          <w:sz w:val="32"/>
          <w:szCs w:val="32"/>
        </w:rPr>
      </w:pPr>
      <w:r>
        <w:rPr>
          <w:rFonts w:hint="eastAsia" w:ascii="仿宋_GB2312" w:hAnsi="仿宋_GB2312" w:eastAsia="仿宋_GB2312" w:cs="仿宋_GB2312"/>
          <w:sz w:val="32"/>
          <w:szCs w:val="32"/>
        </w:rPr>
        <w:t>9.在本级人民代表大会闭会期间，补选上一级人民代表大会出缺的代表和罢免个别代表。</w:t>
      </w: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机构设置及人员情况</w:t>
      </w:r>
    </w:p>
    <w:p>
      <w:pPr>
        <w:widowControl/>
        <w:spacing w:line="560" w:lineRule="exact"/>
        <w:jc w:val="left"/>
        <w:rPr>
          <w:rFonts w:hint="eastAsia" w:ascii="仿宋_GB2312" w:hAnsi="宋体" w:eastAsia="仿宋_GB2312" w:cs="宋体"/>
          <w:kern w:val="0"/>
          <w:sz w:val="32"/>
          <w:szCs w:val="32"/>
        </w:rPr>
      </w:pPr>
      <w:r>
        <w:rPr>
          <w:rFonts w:hint="eastAsia"/>
          <w:lang w:val="en-US" w:eastAsia="zh-CN"/>
        </w:rPr>
        <w:t xml:space="preserve">    </w:t>
      </w:r>
      <w:r>
        <w:rPr>
          <w:rFonts w:hint="eastAsia" w:ascii="黑体" w:hAnsi="黑体" w:eastAsia="黑体" w:cs="宋体"/>
          <w:b/>
          <w:bCs/>
          <w:kern w:val="0"/>
          <w:sz w:val="32"/>
          <w:szCs w:val="32"/>
        </w:rPr>
        <w:t xml:space="preserve"> </w:t>
      </w:r>
      <w:r>
        <w:rPr>
          <w:rFonts w:hint="eastAsia" w:ascii="仿宋_GB2312" w:hAnsi="黑体" w:eastAsia="仿宋_GB2312" w:cs="宋体"/>
          <w:bCs/>
          <w:sz w:val="32"/>
          <w:szCs w:val="32"/>
        </w:rPr>
        <w:t>呼图壁县人民代表大会常务委员会办公室无下属预算单位，</w:t>
      </w:r>
      <w:r>
        <w:rPr>
          <w:rFonts w:hint="eastAsia" w:ascii="仿宋_GB2312" w:hAnsi="黑体" w:eastAsia="仿宋_GB2312" w:cs="宋体"/>
          <w:bCs/>
          <w:kern w:val="0"/>
          <w:sz w:val="32"/>
          <w:szCs w:val="32"/>
        </w:rPr>
        <w:t xml:space="preserve">下设 </w:t>
      </w:r>
      <w:r>
        <w:rPr>
          <w:rFonts w:hint="eastAsia" w:ascii="仿宋_GB2312" w:hAnsi="黑体" w:eastAsia="仿宋_GB2312" w:cs="宋体"/>
          <w:bCs/>
          <w:kern w:val="0"/>
          <w:sz w:val="32"/>
          <w:szCs w:val="32"/>
          <w:lang w:val="en-US" w:eastAsia="zh-CN"/>
        </w:rPr>
        <w:t>6</w:t>
      </w:r>
      <w:r>
        <w:rPr>
          <w:rFonts w:hint="eastAsia" w:ascii="仿宋_GB2312" w:hAnsi="黑体" w:eastAsia="仿宋_GB2312" w:cs="宋体"/>
          <w:bCs/>
          <w:kern w:val="0"/>
          <w:sz w:val="32"/>
          <w:szCs w:val="32"/>
        </w:rPr>
        <w:t>个处室</w:t>
      </w:r>
      <w:r>
        <w:rPr>
          <w:rFonts w:hint="eastAsia" w:ascii="仿宋_GB2312" w:hAnsi="黑体" w:eastAsia="仿宋_GB2312" w:cs="宋体"/>
          <w:bCs/>
          <w:kern w:val="0"/>
          <w:sz w:val="32"/>
          <w:szCs w:val="32"/>
          <w:lang w:val="en-US" w:eastAsia="zh-CN"/>
        </w:rPr>
        <w:t>,</w:t>
      </w:r>
      <w:r>
        <w:rPr>
          <w:rFonts w:hint="eastAsia" w:ascii="仿宋_GB2312" w:hAnsi="黑体" w:eastAsia="仿宋_GB2312" w:cs="宋体"/>
          <w:bCs/>
          <w:kern w:val="0"/>
          <w:sz w:val="32"/>
          <w:szCs w:val="32"/>
        </w:rPr>
        <w:t>分别是：</w:t>
      </w:r>
      <w:r>
        <w:rPr>
          <w:rFonts w:hint="eastAsia" w:ascii="仿宋_GB2312" w:hAnsi="黑体" w:eastAsia="仿宋_GB2312" w:cs="宋体"/>
          <w:bCs/>
          <w:kern w:val="0"/>
          <w:sz w:val="32"/>
          <w:szCs w:val="32"/>
          <w:lang w:eastAsia="zh-CN"/>
        </w:rPr>
        <w:t>县</w:t>
      </w:r>
      <w:r>
        <w:rPr>
          <w:rFonts w:hint="eastAsia" w:ascii="仿宋_GB2312" w:hAnsi="宋体" w:eastAsia="仿宋_GB2312" w:cs="宋体"/>
          <w:kern w:val="0"/>
          <w:sz w:val="32"/>
          <w:szCs w:val="32"/>
        </w:rPr>
        <w:t>人大常委会办公室</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法制工作委员会</w:t>
      </w:r>
      <w:r>
        <w:rPr>
          <w:rFonts w:hint="eastAsia" w:ascii="仿宋_GB2312" w:hAnsi="宋体" w:eastAsia="仿宋_GB2312" w:cs="宋体"/>
          <w:kern w:val="0"/>
          <w:sz w:val="32"/>
          <w:szCs w:val="32"/>
          <w:lang w:eastAsia="zh-CN"/>
        </w:rPr>
        <w:t>、预算</w:t>
      </w:r>
      <w:r>
        <w:rPr>
          <w:rFonts w:hint="eastAsia" w:ascii="仿宋_GB2312" w:hAnsi="宋体" w:eastAsia="仿宋_GB2312" w:cs="宋体"/>
          <w:kern w:val="0"/>
          <w:sz w:val="32"/>
          <w:szCs w:val="32"/>
        </w:rPr>
        <w:t>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教科文卫工作委员会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民族侨务工作委员会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代表工作委员会</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人大代表联络中心。</w:t>
      </w:r>
    </w:p>
    <w:p>
      <w:pPr>
        <w:spacing w:line="560" w:lineRule="exact"/>
        <w:ind w:firstLine="640"/>
        <w:jc w:val="left"/>
        <w:rPr>
          <w:rFonts w:hint="eastAsia" w:ascii="仿宋_GB2312" w:hAnsi="仿宋_GB2312" w:eastAsia="仿宋_GB2312" w:cs="仿宋_GB2312"/>
          <w:sz w:val="32"/>
          <w:szCs w:val="32"/>
        </w:rPr>
      </w:pPr>
      <w:r>
        <w:rPr>
          <w:rFonts w:hint="eastAsia" w:ascii="仿宋_GB2312" w:hAnsi="宋体" w:eastAsia="仿宋_GB2312" w:cs="宋体"/>
          <w:sz w:val="32"/>
          <w:szCs w:val="32"/>
        </w:rPr>
        <w:t>呼图壁县人民代表大会常务委员会办公室编制数2</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，实有人数4</w:t>
      </w:r>
      <w:r>
        <w:rPr>
          <w:rFonts w:hint="eastAsia" w:ascii="仿宋_GB2312" w:hAnsi="宋体" w:eastAsia="仿宋_GB2312" w:cs="宋体"/>
          <w:sz w:val="32"/>
          <w:szCs w:val="32"/>
          <w:lang w:val="en-US" w:eastAsia="zh-CN"/>
        </w:rPr>
        <w:t>6</w:t>
      </w:r>
      <w:r>
        <w:rPr>
          <w:rFonts w:hint="eastAsia" w:ascii="仿宋_GB2312" w:hAnsi="宋体" w:eastAsia="仿宋_GB2312" w:cs="宋体"/>
          <w:sz w:val="32"/>
          <w:szCs w:val="32"/>
        </w:rPr>
        <w:t>人，其中：在职2</w:t>
      </w:r>
      <w:r>
        <w:rPr>
          <w:rFonts w:hint="eastAsia" w:ascii="仿宋_GB2312" w:hAnsi="宋体" w:eastAsia="仿宋_GB2312" w:cs="宋体"/>
          <w:sz w:val="32"/>
          <w:szCs w:val="32"/>
          <w:lang w:val="en-US" w:eastAsia="zh-CN"/>
        </w:rPr>
        <w:t>3</w:t>
      </w:r>
      <w:r>
        <w:rPr>
          <w:rFonts w:hint="eastAsia" w:ascii="仿宋_GB2312" w:hAnsi="宋体" w:eastAsia="仿宋_GB2312" w:cs="宋体"/>
          <w:sz w:val="32"/>
          <w:szCs w:val="32"/>
        </w:rPr>
        <w:t>人，减少</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人；退休</w:t>
      </w:r>
      <w:r>
        <w:rPr>
          <w:rFonts w:hint="eastAsia" w:ascii="仿宋_GB2312" w:hAnsi="宋体" w:eastAsia="仿宋_GB2312" w:cs="宋体"/>
          <w:sz w:val="32"/>
          <w:szCs w:val="32"/>
          <w:lang w:val="en-US" w:eastAsia="zh-CN"/>
        </w:rPr>
        <w:t>23</w:t>
      </w:r>
      <w:r>
        <w:rPr>
          <w:rFonts w:hint="eastAsia" w:ascii="仿宋_GB2312" w:hAnsi="宋体" w:eastAsia="仿宋_GB2312" w:cs="宋体"/>
          <w:sz w:val="32"/>
          <w:szCs w:val="32"/>
        </w:rPr>
        <w:t>人，减少</w:t>
      </w:r>
      <w:r>
        <w:rPr>
          <w:rFonts w:hint="eastAsia" w:ascii="仿宋_GB2312" w:hAnsi="宋体" w:eastAsia="仿宋_GB2312" w:cs="宋体"/>
          <w:sz w:val="32"/>
          <w:szCs w:val="32"/>
          <w:lang w:val="en-US" w:eastAsia="zh-CN"/>
        </w:rPr>
        <w:t>2</w:t>
      </w:r>
      <w:r>
        <w:rPr>
          <w:rFonts w:hint="eastAsia" w:ascii="仿宋_GB2312" w:hAnsi="宋体" w:eastAsia="仿宋_GB2312" w:cs="宋体"/>
          <w:sz w:val="32"/>
          <w:szCs w:val="32"/>
        </w:rPr>
        <w:t>人；离休0人，增加0人。</w:t>
      </w:r>
    </w:p>
    <w:p>
      <w:pPr>
        <w:pStyle w:val="8"/>
        <w:numPr>
          <w:ilvl w:val="0"/>
          <w:numId w:val="0"/>
        </w:numPr>
        <w:rPr>
          <w:rFonts w:hint="default" w:eastAsia="宋体"/>
          <w:lang w:val="en-US" w:eastAsia="zh-CN"/>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pStyle w:val="6"/>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s="Times New Roman"/>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eastAsia="黑体"/>
          <w:sz w:val="30"/>
          <w:szCs w:val="30"/>
        </w:rPr>
        <w:t>部门</w:t>
      </w:r>
      <w:r>
        <w:rPr>
          <w:rFonts w:hint="eastAsia" w:ascii="黑体" w:hAnsi="黑体" w:eastAsia="黑体" w:cs="Times New Roman"/>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呼图壁县人民代表大会常务委员会办公室</w:t>
      </w:r>
      <w:r>
        <w:rPr>
          <w:rFonts w:hint="eastAsia" w:ascii="仿宋_GB2312" w:hAnsi="宋体" w:eastAsia="仿宋_GB2312"/>
          <w:color w:val="auto"/>
          <w:kern w:val="0"/>
          <w:sz w:val="24"/>
          <w:highlight w:val="none"/>
        </w:rPr>
        <w:t xml:space="preserve">            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822.38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535.43</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622.38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601.33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21.05</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143.86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70.06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3.75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3.75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3.75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76.79</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826.14</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826.14</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呼图壁县人民代表大会常务委员会办公室</w:t>
      </w:r>
      <w:r>
        <w:rPr>
          <w:rFonts w:hint="eastAsia" w:ascii="仿宋_GB2312" w:hAnsi="宋体" w:eastAsia="仿宋_GB2312"/>
          <w:color w:val="auto"/>
          <w:kern w:val="0"/>
          <w:sz w:val="24"/>
          <w:highlight w:val="none"/>
        </w:rPr>
        <w:t xml:space="preserve">                  单位：万元</w:t>
      </w:r>
    </w:p>
    <w:tbl>
      <w:tblPr>
        <w:tblStyle w:val="9"/>
        <w:tblW w:w="10479" w:type="dxa"/>
        <w:tblInd w:w="-450" w:type="dxa"/>
        <w:tblLayout w:type="fixed"/>
        <w:tblCellMar>
          <w:top w:w="0" w:type="dxa"/>
          <w:left w:w="108" w:type="dxa"/>
          <w:bottom w:w="0" w:type="dxa"/>
          <w:right w:w="108" w:type="dxa"/>
        </w:tblCellMar>
      </w:tblPr>
      <w:tblGrid>
        <w:gridCol w:w="510"/>
        <w:gridCol w:w="499"/>
        <w:gridCol w:w="525"/>
        <w:gridCol w:w="1475"/>
        <w:gridCol w:w="705"/>
        <w:gridCol w:w="705"/>
        <w:gridCol w:w="711"/>
        <w:gridCol w:w="690"/>
        <w:gridCol w:w="444"/>
        <w:gridCol w:w="628"/>
        <w:gridCol w:w="377"/>
        <w:gridCol w:w="750"/>
        <w:gridCol w:w="690"/>
        <w:gridCol w:w="750"/>
        <w:gridCol w:w="585"/>
        <w:gridCol w:w="435"/>
      </w:tblGrid>
      <w:tr>
        <w:tblPrEx>
          <w:tblCellMar>
            <w:top w:w="0" w:type="dxa"/>
            <w:left w:w="108" w:type="dxa"/>
            <w:bottom w:w="0" w:type="dxa"/>
            <w:right w:w="108" w:type="dxa"/>
          </w:tblCellMar>
        </w:tblPrEx>
        <w:trPr>
          <w:trHeight w:val="384" w:hRule="atLeast"/>
        </w:trPr>
        <w:tc>
          <w:tcPr>
            <w:tcW w:w="1534" w:type="dxa"/>
            <w:gridSpan w:val="3"/>
            <w:tcBorders>
              <w:top w:val="single" w:color="auto" w:sz="4" w:space="0"/>
              <w:left w:val="single" w:color="auto" w:sz="4" w:space="0"/>
              <w:bottom w:val="single" w:color="auto" w:sz="4" w:space="0"/>
              <w:right w:val="single" w:color="auto" w:sz="4" w:space="0"/>
            </w:tcBorders>
            <w:noWrap w:val="0"/>
            <w:vAlign w:val="center"/>
          </w:tcPr>
          <w:p>
            <w:pPr>
              <w:jc w:val="both"/>
              <w:rPr>
                <w:rFonts w:ascii="仿宋_GB2312" w:hAnsi="宋体" w:eastAsia="仿宋_GB2312" w:cs="宋体"/>
                <w:b/>
                <w:color w:val="auto"/>
                <w:sz w:val="21"/>
                <w:szCs w:val="21"/>
                <w:highlight w:val="none"/>
              </w:rPr>
            </w:pPr>
            <w:r>
              <w:rPr>
                <w:rFonts w:hint="eastAsia" w:ascii="仿宋_GB2312" w:eastAsia="仿宋_GB2312"/>
                <w:b/>
                <w:color w:val="auto"/>
                <w:sz w:val="18"/>
                <w:szCs w:val="18"/>
                <w:highlight w:val="none"/>
              </w:rPr>
              <w:t>功能分类科目编码</w:t>
            </w:r>
          </w:p>
        </w:tc>
        <w:tc>
          <w:tcPr>
            <w:tcW w:w="14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1"/>
                <w:szCs w:val="21"/>
                <w:highlight w:val="none"/>
              </w:rPr>
            </w:pPr>
            <w:r>
              <w:rPr>
                <w:rFonts w:hint="eastAsia" w:ascii="仿宋_GB2312" w:eastAsia="仿宋_GB2312"/>
                <w:b/>
                <w:color w:val="auto"/>
                <w:sz w:val="21"/>
                <w:szCs w:val="21"/>
                <w:highlight w:val="none"/>
              </w:rPr>
              <w:t>功能分类科目名称</w:t>
            </w:r>
          </w:p>
        </w:tc>
        <w:tc>
          <w:tcPr>
            <w:tcW w:w="7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1"/>
                <w:szCs w:val="21"/>
                <w:highlight w:val="none"/>
              </w:rPr>
            </w:pPr>
            <w:r>
              <w:rPr>
                <w:rFonts w:hint="eastAsia" w:ascii="仿宋_GB2312" w:eastAsia="仿宋_GB2312"/>
                <w:b/>
                <w:bCs w:val="0"/>
                <w:color w:val="auto"/>
                <w:sz w:val="21"/>
                <w:szCs w:val="21"/>
                <w:highlight w:val="none"/>
              </w:rPr>
              <w:t>总  计</w:t>
            </w:r>
          </w:p>
        </w:tc>
        <w:tc>
          <w:tcPr>
            <w:tcW w:w="430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1"/>
                <w:szCs w:val="21"/>
                <w:highlight w:val="none"/>
              </w:rPr>
            </w:pPr>
            <w:r>
              <w:rPr>
                <w:rFonts w:hint="eastAsia" w:ascii="仿宋_GB2312" w:hAnsi="宋体" w:eastAsia="仿宋_GB2312" w:cs="宋体"/>
                <w:b/>
                <w:bCs w:val="0"/>
                <w:color w:val="auto"/>
                <w:sz w:val="21"/>
                <w:szCs w:val="21"/>
                <w:highlight w:val="none"/>
              </w:rPr>
              <w:t>财  政  拨  款  (  补  助  )</w:t>
            </w:r>
          </w:p>
        </w:tc>
        <w:tc>
          <w:tcPr>
            <w:tcW w:w="6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1"/>
                <w:szCs w:val="21"/>
                <w:highlight w:val="none"/>
              </w:rPr>
            </w:pPr>
            <w:r>
              <w:rPr>
                <w:rFonts w:hint="eastAsia" w:ascii="仿宋_GB2312" w:eastAsia="仿宋_GB2312"/>
                <w:b/>
                <w:bCs w:val="0"/>
                <w:color w:val="auto"/>
                <w:sz w:val="21"/>
                <w:szCs w:val="21"/>
                <w:highlight w:val="none"/>
              </w:rPr>
              <w:t>财政专户（教育收费）</w:t>
            </w:r>
          </w:p>
        </w:tc>
        <w:tc>
          <w:tcPr>
            <w:tcW w:w="7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单位资金</w:t>
            </w:r>
          </w:p>
        </w:tc>
        <w:tc>
          <w:tcPr>
            <w:tcW w:w="58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财政拨款结转</w:t>
            </w:r>
          </w:p>
        </w:tc>
        <w:tc>
          <w:tcPr>
            <w:tcW w:w="4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非财政拨款结转结余</w:t>
            </w:r>
          </w:p>
        </w:tc>
      </w:tr>
      <w:tr>
        <w:tblPrEx>
          <w:tblCellMar>
            <w:top w:w="0" w:type="dxa"/>
            <w:left w:w="108" w:type="dxa"/>
            <w:bottom w:w="0" w:type="dxa"/>
            <w:right w:w="108" w:type="dxa"/>
          </w:tblCellMar>
        </w:tblPrEx>
        <w:trPr>
          <w:trHeight w:val="2004" w:hRule="atLeast"/>
        </w:trPr>
        <w:tc>
          <w:tcPr>
            <w:tcW w:w="510"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99"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25"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4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1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上级一般公共预算安排的转移支付</w:t>
            </w:r>
          </w:p>
        </w:tc>
        <w:tc>
          <w:tcPr>
            <w:tcW w:w="44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政府性基金预算</w:t>
            </w:r>
          </w:p>
        </w:tc>
        <w:tc>
          <w:tcPr>
            <w:tcW w:w="62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上级政府性基金安排的转移支付</w:t>
            </w:r>
          </w:p>
        </w:tc>
        <w:tc>
          <w:tcPr>
            <w:tcW w:w="37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国有资本经营预算</w:t>
            </w:r>
          </w:p>
        </w:tc>
        <w:tc>
          <w:tcPr>
            <w:tcW w:w="7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上级国有资本经营预算安排的转移支付</w:t>
            </w:r>
          </w:p>
        </w:tc>
        <w:tc>
          <w:tcPr>
            <w:tcW w:w="69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8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3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201</w:t>
            </w:r>
          </w:p>
        </w:tc>
        <w:tc>
          <w:tcPr>
            <w:tcW w:w="499"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auto"/>
                <w:sz w:val="15"/>
                <w:szCs w:val="15"/>
                <w:highlight w:val="none"/>
              </w:rPr>
            </w:pPr>
          </w:p>
        </w:tc>
        <w:tc>
          <w:tcPr>
            <w:tcW w:w="525"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auto"/>
                <w:sz w:val="15"/>
                <w:szCs w:val="15"/>
                <w:highlight w:val="none"/>
              </w:rPr>
            </w:pPr>
          </w:p>
        </w:tc>
        <w:tc>
          <w:tcPr>
            <w:tcW w:w="1475"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sz w:val="15"/>
                <w:szCs w:val="15"/>
                <w:lang w:eastAsia="zh-CN"/>
              </w:rPr>
            </w:pPr>
            <w:r>
              <w:rPr>
                <w:rFonts w:hint="eastAsia" w:ascii="仿宋" w:hAnsi="仿宋" w:eastAsia="仿宋" w:cs="仿宋"/>
                <w:sz w:val="15"/>
                <w:szCs w:val="15"/>
                <w:lang w:eastAsia="zh-CN"/>
              </w:rPr>
              <w:t>一般公共服务支出</w:t>
            </w:r>
          </w:p>
        </w:tc>
        <w:tc>
          <w:tcPr>
            <w:tcW w:w="7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535.43</w:t>
            </w:r>
          </w:p>
        </w:tc>
        <w:tc>
          <w:tcPr>
            <w:tcW w:w="7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489.68</w:t>
            </w:r>
          </w:p>
        </w:tc>
        <w:tc>
          <w:tcPr>
            <w:tcW w:w="71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468.63</w:t>
            </w:r>
          </w:p>
        </w:tc>
        <w:tc>
          <w:tcPr>
            <w:tcW w:w="690"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21.05</w:t>
            </w:r>
          </w:p>
        </w:tc>
        <w:tc>
          <w:tcPr>
            <w:tcW w:w="44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p>
        </w:tc>
        <w:tc>
          <w:tcPr>
            <w:tcW w:w="628"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p>
        </w:tc>
        <w:tc>
          <w:tcPr>
            <w:tcW w:w="377"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p>
        </w:tc>
        <w:tc>
          <w:tcPr>
            <w:tcW w:w="75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c>
          <w:tcPr>
            <w:tcW w:w="75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42.00</w:t>
            </w:r>
          </w:p>
        </w:tc>
        <w:tc>
          <w:tcPr>
            <w:tcW w:w="58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3.75</w:t>
            </w:r>
          </w:p>
        </w:tc>
        <w:tc>
          <w:tcPr>
            <w:tcW w:w="43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eastAsia="zh-CN"/>
              </w:rPr>
            </w:pPr>
            <w:r>
              <w:rPr>
                <w:rFonts w:hint="eastAsia" w:ascii="仿宋" w:hAnsi="仿宋" w:eastAsia="仿宋" w:cs="仿宋"/>
                <w:sz w:val="15"/>
                <w:szCs w:val="15"/>
                <w:lang w:eastAsia="zh-CN"/>
              </w:rPr>
              <w:t>人大事务</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535.43</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489.68</w:t>
            </w:r>
          </w:p>
        </w:tc>
        <w:tc>
          <w:tcPr>
            <w:tcW w:w="7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468.63</w:t>
            </w:r>
          </w:p>
        </w:tc>
        <w:tc>
          <w:tcPr>
            <w:tcW w:w="69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21.05</w:t>
            </w:r>
          </w:p>
        </w:tc>
        <w:tc>
          <w:tcPr>
            <w:tcW w:w="4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42.00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3.75</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01</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eastAsia="zh-CN"/>
              </w:rPr>
            </w:pPr>
            <w:r>
              <w:rPr>
                <w:rFonts w:hint="eastAsia" w:ascii="仿宋" w:hAnsi="仿宋" w:eastAsia="仿宋" w:cs="仿宋"/>
                <w:sz w:val="15"/>
                <w:szCs w:val="15"/>
                <w:lang w:eastAsia="zh-CN"/>
              </w:rPr>
              <w:t>行政运行</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368.77</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326.77</w:t>
            </w:r>
          </w:p>
        </w:tc>
        <w:tc>
          <w:tcPr>
            <w:tcW w:w="7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326.77</w:t>
            </w:r>
          </w:p>
        </w:tc>
        <w:tc>
          <w:tcPr>
            <w:tcW w:w="6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4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42.00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02</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eastAsia="zh-CN"/>
              </w:rPr>
            </w:pPr>
            <w:r>
              <w:rPr>
                <w:rFonts w:hint="eastAsia" w:ascii="仿宋" w:hAnsi="仿宋" w:eastAsia="仿宋" w:cs="仿宋"/>
                <w:sz w:val="15"/>
                <w:szCs w:val="15"/>
                <w:lang w:eastAsia="zh-CN"/>
              </w:rPr>
              <w:t>一般行政管理事务</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63.75</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60.00</w:t>
            </w:r>
          </w:p>
        </w:tc>
        <w:tc>
          <w:tcPr>
            <w:tcW w:w="7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60.00</w:t>
            </w:r>
          </w:p>
        </w:tc>
        <w:tc>
          <w:tcPr>
            <w:tcW w:w="6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4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3.75</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04</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eastAsia="zh-CN"/>
              </w:rPr>
            </w:pPr>
            <w:r>
              <w:rPr>
                <w:rFonts w:hint="eastAsia" w:ascii="仿宋" w:hAnsi="仿宋" w:eastAsia="仿宋" w:cs="仿宋"/>
                <w:sz w:val="15"/>
                <w:szCs w:val="15"/>
                <w:lang w:eastAsia="zh-CN"/>
              </w:rPr>
              <w:t>人大会议</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15.00</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15.00</w:t>
            </w:r>
          </w:p>
        </w:tc>
        <w:tc>
          <w:tcPr>
            <w:tcW w:w="7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15.00</w:t>
            </w:r>
          </w:p>
        </w:tc>
        <w:tc>
          <w:tcPr>
            <w:tcW w:w="6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4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08</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eastAsia="zh-CN"/>
              </w:rPr>
            </w:pPr>
            <w:r>
              <w:rPr>
                <w:rFonts w:hint="eastAsia" w:ascii="仿宋" w:hAnsi="仿宋" w:eastAsia="仿宋" w:cs="仿宋"/>
                <w:sz w:val="15"/>
                <w:szCs w:val="15"/>
                <w:lang w:eastAsia="zh-CN"/>
              </w:rPr>
              <w:t>代表工作</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5.00</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5.00</w:t>
            </w:r>
          </w:p>
        </w:tc>
        <w:tc>
          <w:tcPr>
            <w:tcW w:w="7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5.00</w:t>
            </w:r>
          </w:p>
        </w:tc>
        <w:tc>
          <w:tcPr>
            <w:tcW w:w="6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4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50</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eastAsia="zh-CN"/>
              </w:rPr>
            </w:pPr>
            <w:r>
              <w:rPr>
                <w:rFonts w:hint="eastAsia" w:ascii="仿宋" w:hAnsi="仿宋" w:eastAsia="仿宋" w:cs="仿宋"/>
                <w:sz w:val="15"/>
                <w:szCs w:val="15"/>
                <w:lang w:eastAsia="zh-CN"/>
              </w:rPr>
              <w:t>事业运行</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61.86</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61.86</w:t>
            </w:r>
          </w:p>
        </w:tc>
        <w:tc>
          <w:tcPr>
            <w:tcW w:w="7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61.86</w:t>
            </w:r>
          </w:p>
        </w:tc>
        <w:tc>
          <w:tcPr>
            <w:tcW w:w="6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4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01</w:t>
            </w:r>
          </w:p>
        </w:tc>
        <w:tc>
          <w:tcPr>
            <w:tcW w:w="5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99</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eastAsia="zh-CN"/>
              </w:rPr>
            </w:pPr>
            <w:r>
              <w:rPr>
                <w:rFonts w:hint="eastAsia" w:ascii="仿宋" w:hAnsi="仿宋" w:eastAsia="仿宋" w:cs="仿宋"/>
                <w:sz w:val="15"/>
                <w:szCs w:val="15"/>
                <w:lang w:eastAsia="zh-CN"/>
              </w:rPr>
              <w:t>其他人大事务支出</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21.05</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21.05</w:t>
            </w:r>
          </w:p>
        </w:tc>
        <w:tc>
          <w:tcPr>
            <w:tcW w:w="7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eastAsia="zh-CN"/>
              </w:rPr>
            </w:pPr>
            <w:r>
              <w:rPr>
                <w:rFonts w:hint="eastAsia" w:ascii="仿宋_GB2312" w:hAnsi="宋体" w:eastAsia="仿宋_GB2312" w:cs="宋体"/>
                <w:color w:val="auto"/>
                <w:sz w:val="15"/>
                <w:szCs w:val="15"/>
                <w:highlight w:val="none"/>
                <w:lang w:val="en-US" w:eastAsia="zh-CN"/>
              </w:rPr>
              <w:t>21.05</w:t>
            </w:r>
          </w:p>
        </w:tc>
        <w:tc>
          <w:tcPr>
            <w:tcW w:w="4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5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eastAsia="zh-CN"/>
              </w:rPr>
            </w:pPr>
            <w:r>
              <w:rPr>
                <w:rFonts w:hint="eastAsia" w:ascii="仿宋" w:hAnsi="仿宋" w:eastAsia="仿宋" w:cs="仿宋"/>
                <w:sz w:val="15"/>
                <w:szCs w:val="15"/>
                <w:lang w:val="zh-CN" w:eastAsia="zh-CN"/>
              </w:rPr>
              <w:t>社会保障和就业支出</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143.86</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61.86</w:t>
            </w:r>
          </w:p>
        </w:tc>
        <w:tc>
          <w:tcPr>
            <w:tcW w:w="7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61.86</w:t>
            </w:r>
          </w:p>
        </w:tc>
        <w:tc>
          <w:tcPr>
            <w:tcW w:w="6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4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82.00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eastAsia="zh-CN"/>
              </w:rPr>
            </w:pPr>
            <w:r>
              <w:rPr>
                <w:rFonts w:hint="eastAsia" w:ascii="仿宋" w:hAnsi="仿宋" w:eastAsia="仿宋" w:cs="仿宋"/>
                <w:sz w:val="15"/>
                <w:szCs w:val="15"/>
                <w:lang w:val="zh-CN" w:eastAsia="zh-CN"/>
              </w:rPr>
              <w:t>行政事业单位养老支出</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143.86</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61.86</w:t>
            </w:r>
          </w:p>
        </w:tc>
        <w:tc>
          <w:tcPr>
            <w:tcW w:w="7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61.86</w:t>
            </w:r>
          </w:p>
        </w:tc>
        <w:tc>
          <w:tcPr>
            <w:tcW w:w="6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4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82.00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5"/>
                <w:szCs w:val="15"/>
                <w:highlight w:val="none"/>
                <w:lang w:val="en-US"/>
              </w:rPr>
            </w:pPr>
            <w:r>
              <w:rPr>
                <w:rFonts w:hint="eastAsia" w:ascii="仿宋_GB2312" w:eastAsia="仿宋_GB2312"/>
                <w:color w:val="auto"/>
                <w:sz w:val="15"/>
                <w:szCs w:val="15"/>
                <w:highlight w:val="none"/>
                <w:lang w:val="en-US" w:eastAsia="zh-CN"/>
              </w:rPr>
              <w:t>01</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eastAsia="zh-CN"/>
              </w:rPr>
            </w:pPr>
            <w:r>
              <w:rPr>
                <w:rFonts w:hint="eastAsia" w:ascii="仿宋" w:hAnsi="仿宋" w:eastAsia="仿宋" w:cs="仿宋"/>
                <w:sz w:val="15"/>
                <w:szCs w:val="15"/>
                <w:lang w:val="zh-CN" w:eastAsia="zh-CN"/>
              </w:rPr>
              <w:t>行政单位离退休</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16.83</w:t>
            </w: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16.83</w:t>
            </w:r>
          </w:p>
        </w:tc>
        <w:tc>
          <w:tcPr>
            <w:tcW w:w="71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16.83</w:t>
            </w:r>
          </w:p>
        </w:tc>
        <w:tc>
          <w:tcPr>
            <w:tcW w:w="6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44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2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3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5"/>
                <w:szCs w:val="15"/>
                <w:highlight w:val="none"/>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rPr>
            </w:pPr>
          </w:p>
        </w:tc>
      </w:tr>
      <w:tr>
        <w:tblPrEx>
          <w:tblCellMar>
            <w:top w:w="0" w:type="dxa"/>
            <w:left w:w="108" w:type="dxa"/>
            <w:bottom w:w="0" w:type="dxa"/>
            <w:right w:w="108" w:type="dxa"/>
          </w:tblCellMar>
        </w:tblPrEx>
        <w:trPr>
          <w:trHeight w:val="63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val="en-US" w:eastAsia="zh-CN"/>
              </w:rPr>
            </w:pPr>
            <w:r>
              <w:rPr>
                <w:rFonts w:hint="eastAsia" w:ascii="仿宋" w:hAnsi="仿宋" w:eastAsia="仿宋" w:cs="仿宋"/>
                <w:sz w:val="15"/>
                <w:szCs w:val="15"/>
                <w:lang w:val="zh-CN" w:eastAsia="zh-CN"/>
              </w:rPr>
              <w:t>机关事业单位基本养老保险缴费支出</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115.03</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45.03</w:t>
            </w:r>
          </w:p>
        </w:tc>
        <w:tc>
          <w:tcPr>
            <w:tcW w:w="71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45.03</w:t>
            </w: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70.00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06</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val="en-US" w:eastAsia="zh-CN"/>
              </w:rPr>
            </w:pPr>
            <w:r>
              <w:rPr>
                <w:rFonts w:hint="eastAsia" w:ascii="仿宋" w:hAnsi="仿宋" w:eastAsia="仿宋" w:cs="仿宋"/>
                <w:sz w:val="15"/>
                <w:szCs w:val="15"/>
                <w:lang w:val="zh-CN" w:eastAsia="zh-CN"/>
              </w:rPr>
              <w:t>机关事业单位职业年金缴费</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12.00</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1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12.00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5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val="en-US" w:eastAsia="zh-CN"/>
              </w:rPr>
            </w:pPr>
            <w:r>
              <w:rPr>
                <w:rFonts w:hint="eastAsia" w:ascii="仿宋" w:hAnsi="仿宋" w:eastAsia="仿宋" w:cs="仿宋"/>
                <w:sz w:val="15"/>
                <w:szCs w:val="15"/>
                <w:lang w:val="zh-CN" w:eastAsia="zh-CN"/>
              </w:rPr>
              <w:t>卫生健康支出</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70.06</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34.06</w:t>
            </w:r>
          </w:p>
        </w:tc>
        <w:tc>
          <w:tcPr>
            <w:tcW w:w="711"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34.06</w:t>
            </w: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36.00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val="en-US" w:eastAsia="zh-CN"/>
              </w:rPr>
            </w:pPr>
            <w:r>
              <w:rPr>
                <w:rFonts w:hint="eastAsia" w:ascii="仿宋" w:hAnsi="仿宋" w:eastAsia="仿宋" w:cs="仿宋"/>
                <w:sz w:val="15"/>
                <w:szCs w:val="15"/>
                <w:lang w:val="zh-CN" w:eastAsia="zh-CN"/>
              </w:rPr>
              <w:t>行政事业单位医疗</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70.06</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34.06</w:t>
            </w:r>
          </w:p>
        </w:tc>
        <w:tc>
          <w:tcPr>
            <w:tcW w:w="711"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34.06</w:t>
            </w: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36.00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val="en-US" w:eastAsia="zh-CN"/>
              </w:rPr>
            </w:pPr>
            <w:r>
              <w:rPr>
                <w:rFonts w:hint="eastAsia" w:ascii="仿宋" w:hAnsi="仿宋" w:eastAsia="仿宋" w:cs="仿宋"/>
                <w:sz w:val="15"/>
                <w:szCs w:val="15"/>
                <w:lang w:val="en-US" w:eastAsia="zh-CN"/>
              </w:rPr>
              <w:t>行政单位医疗</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48.13</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18.13</w:t>
            </w:r>
          </w:p>
        </w:tc>
        <w:tc>
          <w:tcPr>
            <w:tcW w:w="711"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18.13</w:t>
            </w: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30.00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val="en-US" w:eastAsia="zh-CN"/>
              </w:rPr>
            </w:pPr>
            <w:r>
              <w:rPr>
                <w:rFonts w:hint="eastAsia" w:ascii="仿宋" w:hAnsi="仿宋" w:eastAsia="仿宋" w:cs="仿宋"/>
                <w:sz w:val="15"/>
                <w:szCs w:val="15"/>
                <w:lang w:val="en-US" w:eastAsia="zh-CN"/>
              </w:rPr>
              <w:t>事业单位医疗</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4.39</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4.39</w:t>
            </w:r>
          </w:p>
        </w:tc>
        <w:tc>
          <w:tcPr>
            <w:tcW w:w="711"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4.39</w:t>
            </w: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03</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val="en-US" w:eastAsia="zh-CN"/>
              </w:rPr>
            </w:pPr>
            <w:r>
              <w:rPr>
                <w:rFonts w:hint="eastAsia" w:ascii="仿宋" w:hAnsi="仿宋" w:eastAsia="仿宋" w:cs="仿宋"/>
                <w:sz w:val="15"/>
                <w:szCs w:val="15"/>
                <w:lang w:val="en-US" w:eastAsia="zh-CN"/>
              </w:rPr>
              <w:t>公务员医疗补助</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17.26</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11.26</w:t>
            </w:r>
          </w:p>
        </w:tc>
        <w:tc>
          <w:tcPr>
            <w:tcW w:w="711"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11.26</w:t>
            </w: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99</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val="en-US" w:eastAsia="zh-CN"/>
              </w:rPr>
            </w:pPr>
            <w:r>
              <w:rPr>
                <w:rFonts w:hint="eastAsia" w:ascii="仿宋" w:hAnsi="仿宋" w:eastAsia="仿宋" w:cs="仿宋"/>
                <w:sz w:val="15"/>
                <w:szCs w:val="15"/>
                <w:lang w:val="zh-CN" w:eastAsia="zh-CN"/>
              </w:rPr>
              <w:t>其他行政事业单位医疗支出</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0.28</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0.28</w:t>
            </w:r>
          </w:p>
        </w:tc>
        <w:tc>
          <w:tcPr>
            <w:tcW w:w="711"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0.28</w:t>
            </w: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5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val="en-US" w:eastAsia="zh-CN"/>
              </w:rPr>
            </w:pPr>
            <w:r>
              <w:rPr>
                <w:rFonts w:hint="eastAsia" w:ascii="仿宋" w:hAnsi="仿宋" w:eastAsia="仿宋" w:cs="仿宋"/>
                <w:sz w:val="15"/>
                <w:szCs w:val="15"/>
                <w:lang w:val="zh-CN" w:eastAsia="zh-CN"/>
              </w:rPr>
              <w:t>住房保障支出</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76.79</w:t>
            </w:r>
          </w:p>
        </w:tc>
        <w:tc>
          <w:tcPr>
            <w:tcW w:w="70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36.79</w:t>
            </w:r>
          </w:p>
        </w:tc>
        <w:tc>
          <w:tcPr>
            <w:tcW w:w="711"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36.79</w:t>
            </w: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40.00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val="en-US" w:eastAsia="zh-CN"/>
              </w:rPr>
            </w:pPr>
            <w:r>
              <w:rPr>
                <w:rFonts w:hint="eastAsia" w:ascii="仿宋" w:hAnsi="仿宋" w:eastAsia="仿宋" w:cs="仿宋"/>
                <w:sz w:val="15"/>
                <w:szCs w:val="15"/>
                <w:lang w:val="zh-CN" w:eastAsia="zh-CN"/>
              </w:rPr>
              <w:t>住房保障支出</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76.79</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36.79</w:t>
            </w:r>
          </w:p>
        </w:tc>
        <w:tc>
          <w:tcPr>
            <w:tcW w:w="71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36.79</w:t>
            </w: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40.00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w:t>
            </w:r>
          </w:p>
        </w:tc>
        <w:tc>
          <w:tcPr>
            <w:tcW w:w="52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01</w:t>
            </w: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15"/>
                <w:szCs w:val="15"/>
                <w:lang w:val="en-US" w:eastAsia="zh-CN"/>
              </w:rPr>
            </w:pPr>
            <w:r>
              <w:rPr>
                <w:rFonts w:hint="eastAsia" w:ascii="仿宋" w:hAnsi="仿宋" w:eastAsia="仿宋" w:cs="仿宋"/>
                <w:sz w:val="15"/>
                <w:szCs w:val="15"/>
                <w:lang w:val="zh-CN" w:eastAsia="zh-CN"/>
              </w:rPr>
              <w:t>住住房公积金</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76.79</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36.79</w:t>
            </w:r>
          </w:p>
        </w:tc>
        <w:tc>
          <w:tcPr>
            <w:tcW w:w="711"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36.79</w:t>
            </w: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40.00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65" w:hRule="atLeast"/>
        </w:trPr>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49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52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14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sz w:val="15"/>
                <w:szCs w:val="15"/>
                <w:lang w:val="en-US" w:eastAsia="zh-CN"/>
              </w:rPr>
            </w:pPr>
            <w:r>
              <w:rPr>
                <w:rFonts w:hint="eastAsia" w:ascii="仿宋" w:hAnsi="仿宋" w:eastAsia="仿宋" w:cs="仿宋"/>
                <w:b/>
                <w:bCs/>
                <w:sz w:val="15"/>
                <w:szCs w:val="15"/>
                <w:lang w:val="en-US" w:eastAsia="zh-CN"/>
              </w:rPr>
              <w:t>合  计</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826.14</w:t>
            </w: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622.38</w:t>
            </w:r>
          </w:p>
        </w:tc>
        <w:tc>
          <w:tcPr>
            <w:tcW w:w="711"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601.33</w:t>
            </w:r>
          </w:p>
        </w:tc>
        <w:tc>
          <w:tcPr>
            <w:tcW w:w="690" w:type="dxa"/>
            <w:tcBorders>
              <w:top w:val="nil"/>
              <w:left w:val="nil"/>
              <w:bottom w:val="single" w:color="auto" w:sz="4" w:space="0"/>
              <w:right w:val="single" w:color="auto" w:sz="4" w:space="0"/>
            </w:tcBorders>
            <w:noWrap w:val="0"/>
            <w:vAlign w:val="center"/>
          </w:tcPr>
          <w:p>
            <w:pPr>
              <w:jc w:val="center"/>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21.05</w:t>
            </w:r>
          </w:p>
        </w:tc>
        <w:tc>
          <w:tcPr>
            <w:tcW w:w="444"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lang w:val="en-US" w:eastAsia="zh-CN"/>
              </w:rPr>
            </w:pPr>
          </w:p>
        </w:tc>
        <w:tc>
          <w:tcPr>
            <w:tcW w:w="628"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lang w:val="en-US" w:eastAsia="zh-CN"/>
              </w:rPr>
            </w:pPr>
          </w:p>
        </w:tc>
        <w:tc>
          <w:tcPr>
            <w:tcW w:w="377"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lang w:val="en-US" w:eastAsia="zh-CN"/>
              </w:rPr>
            </w:pP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lang w:val="en-US" w:eastAsia="zh-CN"/>
              </w:rPr>
            </w:pPr>
          </w:p>
        </w:tc>
        <w:tc>
          <w:tcPr>
            <w:tcW w:w="69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200.00</w:t>
            </w:r>
          </w:p>
        </w:tc>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3.75</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5"/>
                <w:szCs w:val="15"/>
                <w:highlight w:val="none"/>
                <w:lang w:val="en-US" w:eastAsia="zh-CN"/>
              </w:rPr>
            </w:pPr>
          </w:p>
        </w:tc>
      </w:tr>
    </w:tbl>
    <w:p>
      <w:pPr>
        <w:jc w:val="right"/>
        <w:rPr>
          <w:rFonts w:hint="eastAsia" w:ascii="仿宋_GB2312" w:eastAsia="仿宋_GB2312"/>
          <w:color w:val="auto"/>
          <w:sz w:val="15"/>
          <w:szCs w:val="15"/>
          <w:highlight w:val="none"/>
          <w:lang w:val="en-US" w:eastAsia="zh-CN"/>
        </w:rPr>
      </w:pPr>
    </w:p>
    <w:p>
      <w:pPr>
        <w:jc w:val="right"/>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pStyle w:val="6"/>
        <w:rPr>
          <w:rFonts w:hint="eastAsia" w:ascii="仿宋_GB2312" w:eastAsia="仿宋_GB2312"/>
          <w:color w:val="auto"/>
          <w:sz w:val="15"/>
          <w:szCs w:val="15"/>
          <w:highlight w:val="none"/>
          <w:lang w:val="en-US" w:eastAsia="zh-CN"/>
        </w:rPr>
      </w:pPr>
    </w:p>
    <w:p>
      <w:pPr>
        <w:jc w:val="right"/>
        <w:rPr>
          <w:rFonts w:hint="eastAsia" w:ascii="仿宋_GB2312" w:eastAsia="仿宋_GB2312"/>
          <w:color w:val="auto"/>
          <w:sz w:val="15"/>
          <w:szCs w:val="15"/>
          <w:highlight w:val="none"/>
          <w:lang w:val="en-US" w:eastAsia="zh-CN"/>
        </w:rPr>
      </w:pPr>
    </w:p>
    <w:p>
      <w:pPr>
        <w:jc w:val="right"/>
        <w:rPr>
          <w:rFonts w:hint="eastAsia" w:ascii="仿宋_GB2312" w:eastAsia="仿宋_GB2312"/>
          <w:color w:val="auto"/>
          <w:sz w:val="15"/>
          <w:szCs w:val="15"/>
          <w:highlight w:val="none"/>
          <w:lang w:val="en-US" w:eastAsia="zh-CN"/>
        </w:rPr>
      </w:pPr>
    </w:p>
    <w:p>
      <w:pPr>
        <w:jc w:val="right"/>
        <w:rPr>
          <w:rFonts w:hint="eastAsia" w:ascii="仿宋_GB2312" w:eastAsia="仿宋_GB2312"/>
          <w:color w:val="auto"/>
          <w:sz w:val="15"/>
          <w:szCs w:val="15"/>
          <w:highlight w:val="none"/>
          <w:lang w:val="en-US" w:eastAsia="zh-CN"/>
        </w:rPr>
      </w:pPr>
    </w:p>
    <w:p>
      <w:pPr>
        <w:widowControl/>
        <w:jc w:val="left"/>
        <w:outlineLvl w:val="1"/>
        <w:rPr>
          <w:rFonts w:hint="eastAsia" w:ascii="仿宋_GB2312" w:hAnsi="宋体" w:eastAsia="仿宋_GB2312"/>
          <w:color w:val="auto"/>
          <w:kern w:val="0"/>
          <w:sz w:val="24"/>
          <w:highlight w:val="none"/>
          <w:lang w:val="en-US" w:eastAsia="zh-CN"/>
        </w:rPr>
      </w:pPr>
      <w:r>
        <w:rPr>
          <w:rFonts w:hint="eastAsia" w:ascii="仿宋_GB2312" w:hAnsi="宋体" w:eastAsia="仿宋_GB2312"/>
          <w:color w:val="auto"/>
          <w:kern w:val="0"/>
          <w:sz w:val="24"/>
          <w:highlight w:val="none"/>
          <w:lang w:val="en-US" w:eastAsia="zh-CN"/>
        </w:rPr>
        <w:t>表3</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部门支出总体情况表</w:t>
      </w:r>
    </w:p>
    <w:p>
      <w:pPr>
        <w:widowControl/>
        <w:jc w:val="left"/>
        <w:outlineLvl w:val="1"/>
        <w:rPr>
          <w:rFonts w:hint="eastAsia" w:ascii="仿宋_GB2312" w:hAnsi="宋体" w:eastAsia="仿宋_GB2312"/>
          <w:color w:val="auto"/>
          <w:kern w:val="0"/>
          <w:sz w:val="24"/>
          <w:highlight w:val="none"/>
          <w:lang w:val="en-US" w:eastAsia="zh-CN"/>
        </w:rPr>
      </w:pPr>
      <w:r>
        <w:rPr>
          <w:rFonts w:hint="eastAsia" w:ascii="仿宋_GB2312" w:hAnsi="宋体" w:eastAsia="仿宋_GB2312"/>
          <w:color w:val="auto"/>
          <w:kern w:val="0"/>
          <w:sz w:val="24"/>
          <w:highlight w:val="none"/>
          <w:lang w:val="en-US" w:eastAsia="zh-CN"/>
        </w:rPr>
        <w:t>编制部门： 呼图壁县人民代表大会常务委员会办公室              单位：万元</w:t>
      </w:r>
    </w:p>
    <w:tbl>
      <w:tblPr>
        <w:tblStyle w:val="9"/>
        <w:tblW w:w="9420" w:type="dxa"/>
        <w:tblInd w:w="-240" w:type="dxa"/>
        <w:tblLayout w:type="autofit"/>
        <w:tblCellMar>
          <w:top w:w="0" w:type="dxa"/>
          <w:left w:w="108" w:type="dxa"/>
          <w:bottom w:w="0" w:type="dxa"/>
          <w:right w:w="108" w:type="dxa"/>
        </w:tblCellMar>
      </w:tblPr>
      <w:tblGrid>
        <w:gridCol w:w="441"/>
        <w:gridCol w:w="493"/>
        <w:gridCol w:w="585"/>
        <w:gridCol w:w="2659"/>
        <w:gridCol w:w="1746"/>
        <w:gridCol w:w="1726"/>
        <w:gridCol w:w="1770"/>
      </w:tblGrid>
      <w:tr>
        <w:tblPrEx>
          <w:tblCellMar>
            <w:top w:w="0" w:type="dxa"/>
            <w:left w:w="108" w:type="dxa"/>
            <w:bottom w:w="0" w:type="dxa"/>
            <w:right w:w="108" w:type="dxa"/>
          </w:tblCellMar>
        </w:tblPrEx>
        <w:trPr>
          <w:trHeight w:val="328" w:hRule="atLeast"/>
        </w:trPr>
        <w:tc>
          <w:tcPr>
            <w:tcW w:w="417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科    目</w:t>
            </w:r>
          </w:p>
        </w:tc>
        <w:tc>
          <w:tcPr>
            <w:tcW w:w="5242" w:type="dxa"/>
            <w:gridSpan w:val="3"/>
            <w:tcBorders>
              <w:top w:val="single" w:color="auto" w:sz="4" w:space="0"/>
              <w:left w:val="nil"/>
              <w:bottom w:val="single" w:color="auto" w:sz="4" w:space="0"/>
              <w:right w:val="single" w:color="000000"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支出预算</w:t>
            </w:r>
          </w:p>
        </w:tc>
      </w:tr>
      <w:tr>
        <w:tblPrEx>
          <w:tblCellMar>
            <w:top w:w="0" w:type="dxa"/>
            <w:left w:w="108" w:type="dxa"/>
            <w:bottom w:w="0" w:type="dxa"/>
            <w:right w:w="108" w:type="dxa"/>
          </w:tblCellMar>
        </w:tblPrEx>
        <w:trPr>
          <w:trHeight w:val="480" w:hRule="atLeast"/>
        </w:trPr>
        <w:tc>
          <w:tcPr>
            <w:tcW w:w="151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功能分类科目编码</w:t>
            </w:r>
          </w:p>
        </w:tc>
        <w:tc>
          <w:tcPr>
            <w:tcW w:w="2659"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功能分类科目名称</w:t>
            </w:r>
          </w:p>
        </w:tc>
        <w:tc>
          <w:tcPr>
            <w:tcW w:w="1746"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合  计</w:t>
            </w:r>
          </w:p>
        </w:tc>
        <w:tc>
          <w:tcPr>
            <w:tcW w:w="1726"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基本支出</w:t>
            </w:r>
          </w:p>
        </w:tc>
        <w:tc>
          <w:tcPr>
            <w:tcW w:w="1770"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项目支出</w:t>
            </w:r>
          </w:p>
        </w:tc>
      </w:tr>
      <w:tr>
        <w:tblPrEx>
          <w:tblCellMar>
            <w:top w:w="0" w:type="dxa"/>
            <w:left w:w="108" w:type="dxa"/>
            <w:bottom w:w="0" w:type="dxa"/>
            <w:right w:w="108" w:type="dxa"/>
          </w:tblCellMar>
        </w:tblPrEx>
        <w:trPr>
          <w:trHeight w:val="270"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类</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款</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项</w:t>
            </w:r>
          </w:p>
        </w:tc>
        <w:tc>
          <w:tcPr>
            <w:tcW w:w="2659" w:type="dxa"/>
            <w:vMerge w:val="continue"/>
            <w:tcBorders>
              <w:top w:val="nil"/>
              <w:left w:val="single" w:color="auto" w:sz="4" w:space="0"/>
              <w:bottom w:val="single" w:color="000000"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1746" w:type="dxa"/>
            <w:vMerge w:val="continue"/>
            <w:tcBorders>
              <w:top w:val="nil"/>
              <w:left w:val="single" w:color="auto" w:sz="4" w:space="0"/>
              <w:bottom w:val="single" w:color="000000"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1726" w:type="dxa"/>
            <w:vMerge w:val="continue"/>
            <w:tcBorders>
              <w:top w:val="nil"/>
              <w:left w:val="single" w:color="auto" w:sz="4" w:space="0"/>
              <w:bottom w:val="single" w:color="000000"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1770" w:type="dxa"/>
            <w:vMerge w:val="continue"/>
            <w:tcBorders>
              <w:top w:val="nil"/>
              <w:left w:val="single" w:color="auto" w:sz="4" w:space="0"/>
              <w:bottom w:val="single" w:color="000000"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201</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一般公共服务支出</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535.43</w:t>
            </w:r>
          </w:p>
        </w:tc>
        <w:tc>
          <w:tcPr>
            <w:tcW w:w="1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445.63</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89.80</w:t>
            </w:r>
          </w:p>
        </w:tc>
      </w:tr>
      <w:tr>
        <w:tblPrEx>
          <w:tblCellMar>
            <w:top w:w="0" w:type="dxa"/>
            <w:left w:w="108" w:type="dxa"/>
            <w:bottom w:w="0" w:type="dxa"/>
            <w:right w:w="108" w:type="dxa"/>
          </w:tblCellMar>
        </w:tblPrEx>
        <w:trPr>
          <w:trHeight w:val="314"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r>
              <w:rPr>
                <w:rFonts w:hint="eastAsia" w:ascii="仿宋" w:hAnsi="仿宋" w:eastAsia="仿宋" w:cs="仿宋"/>
                <w:color w:val="auto"/>
                <w:sz w:val="15"/>
                <w:szCs w:val="15"/>
                <w:highlight w:val="none"/>
                <w:lang w:val="en-US" w:eastAsia="zh-CN"/>
              </w:rPr>
              <w:t>201</w:t>
            </w:r>
          </w:p>
        </w:tc>
        <w:tc>
          <w:tcPr>
            <w:tcW w:w="49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r>
              <w:rPr>
                <w:rFonts w:hint="eastAsia" w:ascii="仿宋" w:hAnsi="仿宋" w:eastAsia="仿宋" w:cs="仿宋"/>
                <w:color w:val="auto"/>
                <w:sz w:val="15"/>
                <w:szCs w:val="15"/>
                <w:highlight w:val="none"/>
                <w:lang w:val="en-US" w:eastAsia="zh-CN"/>
              </w:rPr>
              <w:t>01</w:t>
            </w: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人大事务</w:t>
            </w:r>
          </w:p>
        </w:tc>
        <w:tc>
          <w:tcPr>
            <w:tcW w:w="174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535.43</w:t>
            </w:r>
          </w:p>
        </w:tc>
        <w:tc>
          <w:tcPr>
            <w:tcW w:w="1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445.63</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89.80</w:t>
            </w: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r>
              <w:rPr>
                <w:rFonts w:hint="eastAsia" w:ascii="仿宋" w:hAnsi="仿宋" w:eastAsia="仿宋" w:cs="仿宋"/>
                <w:color w:val="auto"/>
                <w:sz w:val="15"/>
                <w:szCs w:val="15"/>
                <w:highlight w:val="none"/>
                <w:lang w:val="en-US" w:eastAsia="zh-CN"/>
              </w:rPr>
              <w:t>201</w:t>
            </w:r>
          </w:p>
        </w:tc>
        <w:tc>
          <w:tcPr>
            <w:tcW w:w="49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r>
              <w:rPr>
                <w:rFonts w:hint="eastAsia" w:ascii="仿宋" w:hAnsi="仿宋" w:eastAsia="仿宋" w:cs="仿宋"/>
                <w:color w:val="auto"/>
                <w:sz w:val="15"/>
                <w:szCs w:val="15"/>
                <w:highlight w:val="none"/>
                <w:lang w:val="en-US" w:eastAsia="zh-CN"/>
              </w:rPr>
              <w:t>01</w:t>
            </w: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r>
              <w:rPr>
                <w:rFonts w:hint="eastAsia" w:ascii="仿宋" w:hAnsi="仿宋" w:eastAsia="仿宋" w:cs="仿宋"/>
                <w:color w:val="auto"/>
                <w:sz w:val="15"/>
                <w:szCs w:val="15"/>
                <w:highlight w:val="none"/>
                <w:lang w:val="en-US" w:eastAsia="zh-CN"/>
              </w:rPr>
              <w:t>01</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行政运行</w:t>
            </w:r>
          </w:p>
        </w:tc>
        <w:tc>
          <w:tcPr>
            <w:tcW w:w="174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368.77</w:t>
            </w:r>
          </w:p>
        </w:tc>
        <w:tc>
          <w:tcPr>
            <w:tcW w:w="1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368.77</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201</w:t>
            </w:r>
          </w:p>
        </w:tc>
        <w:tc>
          <w:tcPr>
            <w:tcW w:w="49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一般行政管理事务</w:t>
            </w:r>
          </w:p>
        </w:tc>
        <w:tc>
          <w:tcPr>
            <w:tcW w:w="174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63.75</w:t>
            </w:r>
          </w:p>
        </w:tc>
        <w:tc>
          <w:tcPr>
            <w:tcW w:w="1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63.75</w:t>
            </w: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201</w:t>
            </w:r>
          </w:p>
        </w:tc>
        <w:tc>
          <w:tcPr>
            <w:tcW w:w="49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04</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人大会议</w:t>
            </w:r>
          </w:p>
        </w:tc>
        <w:tc>
          <w:tcPr>
            <w:tcW w:w="174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15.00</w:t>
            </w:r>
          </w:p>
        </w:tc>
        <w:tc>
          <w:tcPr>
            <w:tcW w:w="1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15.00</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201</w:t>
            </w:r>
          </w:p>
        </w:tc>
        <w:tc>
          <w:tcPr>
            <w:tcW w:w="49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08</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代表工作</w:t>
            </w:r>
          </w:p>
        </w:tc>
        <w:tc>
          <w:tcPr>
            <w:tcW w:w="174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5.00</w:t>
            </w:r>
          </w:p>
        </w:tc>
        <w:tc>
          <w:tcPr>
            <w:tcW w:w="1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5.00</w:t>
            </w: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201</w:t>
            </w:r>
          </w:p>
        </w:tc>
        <w:tc>
          <w:tcPr>
            <w:tcW w:w="49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50</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事业运行</w:t>
            </w:r>
          </w:p>
        </w:tc>
        <w:tc>
          <w:tcPr>
            <w:tcW w:w="174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61.86</w:t>
            </w:r>
          </w:p>
        </w:tc>
        <w:tc>
          <w:tcPr>
            <w:tcW w:w="1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61.86</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201</w:t>
            </w:r>
          </w:p>
        </w:tc>
        <w:tc>
          <w:tcPr>
            <w:tcW w:w="49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99</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其他人大事务支出</w:t>
            </w:r>
          </w:p>
        </w:tc>
        <w:tc>
          <w:tcPr>
            <w:tcW w:w="174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21.05</w:t>
            </w:r>
          </w:p>
        </w:tc>
        <w:tc>
          <w:tcPr>
            <w:tcW w:w="1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21.05</w:t>
            </w: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49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社会保障和就业支出</w:t>
            </w:r>
          </w:p>
        </w:tc>
        <w:tc>
          <w:tcPr>
            <w:tcW w:w="174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143.86</w:t>
            </w:r>
          </w:p>
        </w:tc>
        <w:tc>
          <w:tcPr>
            <w:tcW w:w="1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143.86</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行政事业单位养老支出</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143.86</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143.86</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行政单位离退休</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16.83</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16.83</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机关事业单位基本养老保险缴费支出</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115.03</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115.03</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06</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机关事业单位职业年金缴费</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12.00</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12.00</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卫生健康支出</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70.06</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70.06</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211</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行政事业单位医疗</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70.06</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70.06</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行政单位医疗</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48.13</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48.13</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事业单位医疗</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4.39</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4.39</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03</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公务员医疗补助</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17.26</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17.26</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99</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其他行政事业单位医疗支出</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0.28</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0.28</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221</w:t>
            </w:r>
          </w:p>
        </w:tc>
        <w:tc>
          <w:tcPr>
            <w:tcW w:w="493"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住房保障支出</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76.79</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76.79</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221</w:t>
            </w:r>
          </w:p>
        </w:tc>
        <w:tc>
          <w:tcPr>
            <w:tcW w:w="493"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p>
        </w:tc>
        <w:tc>
          <w:tcPr>
            <w:tcW w:w="58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住房保障支出</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76.79</w:t>
            </w:r>
          </w:p>
        </w:tc>
        <w:tc>
          <w:tcPr>
            <w:tcW w:w="1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76.79</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221</w:t>
            </w:r>
          </w:p>
        </w:tc>
        <w:tc>
          <w:tcPr>
            <w:tcW w:w="493"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p>
        </w:tc>
        <w:tc>
          <w:tcPr>
            <w:tcW w:w="585"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2659"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住住房公积金</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76.79</w:t>
            </w:r>
          </w:p>
        </w:tc>
        <w:tc>
          <w:tcPr>
            <w:tcW w:w="1726"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76.79</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p>
        </w:tc>
      </w:tr>
      <w:tr>
        <w:tblPrEx>
          <w:tblCellMar>
            <w:top w:w="0" w:type="dxa"/>
            <w:left w:w="108" w:type="dxa"/>
            <w:bottom w:w="0" w:type="dxa"/>
            <w:right w:w="108" w:type="dxa"/>
          </w:tblCellMar>
        </w:tblPrEx>
        <w:trPr>
          <w:trHeight w:val="405" w:hRule="atLeast"/>
        </w:trPr>
        <w:tc>
          <w:tcPr>
            <w:tcW w:w="44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49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5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265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746"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826.14</w:t>
            </w:r>
          </w:p>
        </w:tc>
        <w:tc>
          <w:tcPr>
            <w:tcW w:w="1726"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736.33</w:t>
            </w:r>
          </w:p>
        </w:tc>
        <w:tc>
          <w:tcPr>
            <w:tcW w:w="1770"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15"/>
                <w:szCs w:val="15"/>
                <w:highlight w:val="none"/>
                <w:lang w:val="en-US" w:eastAsia="zh-CN"/>
              </w:rPr>
            </w:pPr>
            <w:r>
              <w:rPr>
                <w:rFonts w:hint="eastAsia" w:ascii="仿宋_GB2312" w:eastAsia="仿宋_GB2312"/>
                <w:b/>
                <w:bCs/>
                <w:color w:val="auto"/>
                <w:sz w:val="15"/>
                <w:szCs w:val="15"/>
                <w:highlight w:val="none"/>
                <w:lang w:val="en-US" w:eastAsia="zh-CN"/>
              </w:rPr>
              <w:t>89.80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eastAsia="zh-CN"/>
        </w:rPr>
        <w:t>呼图壁县人民代表大会常务委员会办公室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29"/>
        <w:gridCol w:w="914"/>
        <w:gridCol w:w="2570"/>
        <w:gridCol w:w="900"/>
        <w:gridCol w:w="876"/>
        <w:gridCol w:w="1130"/>
        <w:gridCol w:w="1130"/>
      </w:tblGrid>
      <w:tr>
        <w:tblPrEx>
          <w:tblCellMar>
            <w:top w:w="0" w:type="dxa"/>
            <w:left w:w="108" w:type="dxa"/>
            <w:bottom w:w="0" w:type="dxa"/>
            <w:right w:w="108" w:type="dxa"/>
          </w:tblCellMar>
        </w:tblPrEx>
        <w:trPr>
          <w:trHeight w:val="285" w:hRule="atLeast"/>
        </w:trPr>
        <w:tc>
          <w:tcPr>
            <w:tcW w:w="2843"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622.39</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489.68</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489.68</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622.39</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61.86</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61.86</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34.06</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34.06</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36.79</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36.79</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622.39</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622.39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622.39　</w:t>
            </w:r>
          </w:p>
        </w:tc>
        <w:tc>
          <w:tcPr>
            <w:tcW w:w="2260"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6"/>
        <w:rPr>
          <w:rFonts w:hint="default" w:ascii="宋体" w:hAnsi="宋体" w:eastAsia="宋体" w:cs="宋体"/>
          <w:i w:val="0"/>
          <w:color w:val="FF0000"/>
          <w:kern w:val="0"/>
          <w:sz w:val="20"/>
          <w:szCs w:val="20"/>
          <w:highlight w:val="none"/>
          <w:u w:val="none"/>
          <w:lang w:val="en-US" w:eastAsia="zh-CN" w:bidi="ar"/>
        </w:rPr>
      </w:pPr>
    </w:p>
    <w:p>
      <w:pPr>
        <w:pStyle w:val="6"/>
        <w:rPr>
          <w:rFonts w:hint="default" w:ascii="宋体" w:hAnsi="宋体" w:eastAsia="宋体" w:cs="宋体"/>
          <w:i w:val="0"/>
          <w:color w:val="FF0000"/>
          <w:kern w:val="0"/>
          <w:sz w:val="20"/>
          <w:szCs w:val="20"/>
          <w:highlight w:val="none"/>
          <w:u w:val="none"/>
          <w:lang w:val="en-US" w:eastAsia="zh-CN" w:bidi="ar"/>
        </w:rPr>
      </w:pPr>
    </w:p>
    <w:p>
      <w:pPr>
        <w:pStyle w:val="6"/>
        <w:rPr>
          <w:rFonts w:hint="default" w:ascii="宋体" w:hAnsi="宋体" w:eastAsia="宋体" w:cs="宋体"/>
          <w:i w:val="0"/>
          <w:color w:val="FF0000"/>
          <w:kern w:val="0"/>
          <w:sz w:val="20"/>
          <w:szCs w:val="20"/>
          <w:highlight w:val="none"/>
          <w:u w:val="none"/>
          <w:lang w:val="en-US" w:eastAsia="zh-CN" w:bidi="ar"/>
        </w:rPr>
      </w:pPr>
    </w:p>
    <w:p>
      <w:pPr>
        <w:pStyle w:val="6"/>
        <w:rPr>
          <w:rFonts w:hint="default" w:ascii="宋体" w:hAnsi="宋体" w:eastAsia="宋体" w:cs="宋体"/>
          <w:i w:val="0"/>
          <w:color w:val="FF0000"/>
          <w:kern w:val="0"/>
          <w:sz w:val="20"/>
          <w:szCs w:val="20"/>
          <w:highlight w:val="none"/>
          <w:u w:val="none"/>
          <w:lang w:val="en-US" w:eastAsia="zh-CN" w:bidi="ar"/>
        </w:rPr>
      </w:pPr>
    </w:p>
    <w:p>
      <w:pPr>
        <w:pStyle w:val="6"/>
        <w:rPr>
          <w:rFonts w:hint="default" w:ascii="宋体" w:hAnsi="宋体" w:eastAsia="宋体" w:cs="宋体"/>
          <w:i w:val="0"/>
          <w:color w:val="FF0000"/>
          <w:kern w:val="0"/>
          <w:sz w:val="20"/>
          <w:szCs w:val="20"/>
          <w:highlight w:val="none"/>
          <w:u w:val="none"/>
          <w:lang w:val="en-US" w:eastAsia="zh-CN" w:bidi="ar"/>
        </w:rPr>
      </w:pPr>
    </w:p>
    <w:p>
      <w:pPr>
        <w:pStyle w:val="6"/>
        <w:rPr>
          <w:rFonts w:hint="default" w:ascii="宋体" w:hAnsi="宋体" w:eastAsia="宋体" w:cs="宋体"/>
          <w:i w:val="0"/>
          <w:color w:val="FF0000"/>
          <w:kern w:val="0"/>
          <w:sz w:val="20"/>
          <w:szCs w:val="20"/>
          <w:highlight w:val="none"/>
          <w:u w:val="none"/>
          <w:lang w:val="en-US" w:eastAsia="zh-CN" w:bidi="ar"/>
        </w:rPr>
      </w:pPr>
    </w:p>
    <w:p>
      <w:pPr>
        <w:pStyle w:val="6"/>
        <w:rPr>
          <w:rFonts w:hint="default" w:ascii="宋体" w:hAnsi="宋体" w:eastAsia="宋体" w:cs="宋体"/>
          <w:i w:val="0"/>
          <w:color w:val="FF0000"/>
          <w:kern w:val="0"/>
          <w:sz w:val="20"/>
          <w:szCs w:val="20"/>
          <w:highlight w:val="none"/>
          <w:u w:val="none"/>
          <w:lang w:val="en-US" w:eastAsia="zh-CN" w:bidi="ar"/>
        </w:rPr>
      </w:pPr>
    </w:p>
    <w:p>
      <w:pPr>
        <w:pStyle w:val="6"/>
        <w:rPr>
          <w:rFonts w:hint="default" w:ascii="宋体" w:hAnsi="宋体" w:eastAsia="宋体" w:cs="宋体"/>
          <w:i w:val="0"/>
          <w:color w:val="FF0000"/>
          <w:kern w:val="0"/>
          <w:sz w:val="20"/>
          <w:szCs w:val="20"/>
          <w:highlight w:val="none"/>
          <w:u w:val="none"/>
          <w:lang w:val="en-US" w:eastAsia="zh-CN" w:bidi="ar"/>
        </w:rPr>
      </w:pPr>
    </w:p>
    <w:p>
      <w:pPr>
        <w:pStyle w:val="6"/>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472"/>
        <w:gridCol w:w="591"/>
        <w:gridCol w:w="741"/>
        <w:gridCol w:w="2383"/>
        <w:gridCol w:w="1622"/>
        <w:gridCol w:w="1771"/>
        <w:gridCol w:w="1634"/>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olor w:val="auto"/>
                <w:kern w:val="0"/>
                <w:sz w:val="24"/>
                <w:highlight w:val="none"/>
                <w:lang w:eastAsia="zh-CN"/>
              </w:rPr>
              <w:t>呼图壁县人民代表大会常务委员会办公室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1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27"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804"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8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2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7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3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2"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74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8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2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7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3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201</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en-US" w:eastAsia="zh-CN"/>
              </w:rPr>
              <w:t>一般公共服务支出</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489.68</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403.63</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86.05</w:t>
            </w: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r>
              <w:rPr>
                <w:rFonts w:hint="eastAsia" w:ascii="仿宋" w:hAnsi="仿宋" w:eastAsia="仿宋" w:cs="仿宋"/>
                <w:color w:val="auto"/>
                <w:sz w:val="15"/>
                <w:szCs w:val="15"/>
                <w:highlight w:val="none"/>
                <w:lang w:val="en-US" w:eastAsia="zh-CN"/>
              </w:rPr>
              <w:t>201</w:t>
            </w:r>
          </w:p>
        </w:tc>
        <w:tc>
          <w:tcPr>
            <w:tcW w:w="591"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r>
              <w:rPr>
                <w:rFonts w:hint="eastAsia" w:ascii="仿宋" w:hAnsi="仿宋" w:eastAsia="仿宋" w:cs="仿宋"/>
                <w:color w:val="auto"/>
                <w:sz w:val="15"/>
                <w:szCs w:val="15"/>
                <w:highlight w:val="none"/>
                <w:lang w:val="en-US" w:eastAsia="zh-CN"/>
              </w:rPr>
              <w:t>01</w:t>
            </w:r>
          </w:p>
        </w:tc>
        <w:tc>
          <w:tcPr>
            <w:tcW w:w="741"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eastAsia="zh-CN"/>
              </w:rPr>
              <w:t>人大事务</w:t>
            </w:r>
          </w:p>
        </w:tc>
        <w:tc>
          <w:tcPr>
            <w:tcW w:w="1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489.68</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403.63</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86.05</w:t>
            </w: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r>
              <w:rPr>
                <w:rFonts w:hint="eastAsia" w:ascii="仿宋" w:hAnsi="仿宋" w:eastAsia="仿宋" w:cs="仿宋"/>
                <w:color w:val="auto"/>
                <w:sz w:val="15"/>
                <w:szCs w:val="15"/>
                <w:highlight w:val="none"/>
                <w:lang w:val="en-US" w:eastAsia="zh-CN"/>
              </w:rPr>
              <w:t>201</w:t>
            </w:r>
          </w:p>
        </w:tc>
        <w:tc>
          <w:tcPr>
            <w:tcW w:w="591"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r>
              <w:rPr>
                <w:rFonts w:hint="eastAsia" w:ascii="仿宋" w:hAnsi="仿宋" w:eastAsia="仿宋" w:cs="仿宋"/>
                <w:color w:val="auto"/>
                <w:sz w:val="15"/>
                <w:szCs w:val="15"/>
                <w:highlight w:val="none"/>
                <w:lang w:val="en-US" w:eastAsia="zh-CN"/>
              </w:rPr>
              <w:t>01</w:t>
            </w:r>
          </w:p>
        </w:tc>
        <w:tc>
          <w:tcPr>
            <w:tcW w:w="741"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r>
              <w:rPr>
                <w:rFonts w:hint="eastAsia" w:ascii="仿宋" w:hAnsi="仿宋" w:eastAsia="仿宋" w:cs="仿宋"/>
                <w:color w:val="auto"/>
                <w:sz w:val="15"/>
                <w:szCs w:val="15"/>
                <w:highlight w:val="none"/>
                <w:lang w:val="en-US" w:eastAsia="zh-CN"/>
              </w:rPr>
              <w:t>01</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eastAsia="zh-CN"/>
              </w:rPr>
              <w:t>行政运行</w:t>
            </w:r>
          </w:p>
        </w:tc>
        <w:tc>
          <w:tcPr>
            <w:tcW w:w="1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326.77</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326.77</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201</w:t>
            </w:r>
          </w:p>
        </w:tc>
        <w:tc>
          <w:tcPr>
            <w:tcW w:w="5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74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eastAsia="zh-CN"/>
              </w:rPr>
              <w:t>一般行政管理事务</w:t>
            </w:r>
          </w:p>
        </w:tc>
        <w:tc>
          <w:tcPr>
            <w:tcW w:w="1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60.00</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60.00</w:t>
            </w: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201</w:t>
            </w:r>
          </w:p>
        </w:tc>
        <w:tc>
          <w:tcPr>
            <w:tcW w:w="5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74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04</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eastAsia="zh-CN"/>
              </w:rPr>
              <w:t>人大会议</w:t>
            </w:r>
          </w:p>
        </w:tc>
        <w:tc>
          <w:tcPr>
            <w:tcW w:w="1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15.00</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15.00</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201</w:t>
            </w:r>
          </w:p>
        </w:tc>
        <w:tc>
          <w:tcPr>
            <w:tcW w:w="5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74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08</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eastAsia="zh-CN"/>
              </w:rPr>
              <w:t>代表工作</w:t>
            </w:r>
          </w:p>
        </w:tc>
        <w:tc>
          <w:tcPr>
            <w:tcW w:w="1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5.00</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5.00</w:t>
            </w: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201</w:t>
            </w:r>
          </w:p>
        </w:tc>
        <w:tc>
          <w:tcPr>
            <w:tcW w:w="5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74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50</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eastAsia="zh-CN"/>
              </w:rPr>
              <w:t>事业运行</w:t>
            </w:r>
          </w:p>
        </w:tc>
        <w:tc>
          <w:tcPr>
            <w:tcW w:w="1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61.86</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61.86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201</w:t>
            </w:r>
          </w:p>
        </w:tc>
        <w:tc>
          <w:tcPr>
            <w:tcW w:w="5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74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99</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eastAsia="zh-CN"/>
              </w:rPr>
              <w:t>其他人大事务支出</w:t>
            </w:r>
          </w:p>
        </w:tc>
        <w:tc>
          <w:tcPr>
            <w:tcW w:w="1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21.05</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21.05</w:t>
            </w: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59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p>
        </w:tc>
        <w:tc>
          <w:tcPr>
            <w:tcW w:w="74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社会保障和就业支出</w:t>
            </w:r>
          </w:p>
        </w:tc>
        <w:tc>
          <w:tcPr>
            <w:tcW w:w="162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61.86</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61.86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行政事业单位养老支出</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61.86</w:t>
            </w:r>
          </w:p>
        </w:tc>
        <w:tc>
          <w:tcPr>
            <w:tcW w:w="1771"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61.86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行政单位离退休</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16.83</w:t>
            </w:r>
          </w:p>
        </w:tc>
        <w:tc>
          <w:tcPr>
            <w:tcW w:w="1771"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16.83</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机关事业单位基本养老保险缴费支出</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45.03</w:t>
            </w:r>
          </w:p>
        </w:tc>
        <w:tc>
          <w:tcPr>
            <w:tcW w:w="1771"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45.03</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208</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05</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06</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机关事业单位职业年金缴费</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12.00</w:t>
            </w:r>
          </w:p>
        </w:tc>
        <w:tc>
          <w:tcPr>
            <w:tcW w:w="1771"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12.00</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卫生健康支出</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34.06</w:t>
            </w:r>
          </w:p>
        </w:tc>
        <w:tc>
          <w:tcPr>
            <w:tcW w:w="1771"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34.06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行政事业单位医疗</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34.06</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34.06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eastAsia="zh-CN"/>
              </w:rPr>
              <w:t>行政单位医疗</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18.13</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18.13</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eastAsia="zh-CN"/>
              </w:rPr>
              <w:t>事业单位医疗</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4.39</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4.39</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03</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eastAsia="zh-CN"/>
              </w:rPr>
              <w:t>公务员医疗补助</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11.26</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11.26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210</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11</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99</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其他行政事业单位医疗支出</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0.28</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0.28</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221</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住房保障支出</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36.79</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36.79</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221</w:t>
            </w:r>
          </w:p>
        </w:tc>
        <w:tc>
          <w:tcPr>
            <w:tcW w:w="5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p>
        </w:tc>
        <w:tc>
          <w:tcPr>
            <w:tcW w:w="74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住房保障支出</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36.79</w:t>
            </w:r>
          </w:p>
        </w:tc>
        <w:tc>
          <w:tcPr>
            <w:tcW w:w="177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36.79</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221</w:t>
            </w:r>
          </w:p>
        </w:tc>
        <w:tc>
          <w:tcPr>
            <w:tcW w:w="591"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02</w:t>
            </w:r>
          </w:p>
        </w:tc>
        <w:tc>
          <w:tcPr>
            <w:tcW w:w="741"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01</w:t>
            </w:r>
          </w:p>
        </w:tc>
        <w:tc>
          <w:tcPr>
            <w:tcW w:w="2383"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5"/>
                <w:szCs w:val="15"/>
                <w:highlight w:val="none"/>
                <w:lang w:val="en-US" w:eastAsia="zh-CN"/>
              </w:rPr>
            </w:pPr>
            <w:r>
              <w:rPr>
                <w:rFonts w:hint="eastAsia" w:ascii="仿宋_GB2312" w:eastAsia="仿宋_GB2312"/>
                <w:color w:val="auto"/>
                <w:sz w:val="15"/>
                <w:szCs w:val="15"/>
                <w:highlight w:val="none"/>
                <w:lang w:val="zh-CN" w:eastAsia="zh-CN"/>
              </w:rPr>
              <w:t>住住房公积金</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36.79</w:t>
            </w:r>
          </w:p>
        </w:tc>
        <w:tc>
          <w:tcPr>
            <w:tcW w:w="1771"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kern w:val="2"/>
                <w:sz w:val="15"/>
                <w:szCs w:val="15"/>
                <w:highlight w:val="none"/>
                <w:lang w:val="en-US" w:eastAsia="zh-CN" w:bidi="ar-SA"/>
              </w:rPr>
            </w:pPr>
            <w:r>
              <w:rPr>
                <w:rFonts w:hint="eastAsia" w:ascii="仿宋_GB2312" w:eastAsia="仿宋_GB2312"/>
                <w:color w:val="auto"/>
                <w:sz w:val="15"/>
                <w:szCs w:val="15"/>
                <w:highlight w:val="none"/>
                <w:lang w:val="en-US" w:eastAsia="zh-CN"/>
              </w:rPr>
              <w:t>36.79</w:t>
            </w:r>
          </w:p>
        </w:tc>
        <w:tc>
          <w:tcPr>
            <w:tcW w:w="163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kern w:val="2"/>
                <w:sz w:val="15"/>
                <w:szCs w:val="15"/>
                <w:highlight w:val="none"/>
                <w:lang w:val="en-US" w:eastAsia="zh-CN" w:bidi="ar-SA"/>
              </w:rPr>
            </w:pPr>
          </w:p>
        </w:tc>
      </w:tr>
      <w:tr>
        <w:tblPrEx>
          <w:tblCellMar>
            <w:top w:w="0" w:type="dxa"/>
            <w:left w:w="108" w:type="dxa"/>
            <w:bottom w:w="0" w:type="dxa"/>
            <w:right w:w="108" w:type="dxa"/>
          </w:tblCellMar>
        </w:tblPrEx>
        <w:trPr>
          <w:trHeight w:val="450" w:hRule="atLeast"/>
        </w:trPr>
        <w:tc>
          <w:tcPr>
            <w:tcW w:w="472"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59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74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2383"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22"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kern w:val="2"/>
                <w:sz w:val="15"/>
                <w:szCs w:val="15"/>
                <w:highlight w:val="none"/>
                <w:lang w:val="en-US" w:eastAsia="zh-CN" w:bidi="ar-SA"/>
              </w:rPr>
            </w:pPr>
            <w:r>
              <w:rPr>
                <w:rFonts w:hint="eastAsia" w:ascii="仿宋_GB2312" w:eastAsia="仿宋_GB2312"/>
                <w:b/>
                <w:bCs/>
                <w:color w:val="auto"/>
                <w:sz w:val="15"/>
                <w:szCs w:val="15"/>
                <w:highlight w:val="none"/>
                <w:lang w:val="en-US" w:eastAsia="zh-CN"/>
              </w:rPr>
              <w:t>622.39</w:t>
            </w:r>
          </w:p>
        </w:tc>
        <w:tc>
          <w:tcPr>
            <w:tcW w:w="1771"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b/>
                <w:bCs/>
                <w:color w:val="auto"/>
                <w:kern w:val="2"/>
                <w:sz w:val="15"/>
                <w:szCs w:val="15"/>
                <w:highlight w:val="none"/>
                <w:lang w:val="en-US" w:eastAsia="zh-CN" w:bidi="ar-SA"/>
              </w:rPr>
            </w:pPr>
            <w:r>
              <w:rPr>
                <w:rFonts w:hint="eastAsia" w:ascii="仿宋_GB2312" w:eastAsia="仿宋_GB2312"/>
                <w:b/>
                <w:bCs/>
                <w:color w:val="auto"/>
                <w:sz w:val="15"/>
                <w:szCs w:val="15"/>
                <w:highlight w:val="none"/>
                <w:lang w:val="en-US" w:eastAsia="zh-CN"/>
              </w:rPr>
              <w:t>536.33</w:t>
            </w:r>
          </w:p>
        </w:tc>
        <w:tc>
          <w:tcPr>
            <w:tcW w:w="1634"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b/>
                <w:bCs/>
                <w:color w:val="auto"/>
                <w:kern w:val="2"/>
                <w:sz w:val="15"/>
                <w:szCs w:val="15"/>
                <w:highlight w:val="none"/>
                <w:lang w:val="en-US" w:eastAsia="zh-CN" w:bidi="ar-SA"/>
              </w:rPr>
            </w:pPr>
            <w:r>
              <w:rPr>
                <w:rFonts w:hint="eastAsia" w:ascii="仿宋_GB2312" w:eastAsia="仿宋_GB2312" w:cs="Times New Roman"/>
                <w:b/>
                <w:bCs/>
                <w:color w:val="auto"/>
                <w:kern w:val="2"/>
                <w:sz w:val="15"/>
                <w:szCs w:val="15"/>
                <w:highlight w:val="none"/>
                <w:lang w:val="en-US" w:eastAsia="zh-CN" w:bidi="ar-SA"/>
              </w:rPr>
              <w:t>86.05</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6"/>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0"/>
        <w:gridCol w:w="716"/>
        <w:gridCol w:w="2831"/>
        <w:gridCol w:w="1680"/>
        <w:gridCol w:w="1681"/>
        <w:gridCol w:w="1670"/>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szCs w:val="24"/>
                <w:highlight w:val="none"/>
                <w:lang w:val="en-US" w:eastAsia="zh-CN" w:bidi="ar-SA"/>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olor w:val="auto"/>
                <w:kern w:val="0"/>
                <w:sz w:val="24"/>
                <w:highlight w:val="none"/>
                <w:lang w:eastAsia="zh-CN"/>
              </w:rPr>
              <w:t>呼图壁县人民代表大会常务委员会办公室</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29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031"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466"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3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8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7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71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3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80"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8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70"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p>
        </w:tc>
        <w:tc>
          <w:tcPr>
            <w:tcW w:w="283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工资福利支出</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423.85</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423.85</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01</w:t>
            </w:r>
          </w:p>
        </w:tc>
        <w:tc>
          <w:tcPr>
            <w:tcW w:w="283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基本工资</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118.51</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118.51</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02</w:t>
            </w:r>
          </w:p>
        </w:tc>
        <w:tc>
          <w:tcPr>
            <w:tcW w:w="283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津贴补贴</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88.94</w:t>
            </w:r>
          </w:p>
        </w:tc>
        <w:tc>
          <w:tcPr>
            <w:tcW w:w="1681" w:type="dxa"/>
            <w:tcBorders>
              <w:top w:val="nil"/>
              <w:left w:val="nil"/>
              <w:bottom w:val="single" w:color="auto" w:sz="4" w:space="0"/>
              <w:right w:val="single" w:color="auto" w:sz="4" w:space="0"/>
            </w:tcBorders>
            <w:noWrap w:val="0"/>
            <w:vAlign w:val="center"/>
          </w:tcPr>
          <w:p>
            <w:pPr>
              <w:widowControl/>
              <w:ind w:right="147" w:rightChars="70"/>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88.94</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03</w:t>
            </w:r>
          </w:p>
        </w:tc>
        <w:tc>
          <w:tcPr>
            <w:tcW w:w="283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奖金</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84.10</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84.10</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07</w:t>
            </w:r>
          </w:p>
        </w:tc>
        <w:tc>
          <w:tcPr>
            <w:tcW w:w="283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绩效工资　</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15.02</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15.02</w:t>
            </w:r>
          </w:p>
        </w:tc>
        <w:tc>
          <w:tcPr>
            <w:tcW w:w="1670"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08</w:t>
            </w:r>
          </w:p>
        </w:tc>
        <w:tc>
          <w:tcPr>
            <w:tcW w:w="283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rPr>
              <w:t>机关事业单位基本养老保险缴费　</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45.03</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45.03</w:t>
            </w:r>
          </w:p>
        </w:tc>
        <w:tc>
          <w:tcPr>
            <w:tcW w:w="1670"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10</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职工基本医疗保险缴费</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22.52</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22.52</w:t>
            </w:r>
          </w:p>
        </w:tc>
        <w:tc>
          <w:tcPr>
            <w:tcW w:w="1670"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11</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公务员医疗补助缴费</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11.26</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11.26</w:t>
            </w:r>
          </w:p>
        </w:tc>
        <w:tc>
          <w:tcPr>
            <w:tcW w:w="1670"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12</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其他社会保障缴费</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1.68</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1.68</w:t>
            </w:r>
          </w:p>
        </w:tc>
        <w:tc>
          <w:tcPr>
            <w:tcW w:w="1670"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301</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13</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住房公积金</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36.79</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36.79</w:t>
            </w:r>
          </w:p>
        </w:tc>
        <w:tc>
          <w:tcPr>
            <w:tcW w:w="1670"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商品和服务支出</w:t>
            </w:r>
          </w:p>
        </w:tc>
        <w:tc>
          <w:tcPr>
            <w:tcW w:w="168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92.25</w:t>
            </w: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92.25</w:t>
            </w: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01</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宋体" w:hAnsi="宋体" w:cs="宋体"/>
                <w:color w:val="auto"/>
                <w:kern w:val="0"/>
                <w:sz w:val="20"/>
                <w:szCs w:val="20"/>
                <w:highlight w:val="none"/>
                <w:lang w:val="en-US" w:eastAsia="zh-CN"/>
              </w:rPr>
              <w:t>办公费</w:t>
            </w:r>
          </w:p>
        </w:tc>
        <w:tc>
          <w:tcPr>
            <w:tcW w:w="168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2.01</w:t>
            </w: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2.01</w:t>
            </w: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07</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邮电费</w:t>
            </w:r>
          </w:p>
        </w:tc>
        <w:tc>
          <w:tcPr>
            <w:tcW w:w="168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1.29</w:t>
            </w: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1.29</w:t>
            </w: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11</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差旅费</w:t>
            </w:r>
          </w:p>
        </w:tc>
        <w:tc>
          <w:tcPr>
            <w:tcW w:w="168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0.64</w:t>
            </w: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0.64</w:t>
            </w: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会议费</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15.00</w:t>
            </w:r>
          </w:p>
        </w:tc>
        <w:tc>
          <w:tcPr>
            <w:tcW w:w="168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c>
          <w:tcPr>
            <w:tcW w:w="167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15.00</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17</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公务接待费</w:t>
            </w:r>
          </w:p>
        </w:tc>
        <w:tc>
          <w:tcPr>
            <w:tcW w:w="168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0.60</w:t>
            </w: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0.60</w:t>
            </w: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w:t>
            </w:r>
          </w:p>
        </w:tc>
        <w:tc>
          <w:tcPr>
            <w:tcW w:w="283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劳务费</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21.52</w:t>
            </w:r>
          </w:p>
        </w:tc>
        <w:tc>
          <w:tcPr>
            <w:tcW w:w="168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c>
          <w:tcPr>
            <w:tcW w:w="167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21.52</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28</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工会经费</w:t>
            </w:r>
          </w:p>
        </w:tc>
        <w:tc>
          <w:tcPr>
            <w:tcW w:w="168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5.43</w:t>
            </w: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5.43</w:t>
            </w: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31</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公务用车运行维护费</w:t>
            </w:r>
          </w:p>
        </w:tc>
        <w:tc>
          <w:tcPr>
            <w:tcW w:w="168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11.20</w:t>
            </w: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11.20</w:t>
            </w: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302</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39</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其他交通费用</w:t>
            </w:r>
          </w:p>
        </w:tc>
        <w:tc>
          <w:tcPr>
            <w:tcW w:w="168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5.60</w:t>
            </w: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5.60</w:t>
            </w: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bidi="ar-SA"/>
              </w:rPr>
              <w:t>99</w:t>
            </w:r>
          </w:p>
        </w:tc>
        <w:tc>
          <w:tcPr>
            <w:tcW w:w="283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其他商品和服务支出</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28.96</w:t>
            </w:r>
          </w:p>
        </w:tc>
        <w:tc>
          <w:tcPr>
            <w:tcW w:w="168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20"/>
                <w:szCs w:val="20"/>
                <w:highlight w:val="none"/>
              </w:rPr>
            </w:pPr>
          </w:p>
        </w:tc>
        <w:tc>
          <w:tcPr>
            <w:tcW w:w="167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28.96</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303</w:t>
            </w:r>
          </w:p>
        </w:tc>
        <w:tc>
          <w:tcPr>
            <w:tcW w:w="716"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对个人和家庭的补助</w:t>
            </w:r>
          </w:p>
        </w:tc>
        <w:tc>
          <w:tcPr>
            <w:tcW w:w="168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20.23</w:t>
            </w: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20.23</w:t>
            </w:r>
            <w:r>
              <w:rPr>
                <w:rFonts w:hint="eastAsia" w:ascii="宋体" w:hAnsi="宋体" w:cs="宋体"/>
                <w:color w:val="auto"/>
                <w:kern w:val="0"/>
                <w:sz w:val="20"/>
                <w:szCs w:val="20"/>
                <w:highlight w:val="none"/>
              </w:rPr>
              <w:t>　</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303</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02</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退休费</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16.83</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16.83</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303</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05</w:t>
            </w:r>
          </w:p>
        </w:tc>
        <w:tc>
          <w:tcPr>
            <w:tcW w:w="2831"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生活补助</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303</w:t>
            </w:r>
          </w:p>
        </w:tc>
        <w:tc>
          <w:tcPr>
            <w:tcW w:w="716"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09</w:t>
            </w:r>
          </w:p>
        </w:tc>
        <w:tc>
          <w:tcPr>
            <w:tcW w:w="2831"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color w:val="auto"/>
                <w:kern w:val="0"/>
                <w:sz w:val="20"/>
                <w:szCs w:val="20"/>
                <w:highlight w:val="none"/>
                <w:lang w:val="en-US" w:eastAsia="zh-CN" w:bidi="ar-SA"/>
              </w:rPr>
            </w:pPr>
            <w:r>
              <w:rPr>
                <w:rFonts w:hint="default" w:ascii="仿宋_GB2312" w:hAnsi="宋体" w:eastAsia="仿宋_GB2312" w:cs="宋体"/>
                <w:color w:val="auto"/>
                <w:kern w:val="0"/>
                <w:sz w:val="20"/>
                <w:szCs w:val="20"/>
                <w:highlight w:val="none"/>
                <w:lang w:val="en-US" w:eastAsia="zh-CN"/>
              </w:rPr>
              <w:t>奖励金</w:t>
            </w:r>
          </w:p>
        </w:tc>
        <w:tc>
          <w:tcPr>
            <w:tcW w:w="1680"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2.25</w:t>
            </w:r>
          </w:p>
        </w:tc>
        <w:tc>
          <w:tcPr>
            <w:tcW w:w="1681"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2.25</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71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3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0"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536.33</w:t>
            </w:r>
            <w:r>
              <w:rPr>
                <w:rFonts w:hint="eastAsia" w:ascii="宋体" w:hAnsi="宋体" w:cs="宋体"/>
                <w:b/>
                <w:bCs/>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444.08</w:t>
            </w:r>
            <w:r>
              <w:rPr>
                <w:rFonts w:hint="eastAsia" w:ascii="宋体" w:hAnsi="宋体" w:cs="宋体"/>
                <w:b/>
                <w:bCs/>
                <w:color w:val="auto"/>
                <w:kern w:val="0"/>
                <w:sz w:val="20"/>
                <w:szCs w:val="20"/>
                <w:highlight w:val="none"/>
              </w:rPr>
              <w:t>　</w:t>
            </w:r>
          </w:p>
        </w:tc>
        <w:tc>
          <w:tcPr>
            <w:tcW w:w="1670"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92.25</w:t>
            </w:r>
            <w:r>
              <w:rPr>
                <w:rFonts w:hint="eastAsia" w:ascii="宋体" w:hAnsi="宋体" w:cs="宋体"/>
                <w:b/>
                <w:bCs/>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0151" w:type="dxa"/>
        <w:tblInd w:w="-360" w:type="dxa"/>
        <w:tblLayout w:type="fixed"/>
        <w:tblCellMar>
          <w:top w:w="0" w:type="dxa"/>
          <w:left w:w="108" w:type="dxa"/>
          <w:bottom w:w="0" w:type="dxa"/>
          <w:right w:w="108" w:type="dxa"/>
        </w:tblCellMar>
      </w:tblPr>
      <w:tblGrid>
        <w:gridCol w:w="9"/>
        <w:gridCol w:w="447"/>
        <w:gridCol w:w="493"/>
        <w:gridCol w:w="510"/>
        <w:gridCol w:w="1020"/>
        <w:gridCol w:w="1490"/>
        <w:gridCol w:w="831"/>
        <w:gridCol w:w="300"/>
        <w:gridCol w:w="814"/>
        <w:gridCol w:w="532"/>
        <w:gridCol w:w="585"/>
        <w:gridCol w:w="525"/>
        <w:gridCol w:w="690"/>
        <w:gridCol w:w="615"/>
        <w:gridCol w:w="420"/>
        <w:gridCol w:w="202"/>
        <w:gridCol w:w="263"/>
        <w:gridCol w:w="405"/>
      </w:tblGrid>
      <w:tr>
        <w:tblPrEx>
          <w:tblCellMar>
            <w:top w:w="0" w:type="dxa"/>
            <w:left w:w="108" w:type="dxa"/>
            <w:bottom w:w="0" w:type="dxa"/>
            <w:right w:w="108" w:type="dxa"/>
          </w:tblCellMar>
        </w:tblPrEx>
        <w:trPr>
          <w:gridBefore w:val="1"/>
          <w:gridAfter w:val="2"/>
          <w:wBefore w:w="9" w:type="dxa"/>
          <w:wAfter w:w="668" w:type="dxa"/>
          <w:trHeight w:val="375" w:hRule="atLeast"/>
        </w:trPr>
        <w:tc>
          <w:tcPr>
            <w:tcW w:w="9474" w:type="dxa"/>
            <w:gridSpan w:val="15"/>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2"/>
          <w:wBefore w:w="9" w:type="dxa"/>
          <w:wAfter w:w="668" w:type="dxa"/>
          <w:trHeight w:val="405" w:hRule="atLeast"/>
        </w:trPr>
        <w:tc>
          <w:tcPr>
            <w:tcW w:w="9474" w:type="dxa"/>
            <w:gridSpan w:val="1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部门：呼图壁县人民代表大会常务委员会办公室</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59"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2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9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3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0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1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8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2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9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1" w:hRule="atLeast"/>
        </w:trPr>
        <w:tc>
          <w:tcPr>
            <w:tcW w:w="45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93"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1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2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3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1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93" w:type="dxa"/>
            <w:noWrap w:val="0"/>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Hans" w:bidi="ar-SA"/>
              </w:rPr>
            </w:pPr>
          </w:p>
        </w:tc>
        <w:tc>
          <w:tcPr>
            <w:tcW w:w="510" w:type="dxa"/>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1020" w:type="dxa"/>
            <w:noWrap w:val="0"/>
            <w:vAlign w:val="center"/>
          </w:tcPr>
          <w:p>
            <w:pPr>
              <w:widowControl/>
              <w:spacing w:line="280" w:lineRule="exact"/>
              <w:jc w:val="left"/>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一般公共服务支出</w:t>
            </w:r>
            <w:r>
              <w:rPr>
                <w:rFonts w:hint="eastAsia" w:ascii="仿宋_GB2312" w:hAnsi="仿宋_GB2312" w:eastAsia="仿宋_GB2312" w:cs="仿宋_GB2312"/>
                <w:b/>
                <w:bCs/>
                <w:color w:val="auto"/>
                <w:kern w:val="0"/>
                <w:sz w:val="18"/>
                <w:szCs w:val="18"/>
                <w:highlight w:val="none"/>
              </w:rPr>
              <w:t>　</w:t>
            </w:r>
          </w:p>
        </w:tc>
        <w:tc>
          <w:tcPr>
            <w:tcW w:w="1490"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831"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86.05</w:t>
            </w:r>
          </w:p>
        </w:tc>
        <w:tc>
          <w:tcPr>
            <w:tcW w:w="30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814"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76.05</w:t>
            </w:r>
          </w:p>
        </w:tc>
        <w:tc>
          <w:tcPr>
            <w:tcW w:w="532"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8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2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10.00</w:t>
            </w:r>
          </w:p>
        </w:tc>
        <w:tc>
          <w:tcPr>
            <w:tcW w:w="61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2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65" w:type="dxa"/>
            <w:gridSpan w:val="2"/>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0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93"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10" w:type="dxa"/>
            <w:noWrap w:val="0"/>
            <w:vAlign w:val="center"/>
          </w:tcPr>
          <w:p>
            <w:pPr>
              <w:widowControl/>
              <w:spacing w:line="280" w:lineRule="exact"/>
              <w:jc w:val="center"/>
              <w:rPr>
                <w:rFonts w:ascii="宋体" w:hAnsi="宋体" w:eastAsia="宋体" w:cs="宋体"/>
                <w:b w:val="0"/>
                <w:bCs w:val="0"/>
                <w:color w:val="auto"/>
                <w:kern w:val="0"/>
                <w:sz w:val="16"/>
                <w:szCs w:val="16"/>
                <w:highlight w:val="none"/>
                <w:lang w:val="en-US" w:eastAsia="zh-CN" w:bidi="ar-SA"/>
              </w:rPr>
            </w:pPr>
          </w:p>
        </w:tc>
        <w:tc>
          <w:tcPr>
            <w:tcW w:w="1020"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人大</w:t>
            </w:r>
            <w:r>
              <w:rPr>
                <w:rFonts w:hint="default" w:ascii="仿宋_GB2312" w:hAnsi="仿宋_GB2312" w:eastAsia="仿宋_GB2312" w:cs="仿宋_GB2312"/>
                <w:b w:val="0"/>
                <w:bCs w:val="0"/>
                <w:color w:val="auto"/>
                <w:kern w:val="0"/>
                <w:sz w:val="18"/>
                <w:szCs w:val="18"/>
                <w:highlight w:val="none"/>
                <w:lang w:val="en-US" w:eastAsia="zh-CN"/>
              </w:rPr>
              <w:t>事务</w:t>
            </w:r>
          </w:p>
        </w:tc>
        <w:tc>
          <w:tcPr>
            <w:tcW w:w="1490"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　　</w:t>
            </w:r>
          </w:p>
        </w:tc>
        <w:tc>
          <w:tcPr>
            <w:tcW w:w="831"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86.05</w:t>
            </w:r>
          </w:p>
        </w:tc>
        <w:tc>
          <w:tcPr>
            <w:tcW w:w="30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814"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76.05</w:t>
            </w:r>
          </w:p>
        </w:tc>
        <w:tc>
          <w:tcPr>
            <w:tcW w:w="532"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8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2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690"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10.00</w:t>
            </w:r>
          </w:p>
        </w:tc>
        <w:tc>
          <w:tcPr>
            <w:tcW w:w="61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2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65" w:type="dxa"/>
            <w:gridSpan w:val="2"/>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0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93"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10"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02</w:t>
            </w:r>
          </w:p>
        </w:tc>
        <w:tc>
          <w:tcPr>
            <w:tcW w:w="1020"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一般行政事务管理</w:t>
            </w:r>
          </w:p>
        </w:tc>
        <w:tc>
          <w:tcPr>
            <w:tcW w:w="1490"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运转经费（2025年非定额）</w:t>
            </w:r>
            <w:r>
              <w:rPr>
                <w:rFonts w:hint="eastAsia" w:ascii="仿宋_GB2312" w:hAnsi="宋体" w:eastAsia="仿宋_GB2312"/>
                <w:color w:val="auto"/>
                <w:kern w:val="0"/>
                <w:sz w:val="18"/>
                <w:szCs w:val="18"/>
                <w:highlight w:val="none"/>
              </w:rPr>
              <w:t>　　</w:t>
            </w:r>
          </w:p>
        </w:tc>
        <w:tc>
          <w:tcPr>
            <w:tcW w:w="831"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60.00</w:t>
            </w:r>
          </w:p>
        </w:tc>
        <w:tc>
          <w:tcPr>
            <w:tcW w:w="300"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814"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50.00</w:t>
            </w:r>
          </w:p>
        </w:tc>
        <w:tc>
          <w:tcPr>
            <w:tcW w:w="532"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585"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525"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p>
        </w:tc>
        <w:tc>
          <w:tcPr>
            <w:tcW w:w="690" w:type="dxa"/>
            <w:noWrap w:val="0"/>
            <w:vAlign w:val="center"/>
          </w:tcPr>
          <w:p>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10.00</w:t>
            </w:r>
          </w:p>
        </w:tc>
        <w:tc>
          <w:tcPr>
            <w:tcW w:w="61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2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65" w:type="dxa"/>
            <w:gridSpan w:val="2"/>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0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93"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10"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08</w:t>
            </w:r>
          </w:p>
        </w:tc>
        <w:tc>
          <w:tcPr>
            <w:tcW w:w="1020" w:type="dxa"/>
            <w:noWrap w:val="0"/>
            <w:vAlign w:val="top"/>
          </w:tcPr>
          <w:p>
            <w:pPr>
              <w:widowControl/>
              <w:spacing w:line="280" w:lineRule="exact"/>
              <w:jc w:val="left"/>
              <w:rPr>
                <w:rFonts w:hint="default"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代表工作</w:t>
            </w:r>
          </w:p>
        </w:tc>
        <w:tc>
          <w:tcPr>
            <w:tcW w:w="1490" w:type="dxa"/>
            <w:noWrap w:val="0"/>
            <w:vAlign w:val="top"/>
          </w:tcPr>
          <w:p>
            <w:pPr>
              <w:widowControl/>
              <w:jc w:val="left"/>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人大代表工作室补助经费（2025年非定额）</w:t>
            </w:r>
          </w:p>
        </w:tc>
        <w:tc>
          <w:tcPr>
            <w:tcW w:w="831"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30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814"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5.00</w:t>
            </w:r>
          </w:p>
        </w:tc>
        <w:tc>
          <w:tcPr>
            <w:tcW w:w="532"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8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2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69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61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2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65" w:type="dxa"/>
            <w:gridSpan w:val="2"/>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0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93"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10"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1020"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其他</w:t>
            </w:r>
            <w:r>
              <w:rPr>
                <w:rFonts w:hint="eastAsia" w:ascii="仿宋_GB2312" w:hAnsi="仿宋_GB2312" w:eastAsia="仿宋_GB2312" w:cs="仿宋_GB2312"/>
                <w:b w:val="0"/>
                <w:bCs w:val="0"/>
                <w:color w:val="auto"/>
                <w:kern w:val="0"/>
                <w:sz w:val="18"/>
                <w:szCs w:val="18"/>
                <w:highlight w:val="none"/>
                <w:lang w:val="en-US" w:eastAsia="zh-CN"/>
              </w:rPr>
              <w:t>人大</w:t>
            </w:r>
            <w:r>
              <w:rPr>
                <w:rFonts w:hint="default" w:ascii="仿宋_GB2312" w:hAnsi="仿宋_GB2312" w:eastAsia="仿宋_GB2312" w:cs="仿宋_GB2312"/>
                <w:b w:val="0"/>
                <w:bCs w:val="0"/>
                <w:color w:val="auto"/>
                <w:kern w:val="0"/>
                <w:sz w:val="18"/>
                <w:szCs w:val="18"/>
                <w:highlight w:val="none"/>
                <w:lang w:val="en-US" w:eastAsia="zh-CN"/>
              </w:rPr>
              <w:t>事务支出</w:t>
            </w:r>
          </w:p>
        </w:tc>
        <w:tc>
          <w:tcPr>
            <w:tcW w:w="1490" w:type="dxa"/>
            <w:noWrap w:val="0"/>
            <w:vAlign w:val="top"/>
          </w:tcPr>
          <w:p>
            <w:pPr>
              <w:widowControl/>
              <w:jc w:val="left"/>
              <w:outlineLvl w:val="1"/>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2025年人大代表活动经费和人大立法经费</w:t>
            </w:r>
            <w:r>
              <w:rPr>
                <w:rFonts w:hint="eastAsia" w:ascii="仿宋_GB2312" w:hAnsi="宋体" w:eastAsia="仿宋_GB2312"/>
                <w:color w:val="auto"/>
                <w:kern w:val="0"/>
                <w:sz w:val="18"/>
                <w:szCs w:val="18"/>
                <w:highlight w:val="none"/>
              </w:rPr>
              <w:t>　　</w:t>
            </w:r>
          </w:p>
        </w:tc>
        <w:tc>
          <w:tcPr>
            <w:tcW w:w="831"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12.05</w:t>
            </w:r>
          </w:p>
        </w:tc>
        <w:tc>
          <w:tcPr>
            <w:tcW w:w="30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814"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12.05</w:t>
            </w:r>
          </w:p>
        </w:tc>
        <w:tc>
          <w:tcPr>
            <w:tcW w:w="532"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8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2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69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61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2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65" w:type="dxa"/>
            <w:gridSpan w:val="2"/>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0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201</w:t>
            </w:r>
          </w:p>
        </w:tc>
        <w:tc>
          <w:tcPr>
            <w:tcW w:w="493"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01</w:t>
            </w:r>
          </w:p>
        </w:tc>
        <w:tc>
          <w:tcPr>
            <w:tcW w:w="510" w:type="dxa"/>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rPr>
              <w:t>99</w:t>
            </w:r>
          </w:p>
        </w:tc>
        <w:tc>
          <w:tcPr>
            <w:tcW w:w="1020" w:type="dxa"/>
            <w:noWrap w:val="0"/>
            <w:vAlign w:val="top"/>
          </w:tcPr>
          <w:p>
            <w:pPr>
              <w:widowControl/>
              <w:spacing w:line="280" w:lineRule="exact"/>
              <w:jc w:val="left"/>
              <w:rPr>
                <w:rFonts w:hint="eastAsia" w:ascii="仿宋_GB2312" w:hAnsi="仿宋_GB2312" w:eastAsia="仿宋_GB2312" w:cs="仿宋_GB2312"/>
                <w:b w:val="0"/>
                <w:bCs w:val="0"/>
                <w:color w:val="auto"/>
                <w:kern w:val="0"/>
                <w:sz w:val="18"/>
                <w:szCs w:val="18"/>
                <w:highlight w:val="none"/>
                <w:lang w:val="en-US" w:eastAsia="zh-CN" w:bidi="ar-SA"/>
              </w:rPr>
            </w:pPr>
            <w:r>
              <w:rPr>
                <w:rFonts w:hint="default" w:ascii="仿宋_GB2312" w:hAnsi="仿宋_GB2312" w:eastAsia="仿宋_GB2312" w:cs="仿宋_GB2312"/>
                <w:b w:val="0"/>
                <w:bCs w:val="0"/>
                <w:color w:val="auto"/>
                <w:kern w:val="0"/>
                <w:sz w:val="18"/>
                <w:szCs w:val="18"/>
                <w:highlight w:val="none"/>
                <w:lang w:val="en-US" w:eastAsia="zh-CN"/>
              </w:rPr>
              <w:t>其他</w:t>
            </w:r>
            <w:r>
              <w:rPr>
                <w:rFonts w:hint="eastAsia" w:ascii="仿宋_GB2312" w:hAnsi="仿宋_GB2312" w:eastAsia="仿宋_GB2312" w:cs="仿宋_GB2312"/>
                <w:b w:val="0"/>
                <w:bCs w:val="0"/>
                <w:color w:val="auto"/>
                <w:kern w:val="0"/>
                <w:sz w:val="18"/>
                <w:szCs w:val="18"/>
                <w:highlight w:val="none"/>
                <w:lang w:val="en-US" w:eastAsia="zh-CN"/>
              </w:rPr>
              <w:t>人大</w:t>
            </w:r>
            <w:r>
              <w:rPr>
                <w:rFonts w:hint="default" w:ascii="仿宋_GB2312" w:hAnsi="仿宋_GB2312" w:eastAsia="仿宋_GB2312" w:cs="仿宋_GB2312"/>
                <w:b w:val="0"/>
                <w:bCs w:val="0"/>
                <w:color w:val="auto"/>
                <w:kern w:val="0"/>
                <w:sz w:val="18"/>
                <w:szCs w:val="18"/>
                <w:highlight w:val="none"/>
                <w:lang w:val="en-US" w:eastAsia="zh-CN"/>
              </w:rPr>
              <w:t>事务支出</w:t>
            </w:r>
          </w:p>
        </w:tc>
        <w:tc>
          <w:tcPr>
            <w:tcW w:w="149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18"/>
                <w:szCs w:val="18"/>
                <w:highlight w:val="none"/>
                <w:lang w:val="en-US" w:eastAsia="zh-CN"/>
              </w:rPr>
              <w:t>2025年基层人大补助资金</w:t>
            </w:r>
            <w:r>
              <w:rPr>
                <w:rFonts w:hint="eastAsia" w:ascii="仿宋_GB2312" w:hAnsi="宋体" w:eastAsia="仿宋_GB2312"/>
                <w:color w:val="auto"/>
                <w:kern w:val="0"/>
                <w:sz w:val="32"/>
                <w:szCs w:val="32"/>
                <w:highlight w:val="none"/>
              </w:rPr>
              <w:t>　　</w:t>
            </w:r>
          </w:p>
        </w:tc>
        <w:tc>
          <w:tcPr>
            <w:tcW w:w="831"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9.00</w:t>
            </w:r>
          </w:p>
        </w:tc>
        <w:tc>
          <w:tcPr>
            <w:tcW w:w="30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814"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9.00</w:t>
            </w:r>
          </w:p>
        </w:tc>
        <w:tc>
          <w:tcPr>
            <w:tcW w:w="532"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8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52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69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61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20"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65" w:type="dxa"/>
            <w:gridSpan w:val="2"/>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c>
          <w:tcPr>
            <w:tcW w:w="405" w:type="dxa"/>
            <w:noWrap w:val="0"/>
            <w:vAlign w:val="center"/>
          </w:tcPr>
          <w:p>
            <w:pPr>
              <w:widowControl/>
              <w:jc w:val="center"/>
              <w:outlineLvl w:val="1"/>
              <w:rPr>
                <w:rFonts w:hint="eastAsia" w:ascii="仿宋_GB2312" w:hAnsi="宋体" w:eastAsia="仿宋_GB2312"/>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5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9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31"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86.05</w:t>
            </w:r>
          </w:p>
        </w:tc>
        <w:tc>
          <w:tcPr>
            <w:tcW w:w="300" w:type="dxa"/>
            <w:noWrap w:val="0"/>
            <w:vAlign w:val="center"/>
          </w:tcPr>
          <w:p>
            <w:pPr>
              <w:widowControl/>
              <w:jc w:val="center"/>
              <w:outlineLvl w:val="1"/>
              <w:rPr>
                <w:rFonts w:hint="eastAsia" w:ascii="仿宋_GB2312" w:hAnsi="宋体" w:eastAsia="仿宋_GB2312"/>
                <w:b/>
                <w:bCs/>
                <w:color w:val="auto"/>
                <w:kern w:val="0"/>
                <w:sz w:val="18"/>
                <w:szCs w:val="18"/>
                <w:highlight w:val="none"/>
                <w:lang w:val="en-US" w:eastAsia="zh-CN"/>
              </w:rPr>
            </w:pPr>
          </w:p>
        </w:tc>
        <w:tc>
          <w:tcPr>
            <w:tcW w:w="814"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76.05</w:t>
            </w:r>
          </w:p>
        </w:tc>
        <w:tc>
          <w:tcPr>
            <w:tcW w:w="532" w:type="dxa"/>
            <w:noWrap w:val="0"/>
            <w:vAlign w:val="center"/>
          </w:tcPr>
          <w:p>
            <w:pPr>
              <w:widowControl/>
              <w:jc w:val="center"/>
              <w:outlineLvl w:val="1"/>
              <w:rPr>
                <w:rFonts w:hint="eastAsia" w:ascii="仿宋_GB2312" w:hAnsi="宋体" w:eastAsia="仿宋_GB2312"/>
                <w:b/>
                <w:bCs/>
                <w:color w:val="auto"/>
                <w:kern w:val="0"/>
                <w:sz w:val="18"/>
                <w:szCs w:val="18"/>
                <w:highlight w:val="none"/>
                <w:lang w:val="en-US" w:eastAsia="zh-CN"/>
              </w:rPr>
            </w:pPr>
          </w:p>
        </w:tc>
        <w:tc>
          <w:tcPr>
            <w:tcW w:w="585" w:type="dxa"/>
            <w:noWrap w:val="0"/>
            <w:vAlign w:val="center"/>
          </w:tcPr>
          <w:p>
            <w:pPr>
              <w:widowControl/>
              <w:jc w:val="center"/>
              <w:outlineLvl w:val="1"/>
              <w:rPr>
                <w:rFonts w:hint="eastAsia" w:ascii="仿宋_GB2312" w:hAnsi="宋体" w:eastAsia="仿宋_GB2312"/>
                <w:b/>
                <w:bCs/>
                <w:color w:val="auto"/>
                <w:kern w:val="0"/>
                <w:sz w:val="18"/>
                <w:szCs w:val="18"/>
                <w:highlight w:val="none"/>
                <w:lang w:val="en-US" w:eastAsia="zh-CN"/>
              </w:rPr>
            </w:pPr>
          </w:p>
        </w:tc>
        <w:tc>
          <w:tcPr>
            <w:tcW w:w="525" w:type="dxa"/>
            <w:noWrap w:val="0"/>
            <w:vAlign w:val="center"/>
          </w:tcPr>
          <w:p>
            <w:pPr>
              <w:widowControl/>
              <w:jc w:val="center"/>
              <w:outlineLvl w:val="1"/>
              <w:rPr>
                <w:rFonts w:hint="eastAsia" w:ascii="仿宋_GB2312" w:hAnsi="宋体" w:eastAsia="仿宋_GB2312"/>
                <w:b/>
                <w:bCs/>
                <w:color w:val="auto"/>
                <w:kern w:val="0"/>
                <w:sz w:val="18"/>
                <w:szCs w:val="18"/>
                <w:highlight w:val="none"/>
                <w:lang w:val="en-US" w:eastAsia="zh-CN"/>
              </w:rPr>
            </w:pPr>
          </w:p>
        </w:tc>
        <w:tc>
          <w:tcPr>
            <w:tcW w:w="690"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10.00</w:t>
            </w:r>
          </w:p>
        </w:tc>
        <w:tc>
          <w:tcPr>
            <w:tcW w:w="615"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c>
          <w:tcPr>
            <w:tcW w:w="420"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c>
          <w:tcPr>
            <w:tcW w:w="465" w:type="dxa"/>
            <w:gridSpan w:val="2"/>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c>
          <w:tcPr>
            <w:tcW w:w="405" w:type="dxa"/>
            <w:noWrap w:val="0"/>
            <w:vAlign w:val="top"/>
          </w:tcPr>
          <w:p>
            <w:pPr>
              <w:widowControl/>
              <w:jc w:val="left"/>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pStyle w:val="6"/>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呼图壁县人民代表大会常务委员会办公室</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jc w:val="left"/>
        <w:rPr>
          <w:rFonts w:hint="default" w:ascii="仿宋_GB2312" w:hAnsi="宋体" w:eastAsia="仿宋_GB2312" w:cs="宋体"/>
          <w:b/>
          <w:bCs/>
          <w:color w:val="auto"/>
          <w:kern w:val="0"/>
          <w:sz w:val="22"/>
          <w:szCs w:val="22"/>
          <w:highlight w:val="none"/>
          <w:lang w:val="en-US" w:eastAsia="zh-CN"/>
        </w:rPr>
      </w:pPr>
      <w:r>
        <w:rPr>
          <w:rFonts w:hint="eastAsia" w:ascii="仿宋_GB2312" w:hAnsi="宋体" w:eastAsia="仿宋_GB2312" w:cs="宋体"/>
          <w:b/>
          <w:bCs/>
          <w:color w:val="auto"/>
          <w:kern w:val="0"/>
          <w:sz w:val="22"/>
          <w:szCs w:val="22"/>
          <w:highlight w:val="none"/>
          <w:lang w:val="en-US" w:eastAsia="zh-CN"/>
        </w:rPr>
        <w:t>呼图壁县人民代表大会常务委员会2025年没有使用政府性基金预算拨款安排的支出，政府性基金预算支出情况表为空表。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呼图壁县人民代表大会常务委员会办公室</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default" w:ascii="仿宋" w:eastAsia="仿宋"/>
          <w:b/>
          <w:color w:val="000000"/>
          <w:sz w:val="22"/>
          <w:szCs w:val="22"/>
          <w:lang w:val="en-US" w:eastAsia="zh-CN"/>
        </w:rPr>
        <w:sectPr>
          <w:pgSz w:w="11906" w:h="16838"/>
          <w:pgMar w:top="1134" w:right="1134" w:bottom="1134" w:left="1134" w:header="851" w:footer="992" w:gutter="0"/>
          <w:cols w:space="425" w:num="1"/>
          <w:docGrid w:type="lines" w:linePitch="312" w:charSpace="0"/>
        </w:sectPr>
      </w:pPr>
      <w:r>
        <w:rPr>
          <w:rFonts w:hint="eastAsia" w:ascii="仿宋" w:eastAsia="仿宋"/>
          <w:b/>
          <w:color w:val="000000"/>
          <w:sz w:val="22"/>
          <w:szCs w:val="22"/>
          <w:lang w:eastAsia="zh-CN"/>
        </w:rPr>
        <w:t>呼图壁</w:t>
      </w:r>
      <w:r>
        <w:rPr>
          <w:rFonts w:hint="eastAsia" w:ascii="仿宋" w:eastAsia="仿宋"/>
          <w:b/>
          <w:color w:val="000000"/>
          <w:sz w:val="22"/>
          <w:szCs w:val="22"/>
        </w:rPr>
        <w:t>县人民代表大会常务委员会202</w:t>
      </w:r>
      <w:r>
        <w:rPr>
          <w:rFonts w:hint="eastAsia" w:ascii="仿宋" w:eastAsia="仿宋"/>
          <w:b/>
          <w:color w:val="000000"/>
          <w:sz w:val="22"/>
          <w:szCs w:val="22"/>
          <w:lang w:val="en-US" w:eastAsia="zh-CN"/>
        </w:rPr>
        <w:t>5</w:t>
      </w:r>
      <w:r>
        <w:rPr>
          <w:rFonts w:hint="eastAsia" w:ascii="仿宋" w:eastAsia="仿宋"/>
          <w:b/>
          <w:color w:val="000000"/>
          <w:sz w:val="22"/>
          <w:szCs w:val="22"/>
        </w:rPr>
        <w:t>年没有使用国有资本经营预算拨款安排的支出，国有资本经营预算支出情况表</w:t>
      </w:r>
      <w:r>
        <w:rPr>
          <w:rFonts w:hint="eastAsia" w:ascii="仿宋" w:eastAsia="仿宋"/>
          <w:b/>
          <w:color w:val="000000"/>
          <w:sz w:val="22"/>
          <w:szCs w:val="22"/>
          <w:lang w:val="en-US" w:eastAsia="zh-CN"/>
        </w:rPr>
        <w:t>为空表。</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呼图壁县人民代表大会常务委员会办公室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right"/>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13.80</w:t>
            </w:r>
          </w:p>
        </w:tc>
        <w:tc>
          <w:tcPr>
            <w:tcW w:w="1314" w:type="dxa"/>
            <w:noWrap w:val="0"/>
            <w:vAlign w:val="top"/>
          </w:tcPr>
          <w:p>
            <w:pPr>
              <w:widowControl/>
              <w:jc w:val="right"/>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13.80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right"/>
              <w:outlineLvl w:val="1"/>
              <w:rPr>
                <w:rFonts w:hint="eastAsia" w:ascii="仿宋_GB2312" w:hAnsi="宋体" w:eastAsia="仿宋_GB2312"/>
                <w:b w:val="0"/>
                <w:bCs/>
                <w:color w:val="auto"/>
                <w:kern w:val="0"/>
                <w:sz w:val="28"/>
                <w:szCs w:val="32"/>
                <w:highlight w:val="none"/>
                <w:vertAlign w:val="baseline"/>
              </w:rPr>
            </w:pPr>
          </w:p>
        </w:tc>
        <w:tc>
          <w:tcPr>
            <w:tcW w:w="1314" w:type="dxa"/>
            <w:noWrap w:val="0"/>
            <w:vAlign w:val="top"/>
          </w:tcPr>
          <w:p>
            <w:pPr>
              <w:widowControl/>
              <w:jc w:val="right"/>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right"/>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2.60</w:t>
            </w:r>
          </w:p>
        </w:tc>
        <w:tc>
          <w:tcPr>
            <w:tcW w:w="1314" w:type="dxa"/>
            <w:noWrap w:val="0"/>
            <w:vAlign w:val="top"/>
          </w:tcPr>
          <w:p>
            <w:pPr>
              <w:widowControl/>
              <w:jc w:val="right"/>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2.60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right"/>
              <w:outlineLvl w:val="1"/>
              <w:rPr>
                <w:rFonts w:hint="default"/>
                <w:b w:val="0"/>
                <w:bCs/>
                <w:lang w:val="en-US" w:eastAsia="zh-CN"/>
              </w:rPr>
            </w:pPr>
            <w:r>
              <w:rPr>
                <w:rFonts w:hint="eastAsia" w:ascii="仿宋_GB2312" w:hAnsi="宋体" w:eastAsia="仿宋_GB2312"/>
                <w:b w:val="0"/>
                <w:bCs/>
                <w:color w:val="auto"/>
                <w:kern w:val="0"/>
                <w:sz w:val="28"/>
                <w:szCs w:val="32"/>
                <w:highlight w:val="none"/>
                <w:vertAlign w:val="baseline"/>
                <w:lang w:val="en-US" w:eastAsia="zh-CN"/>
              </w:rPr>
              <w:t>11.20</w:t>
            </w:r>
          </w:p>
        </w:tc>
        <w:tc>
          <w:tcPr>
            <w:tcW w:w="1314" w:type="dxa"/>
            <w:noWrap w:val="0"/>
            <w:vAlign w:val="top"/>
          </w:tcPr>
          <w:p>
            <w:pPr>
              <w:widowControl/>
              <w:jc w:val="right"/>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11.20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right"/>
              <w:outlineLvl w:val="1"/>
              <w:rPr>
                <w:rFonts w:hint="default" w:ascii="仿宋_GB2312" w:hAnsi="宋体" w:eastAsia="仿宋_GB2312"/>
                <w:b w:val="0"/>
                <w:bCs/>
                <w:color w:val="auto"/>
                <w:kern w:val="0"/>
                <w:sz w:val="28"/>
                <w:szCs w:val="32"/>
                <w:highlight w:val="none"/>
                <w:vertAlign w:val="baseline"/>
              </w:rPr>
            </w:pPr>
          </w:p>
        </w:tc>
        <w:tc>
          <w:tcPr>
            <w:tcW w:w="1314" w:type="dxa"/>
            <w:noWrap w:val="0"/>
            <w:vAlign w:val="top"/>
          </w:tcPr>
          <w:p>
            <w:pPr>
              <w:widowControl/>
              <w:jc w:val="right"/>
              <w:outlineLvl w:val="1"/>
              <w:rPr>
                <w:rFonts w:hint="default"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right"/>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11.20</w:t>
            </w:r>
          </w:p>
        </w:tc>
        <w:tc>
          <w:tcPr>
            <w:tcW w:w="1314" w:type="dxa"/>
            <w:noWrap w:val="0"/>
            <w:vAlign w:val="top"/>
          </w:tcPr>
          <w:p>
            <w:pPr>
              <w:widowControl/>
              <w:jc w:val="right"/>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11.20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jc w:val="both"/>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pStyle w:val="6"/>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呼图壁县人民代表大会常务委员会办公室</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5"/>
        <w:gridCol w:w="1095"/>
        <w:gridCol w:w="900"/>
        <w:gridCol w:w="690"/>
        <w:gridCol w:w="635"/>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47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095"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436"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475"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9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0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325"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47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0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63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75"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1"/>
                <w:szCs w:val="21"/>
                <w:highlight w:val="none"/>
                <w:lang w:val="en-US" w:eastAsia="zh-CN"/>
              </w:rPr>
              <w:t>2024年为民办实事经费</w:t>
            </w:r>
          </w:p>
        </w:tc>
        <w:tc>
          <w:tcPr>
            <w:tcW w:w="1095"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3.75</w:t>
            </w:r>
          </w:p>
        </w:tc>
        <w:tc>
          <w:tcPr>
            <w:tcW w:w="900"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3.75</w:t>
            </w:r>
          </w:p>
        </w:tc>
        <w:tc>
          <w:tcPr>
            <w:tcW w:w="690"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635"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1211"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3.75</w:t>
            </w:r>
          </w:p>
        </w:tc>
        <w:tc>
          <w:tcPr>
            <w:tcW w:w="797"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723"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881"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1211"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900"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690"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635"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1211"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797"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723"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881"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c>
          <w:tcPr>
            <w:tcW w:w="1211"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0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3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4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hint="eastAsia"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总计</w:t>
            </w:r>
          </w:p>
        </w:tc>
        <w:tc>
          <w:tcPr>
            <w:tcW w:w="900" w:type="dxa"/>
            <w:noWrap w:val="0"/>
            <w:vAlign w:val="center"/>
          </w:tcPr>
          <w:p>
            <w:pPr>
              <w:spacing w:line="600" w:lineRule="exact"/>
              <w:jc w:val="center"/>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3.75</w:t>
            </w:r>
          </w:p>
        </w:tc>
        <w:tc>
          <w:tcPr>
            <w:tcW w:w="6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3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hint="default" w:ascii="仿宋" w:hAnsi="仿宋" w:eastAsia="宋体" w:cs="仿宋_GB2312"/>
                <w:bCs/>
                <w:color w:val="auto"/>
                <w:kern w:val="0"/>
                <w:sz w:val="28"/>
                <w:szCs w:val="28"/>
                <w:highlight w:val="none"/>
                <w:lang w:val="en-US" w:eastAsia="zh-CN"/>
              </w:rPr>
            </w:pPr>
            <w:r>
              <w:rPr>
                <w:rFonts w:hint="eastAsia"/>
                <w:lang w:val="en-US" w:eastAsia="zh-CN"/>
              </w:rPr>
              <w:t>3.75</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呼图壁县人民代表大会常务委员会办公室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呼图壁县人民代表大会常务委员会办公室202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826.14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呼图壁县人民代表大会常务委员会办公室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呼图壁县人民代表大会常务委员会办公室</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826.14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一般公共预算</w:t>
      </w:r>
      <w:r>
        <w:rPr>
          <w:rFonts w:hint="eastAsia" w:ascii="仿宋_GB2312" w:hAnsi="宋体" w:eastAsia="仿宋_GB2312" w:cs="宋体"/>
          <w:color w:val="auto"/>
          <w:kern w:val="0"/>
          <w:sz w:val="32"/>
          <w:szCs w:val="32"/>
          <w:highlight w:val="none"/>
          <w:lang w:val="en-US" w:eastAsia="zh-CN"/>
        </w:rPr>
        <w:t>601.33</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72.79</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8.01</w:t>
      </w:r>
      <w:r>
        <w:rPr>
          <w:rFonts w:hint="eastAsia" w:ascii="仿宋_GB2312" w:hAnsi="宋体" w:eastAsia="仿宋_GB2312" w:cs="宋体"/>
          <w:color w:val="auto"/>
          <w:kern w:val="0"/>
          <w:sz w:val="32"/>
          <w:szCs w:val="32"/>
          <w:highlight w:val="none"/>
          <w:lang w:eastAsia="zh-CN"/>
        </w:rPr>
        <w:t>万元，增长</w:t>
      </w:r>
      <w:r>
        <w:rPr>
          <w:rFonts w:hint="eastAsia" w:ascii="仿宋_GB2312" w:hAnsi="宋体" w:eastAsia="仿宋_GB2312" w:cs="宋体"/>
          <w:color w:val="auto"/>
          <w:kern w:val="0"/>
          <w:sz w:val="32"/>
          <w:szCs w:val="32"/>
          <w:highlight w:val="none"/>
          <w:lang w:val="en-US" w:eastAsia="zh-CN"/>
        </w:rPr>
        <w:t>1.35 %，</w:t>
      </w:r>
      <w:r>
        <w:rPr>
          <w:rFonts w:hint="eastAsia" w:ascii="仿宋_GB2312" w:hAnsi="宋体" w:eastAsia="仿宋_GB2312" w:cs="宋体"/>
          <w:color w:val="auto"/>
          <w:kern w:val="0"/>
          <w:sz w:val="32"/>
          <w:szCs w:val="32"/>
          <w:highlight w:val="none"/>
          <w:lang w:eastAsia="zh-CN"/>
        </w:rPr>
        <w:t>主要原因是202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年基础绩效奖标准提高，受艰边津贴等调资因素的影响及增人因素影响，人员经费收入预算增加，社保缴费基数增加；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安排</w:t>
      </w:r>
      <w:r>
        <w:rPr>
          <w:rFonts w:hint="eastAsia" w:ascii="仿宋_GB2312" w:hAnsi="宋体" w:eastAsia="仿宋_GB2312" w:cs="宋体"/>
          <w:color w:val="auto"/>
          <w:kern w:val="0"/>
          <w:sz w:val="32"/>
          <w:szCs w:val="32"/>
          <w:highlight w:val="none"/>
          <w:lang w:val="en-US" w:eastAsia="zh-CN"/>
        </w:rPr>
        <w:t>21.05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2.55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133.89 %，</w:t>
      </w:r>
      <w:r>
        <w:rPr>
          <w:rFonts w:hint="eastAsia" w:ascii="仿宋_GB2312" w:hAnsi="宋体" w:eastAsia="仿宋_GB2312" w:cs="宋体"/>
          <w:color w:val="auto"/>
          <w:kern w:val="0"/>
          <w:sz w:val="32"/>
          <w:szCs w:val="32"/>
          <w:highlight w:val="none"/>
        </w:rPr>
        <w:t>主</w:t>
      </w:r>
      <w:r>
        <w:rPr>
          <w:rFonts w:hint="eastAsia" w:ascii="仿宋_GB2312" w:hAnsi="宋体" w:eastAsia="仿宋_GB2312" w:cs="宋体"/>
          <w:kern w:val="0"/>
          <w:sz w:val="32"/>
          <w:szCs w:val="32"/>
          <w:lang w:eastAsia="zh-CN"/>
        </w:rPr>
        <w:t>要原因是</w:t>
      </w:r>
      <w:r>
        <w:rPr>
          <w:rFonts w:hint="eastAsia" w:ascii="仿宋_GB2312" w:hAnsi="宋体" w:eastAsia="仿宋_GB2312" w:cs="宋体"/>
          <w:kern w:val="0"/>
          <w:sz w:val="32"/>
          <w:szCs w:val="32"/>
          <w:lang w:val="en-US" w:eastAsia="zh-CN"/>
        </w:rPr>
        <w:t>2025年人大代表活动经费和人大立法经费提前下达</w:t>
      </w:r>
      <w:r>
        <w:rPr>
          <w:rFonts w:hint="eastAsia" w:ascii="仿宋_GB2312" w:hAnsi="宋体" w:eastAsia="仿宋_GB2312" w:cs="宋体"/>
          <w:kern w:val="0"/>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政府性基金预算0.00万元，占0.00%，比上年预算增加0.00万元，增长0.00%，主要原因是</w:t>
      </w:r>
      <w:r>
        <w:rPr>
          <w:rFonts w:hint="eastAsia" w:ascii="仿宋_GB2312" w:hAnsi="宋体" w:eastAsia="仿宋_GB2312" w:cs="宋体"/>
          <w:color w:val="auto"/>
          <w:kern w:val="0"/>
          <w:sz w:val="32"/>
          <w:szCs w:val="32"/>
          <w:highlight w:val="none"/>
          <w:lang w:eastAsia="zh-CN"/>
        </w:rPr>
        <w:t>呼图壁</w:t>
      </w:r>
      <w:r>
        <w:rPr>
          <w:rFonts w:hint="eastAsia" w:ascii="仿宋_GB2312" w:hAnsi="宋体" w:eastAsia="仿宋_GB2312" w:cs="宋体"/>
          <w:color w:val="auto"/>
          <w:kern w:val="0"/>
          <w:sz w:val="32"/>
          <w:szCs w:val="32"/>
          <w:highlight w:val="none"/>
        </w:rPr>
        <w:t>县人民代表大会常务委员会202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年度政府性基金预算未安排。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国有资本经营预算0.00万元，占0.00%，比上年预算增加0.00万元，增长0.00%，主要原因是</w:t>
      </w:r>
      <w:r>
        <w:rPr>
          <w:rFonts w:hint="eastAsia" w:ascii="仿宋_GB2312" w:hAnsi="宋体" w:eastAsia="仿宋_GB2312" w:cs="宋体"/>
          <w:color w:val="auto"/>
          <w:kern w:val="0"/>
          <w:sz w:val="32"/>
          <w:szCs w:val="32"/>
          <w:highlight w:val="none"/>
          <w:lang w:eastAsia="zh-CN"/>
        </w:rPr>
        <w:t>图壁</w:t>
      </w:r>
      <w:r>
        <w:rPr>
          <w:rFonts w:hint="eastAsia" w:ascii="仿宋_GB2312" w:hAnsi="宋体" w:eastAsia="仿宋_GB2312" w:cs="宋体"/>
          <w:color w:val="auto"/>
          <w:kern w:val="0"/>
          <w:sz w:val="32"/>
          <w:szCs w:val="32"/>
          <w:highlight w:val="none"/>
        </w:rPr>
        <w:t>县人民代表大会常务委员会国有资本经营预算未安排。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firstLine="320" w:firstLineChars="1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200</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24.21</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40</w:t>
      </w:r>
      <w:r>
        <w:rPr>
          <w:rFonts w:hint="eastAsia" w:ascii="仿宋_GB2312" w:hAnsi="宋体" w:eastAsia="仿宋_GB2312" w:cs="宋体"/>
          <w:color w:val="auto"/>
          <w:kern w:val="0"/>
          <w:sz w:val="32"/>
          <w:szCs w:val="32"/>
          <w:highlight w:val="none"/>
          <w:lang w:eastAsia="zh-CN"/>
        </w:rPr>
        <w:t>万元，增长</w:t>
      </w:r>
      <w:r>
        <w:rPr>
          <w:rFonts w:hint="eastAsia" w:ascii="仿宋_GB2312" w:hAnsi="宋体" w:eastAsia="仿宋_GB2312"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eastAsia="zh-CN"/>
        </w:rPr>
        <w:t>主要原因是人员经费增加。</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eastAsia="zh-CN"/>
        </w:rPr>
        <w:t>年工资普调，增加了基础性绩效工资，社保公积金基数也随之调整，单位资金预计要支出的社保、公积金、职业年金等也相应增加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Hans"/>
        </w:rPr>
        <w:t>财政拨款结转</w:t>
      </w:r>
      <w:r>
        <w:rPr>
          <w:rFonts w:hint="eastAsia" w:ascii="仿宋_GB2312" w:hAnsi="宋体" w:eastAsia="仿宋_GB2312" w:cs="宋体"/>
          <w:kern w:val="0"/>
          <w:sz w:val="32"/>
          <w:szCs w:val="32"/>
          <w:lang w:val="en-US" w:eastAsia="zh-CN"/>
        </w:rPr>
        <w:t>3.75</w:t>
      </w:r>
      <w:r>
        <w:rPr>
          <w:rFonts w:hint="eastAsia" w:ascii="仿宋_GB2312" w:hAnsi="宋体" w:eastAsia="仿宋_GB2312" w:cs="宋体"/>
          <w:kern w:val="0"/>
          <w:sz w:val="32"/>
          <w:szCs w:val="32"/>
          <w:lang w:eastAsia="zh-CN"/>
        </w:rPr>
        <w:t>万元，占</w:t>
      </w:r>
      <w:r>
        <w:rPr>
          <w:rFonts w:hint="eastAsia" w:ascii="仿宋_GB2312" w:hAnsi="宋体" w:eastAsia="仿宋_GB2312" w:cs="宋体"/>
          <w:kern w:val="0"/>
          <w:sz w:val="32"/>
          <w:szCs w:val="32"/>
          <w:lang w:val="en-US" w:eastAsia="zh-CN"/>
        </w:rPr>
        <w:t>0.45</w:t>
      </w:r>
      <w:r>
        <w:rPr>
          <w:rFonts w:hint="eastAsia" w:ascii="仿宋_GB2312" w:hAnsi="宋体" w:eastAsia="仿宋_GB2312" w:cs="宋体"/>
          <w:kern w:val="0"/>
          <w:sz w:val="32"/>
          <w:szCs w:val="32"/>
          <w:lang w:eastAsia="zh-CN"/>
        </w:rPr>
        <w:t>%，比上年预算增加</w:t>
      </w:r>
      <w:r>
        <w:rPr>
          <w:rFonts w:hint="eastAsia" w:ascii="仿宋_GB2312" w:hAnsi="宋体" w:eastAsia="仿宋_GB2312" w:cs="宋体"/>
          <w:kern w:val="0"/>
          <w:sz w:val="32"/>
          <w:szCs w:val="32"/>
          <w:lang w:val="en-US" w:eastAsia="zh-CN"/>
        </w:rPr>
        <w:t>3.75</w:t>
      </w:r>
      <w:r>
        <w:rPr>
          <w:rFonts w:hint="eastAsia" w:ascii="仿宋_GB2312" w:hAnsi="宋体" w:eastAsia="仿宋_GB2312" w:cs="宋体"/>
          <w:kern w:val="0"/>
          <w:sz w:val="32"/>
          <w:szCs w:val="32"/>
          <w:lang w:eastAsia="zh-CN"/>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lang w:eastAsia="zh-CN"/>
        </w:rPr>
        <w:t>主要原因是</w:t>
      </w:r>
      <w:r>
        <w:rPr>
          <w:rFonts w:hint="eastAsia" w:ascii="仿宋_GB2312" w:hAnsi="宋体" w:eastAsia="仿宋_GB2312" w:cs="宋体"/>
          <w:kern w:val="0"/>
          <w:sz w:val="32"/>
          <w:szCs w:val="32"/>
          <w:lang w:val="en-US" w:eastAsia="zh-CN"/>
        </w:rPr>
        <w:t>2024年为民办实事资金结转</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呼图壁县人民代表大会常务委员会办公室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826.14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736.33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89.13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50.20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7.32%，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年基础绩效奖标准提高，受艰边津贴等调资因素的影响及增人因素影响，人员经费收入预算增加，社保缴费基数增加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2.会议费预算纳入基本支出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89.80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10.87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2.2</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2.39%，</w:t>
      </w:r>
      <w:r>
        <w:rPr>
          <w:rFonts w:hint="eastAsia" w:ascii="仿宋_GB2312" w:hAnsi="宋体" w:eastAsia="仿宋_GB2312" w:cs="宋体"/>
          <w:color w:val="auto"/>
          <w:kern w:val="0"/>
          <w:sz w:val="32"/>
          <w:szCs w:val="32"/>
          <w:highlight w:val="none"/>
        </w:rPr>
        <w:t>主</w:t>
      </w:r>
      <w:r>
        <w:rPr>
          <w:rFonts w:hint="eastAsia" w:ascii="仿宋_GB2312" w:hAnsi="宋体" w:eastAsia="仿宋_GB2312" w:cs="宋体"/>
          <w:kern w:val="0"/>
          <w:sz w:val="32"/>
          <w:szCs w:val="32"/>
          <w:lang w:eastAsia="zh-CN"/>
        </w:rPr>
        <w:t>要原因：一是</w:t>
      </w:r>
      <w:r>
        <w:rPr>
          <w:rFonts w:hint="eastAsia" w:ascii="仿宋_GB2312" w:hAnsi="宋体" w:eastAsia="仿宋_GB2312" w:cs="宋体"/>
          <w:kern w:val="0"/>
          <w:sz w:val="32"/>
          <w:szCs w:val="32"/>
          <w:lang w:val="en-US" w:eastAsia="zh-CN"/>
        </w:rPr>
        <w:t>2025年人大代表活动经费和人大立法经费提前下达</w:t>
      </w:r>
      <w:r>
        <w:rPr>
          <w:rFonts w:hint="eastAsia" w:ascii="仿宋_GB2312" w:hAnsi="宋体" w:eastAsia="仿宋_GB2312" w:cs="宋体"/>
          <w:kern w:val="0"/>
          <w:sz w:val="32"/>
          <w:szCs w:val="32"/>
          <w:lang w:eastAsia="zh-CN"/>
        </w:rPr>
        <w:t>；二是</w:t>
      </w:r>
      <w:r>
        <w:rPr>
          <w:rFonts w:hint="eastAsia" w:ascii="仿宋_GB2312" w:hAnsi="宋体" w:eastAsia="仿宋_GB2312" w:cs="宋体"/>
          <w:kern w:val="0"/>
          <w:sz w:val="32"/>
          <w:szCs w:val="32"/>
          <w:lang w:val="en-US" w:eastAsia="zh-CN"/>
        </w:rPr>
        <w:t>结转上年2024年为民办实事项目资金。</w:t>
      </w:r>
      <w:r>
        <w:rPr>
          <w:rFonts w:hint="eastAsia" w:ascii="仿宋_GB2312" w:hAnsi="宋体" w:eastAsia="仿宋_GB2312" w:cs="宋体"/>
          <w:kern w:val="0"/>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626.14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626.14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spacing w:val="-6"/>
          <w:kern w:val="0"/>
          <w:sz w:val="32"/>
          <w:szCs w:val="32"/>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493.43</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spacing w:val="-6"/>
          <w:kern w:val="0"/>
          <w:sz w:val="32"/>
          <w:szCs w:val="32"/>
        </w:rPr>
        <w:t>单位职工工资、奖金、同工同酬人员经费日常办公经费保障、县级人大代表活动、会议费、代表之家经费支出；社会保障和就业支出</w:t>
      </w:r>
      <w:r>
        <w:rPr>
          <w:rFonts w:hint="eastAsia" w:ascii="仿宋_GB2312" w:hAnsi="宋体" w:eastAsia="仿宋_GB2312" w:cs="宋体"/>
          <w:spacing w:val="-6"/>
          <w:kern w:val="0"/>
          <w:sz w:val="32"/>
          <w:szCs w:val="32"/>
          <w:lang w:val="en-US" w:eastAsia="zh-CN"/>
        </w:rPr>
        <w:t>61.86</w:t>
      </w:r>
      <w:r>
        <w:rPr>
          <w:rFonts w:hint="eastAsia" w:ascii="仿宋_GB2312" w:hAnsi="宋体" w:eastAsia="仿宋_GB2312" w:cs="宋体"/>
          <w:spacing w:val="-6"/>
          <w:kern w:val="0"/>
          <w:sz w:val="32"/>
          <w:szCs w:val="32"/>
        </w:rPr>
        <w:t>万元， 主要用于机关养老保险、退休人员经费保障；卫生健康支出</w:t>
      </w:r>
      <w:r>
        <w:rPr>
          <w:rFonts w:hint="eastAsia" w:ascii="仿宋_GB2312" w:hAnsi="宋体" w:eastAsia="仿宋_GB2312" w:cs="宋体"/>
          <w:spacing w:val="-6"/>
          <w:kern w:val="0"/>
          <w:sz w:val="32"/>
          <w:szCs w:val="32"/>
          <w:lang w:val="en-US" w:eastAsia="zh-CN"/>
        </w:rPr>
        <w:t>34.06</w:t>
      </w:r>
      <w:r>
        <w:rPr>
          <w:rFonts w:hint="eastAsia" w:ascii="仿宋_GB2312" w:hAnsi="宋体" w:eastAsia="仿宋_GB2312" w:cs="宋体"/>
          <w:spacing w:val="-6"/>
          <w:kern w:val="0"/>
          <w:sz w:val="32"/>
          <w:szCs w:val="32"/>
        </w:rPr>
        <w:t>万元，主要用于缴纳职工基本医疗保险及公务员医疗；住房保障支出</w:t>
      </w:r>
      <w:r>
        <w:rPr>
          <w:rFonts w:hint="eastAsia" w:ascii="仿宋_GB2312" w:hAnsi="宋体" w:eastAsia="仿宋_GB2312" w:cs="宋体"/>
          <w:spacing w:val="-6"/>
          <w:kern w:val="0"/>
          <w:sz w:val="32"/>
          <w:szCs w:val="32"/>
          <w:lang w:val="en-US" w:eastAsia="zh-CN"/>
        </w:rPr>
        <w:t>36.79</w:t>
      </w:r>
      <w:r>
        <w:rPr>
          <w:rFonts w:hint="eastAsia" w:ascii="仿宋_GB2312" w:hAnsi="宋体" w:eastAsia="仿宋_GB2312" w:cs="宋体"/>
          <w:spacing w:val="-6"/>
          <w:kern w:val="0"/>
          <w:sz w:val="32"/>
          <w:szCs w:val="32"/>
        </w:rPr>
        <w:t>万元，主要用于缴纳单位职工住房公积金开支。</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呼图壁县人民代表大会常务委员会办公室</w:t>
      </w:r>
      <w:r>
        <w:rPr>
          <w:rFonts w:hint="eastAsia" w:ascii="仿宋_GB2312" w:hAnsi="宋体" w:eastAsia="仿宋_GB2312" w:cs="宋体"/>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年一般公共预算拨款合</w:t>
      </w:r>
      <w:r>
        <w:rPr>
          <w:rFonts w:hint="eastAsia" w:ascii="仿宋_GB2312" w:hAnsi="仿宋_GB2312" w:eastAsia="仿宋_GB2312" w:cs="仿宋_GB2312"/>
          <w:color w:val="auto"/>
          <w:kern w:val="0"/>
          <w:sz w:val="32"/>
          <w:szCs w:val="32"/>
          <w:highlight w:val="none"/>
          <w:lang w:val="en-US" w:eastAsia="zh-CN"/>
        </w:rPr>
        <w:t>计622.39</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536.33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10.20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1.94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一是</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年基础绩效奖标准提高，受艰边津贴等调资因素的影响及增人因素影响，人员经费收入预算增加，</w:t>
      </w:r>
      <w:r>
        <w:rPr>
          <w:rFonts w:hint="eastAsia" w:ascii="仿宋_GB2312" w:hAnsi="宋体" w:eastAsia="仿宋_GB2312" w:cs="宋体"/>
          <w:color w:val="auto"/>
          <w:kern w:val="0"/>
          <w:sz w:val="32"/>
          <w:szCs w:val="32"/>
          <w:highlight w:val="none"/>
        </w:rPr>
        <w:t>社保缴费基数增加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lang w:eastAsia="zh-CN"/>
        </w:rPr>
        <w:t>二是人大会议费</w:t>
      </w:r>
      <w:r>
        <w:rPr>
          <w:rFonts w:hint="eastAsia" w:ascii="仿宋_GB2312" w:hAnsi="宋体" w:eastAsia="仿宋_GB2312" w:cs="宋体"/>
          <w:kern w:val="0"/>
          <w:sz w:val="32"/>
          <w:szCs w:val="32"/>
          <w:lang w:val="en-US" w:eastAsia="zh-CN"/>
        </w:rPr>
        <w:t>2025年纳入公用经费预算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86.05</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5.95</w:t>
      </w:r>
      <w:r>
        <w:rPr>
          <w:rFonts w:hint="eastAsia" w:ascii="仿宋_GB2312" w:hAnsi="仿宋_GB2312" w:eastAsia="仿宋_GB2312" w:cs="仿宋_GB2312"/>
          <w:color w:val="auto"/>
          <w:kern w:val="0"/>
          <w:sz w:val="32"/>
          <w:szCs w:val="32"/>
          <w:highlight w:val="none"/>
        </w:rPr>
        <w:t>万元，减少</w:t>
      </w:r>
      <w:r>
        <w:rPr>
          <w:rFonts w:hint="eastAsia" w:ascii="仿宋_GB2312" w:hAnsi="仿宋_GB2312" w:eastAsia="仿宋_GB2312" w:cs="仿宋_GB2312"/>
          <w:color w:val="auto"/>
          <w:kern w:val="0"/>
          <w:sz w:val="32"/>
          <w:szCs w:val="32"/>
          <w:highlight w:val="none"/>
          <w:lang w:val="en-US" w:eastAsia="zh-CN"/>
        </w:rPr>
        <w:t>6.47</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一是</w:t>
      </w:r>
      <w:r>
        <w:rPr>
          <w:rFonts w:hint="eastAsia" w:ascii="仿宋_GB2312" w:hAnsi="宋体" w:eastAsia="仿宋_GB2312" w:cs="宋体"/>
          <w:kern w:val="0"/>
          <w:sz w:val="32"/>
          <w:szCs w:val="32"/>
          <w:lang w:val="en-US" w:eastAsia="zh-CN"/>
        </w:rPr>
        <w:t>2025年人大代表活动经费和人大立法经费提前下达</w:t>
      </w:r>
      <w:r>
        <w:rPr>
          <w:rFonts w:hint="eastAsia" w:ascii="仿宋_GB2312" w:hAnsi="宋体" w:eastAsia="仿宋_GB2312" w:cs="宋体"/>
          <w:kern w:val="0"/>
          <w:sz w:val="32"/>
          <w:szCs w:val="32"/>
          <w:lang w:eastAsia="zh-CN"/>
        </w:rPr>
        <w:t>；二是会议费</w:t>
      </w:r>
      <w:r>
        <w:rPr>
          <w:rFonts w:hint="eastAsia" w:ascii="仿宋_GB2312" w:hAnsi="宋体" w:eastAsia="仿宋_GB2312" w:cs="宋体"/>
          <w:kern w:val="0"/>
          <w:sz w:val="32"/>
          <w:szCs w:val="32"/>
          <w:lang w:val="en-US" w:eastAsia="zh-CN"/>
        </w:rPr>
        <w:t>2025年纳入基本支出，所以项目总体减少；</w:t>
      </w:r>
      <w:r>
        <w:rPr>
          <w:rFonts w:hint="eastAsia" w:ascii="仿宋_GB2312" w:hAnsi="宋体" w:eastAsia="仿宋_GB2312" w:cs="宋体"/>
          <w:kern w:val="0"/>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color w:val="auto"/>
          <w:kern w:val="0"/>
          <w:sz w:val="32"/>
          <w:szCs w:val="32"/>
          <w:highlight w:val="none"/>
          <w:lang w:val="en-US" w:eastAsia="zh-CN"/>
        </w:rPr>
        <w:t>489.68</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78.68</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kern w:val="0"/>
          <w:sz w:val="32"/>
          <w:szCs w:val="32"/>
          <w:lang w:eastAsia="zh-CN"/>
        </w:rPr>
        <w:t>社会保障和就业支出（类）</w:t>
      </w:r>
      <w:r>
        <w:rPr>
          <w:rFonts w:hint="eastAsia" w:ascii="仿宋_GB2312" w:hAnsi="仿宋_GB2312" w:eastAsia="仿宋_GB2312" w:cs="仿宋_GB2312"/>
          <w:kern w:val="0"/>
          <w:sz w:val="32"/>
          <w:szCs w:val="32"/>
          <w:lang w:val="en-US" w:eastAsia="zh-CN"/>
        </w:rPr>
        <w:t>61.86</w:t>
      </w:r>
      <w:r>
        <w:rPr>
          <w:rFonts w:hint="eastAsia" w:ascii="仿宋_GB2312" w:hAnsi="仿宋_GB2312" w:eastAsia="仿宋_GB2312" w:cs="仿宋_GB2312"/>
          <w:kern w:val="0"/>
          <w:sz w:val="32"/>
          <w:szCs w:val="32"/>
          <w:lang w:eastAsia="zh-CN"/>
        </w:rPr>
        <w:t>万元，占</w:t>
      </w:r>
      <w:r>
        <w:rPr>
          <w:rFonts w:hint="eastAsia" w:ascii="仿宋_GB2312" w:hAnsi="仿宋_GB2312" w:eastAsia="仿宋_GB2312" w:cs="仿宋_GB2312"/>
          <w:kern w:val="0"/>
          <w:sz w:val="32"/>
          <w:szCs w:val="32"/>
          <w:lang w:val="en-US" w:eastAsia="zh-CN"/>
        </w:rPr>
        <w:t>9.94</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3.卫生健康支出（类）</w:t>
      </w:r>
      <w:r>
        <w:rPr>
          <w:rFonts w:hint="eastAsia" w:ascii="仿宋_GB2312" w:hAnsi="仿宋_GB2312" w:eastAsia="仿宋_GB2312" w:cs="仿宋_GB2312"/>
          <w:kern w:val="0"/>
          <w:sz w:val="32"/>
          <w:szCs w:val="32"/>
          <w:lang w:val="en-US" w:eastAsia="zh-CN"/>
        </w:rPr>
        <w:t>34.06</w:t>
      </w:r>
      <w:r>
        <w:rPr>
          <w:rFonts w:hint="eastAsia" w:ascii="仿宋_GB2312" w:hAnsi="仿宋_GB2312" w:eastAsia="仿宋_GB2312" w:cs="仿宋_GB2312"/>
          <w:kern w:val="0"/>
          <w:sz w:val="32"/>
          <w:szCs w:val="32"/>
          <w:lang w:eastAsia="zh-CN"/>
        </w:rPr>
        <w:t>万元，占</w:t>
      </w:r>
      <w:r>
        <w:rPr>
          <w:rFonts w:hint="eastAsia" w:ascii="仿宋_GB2312" w:hAnsi="仿宋_GB2312" w:eastAsia="仿宋_GB2312" w:cs="仿宋_GB2312"/>
          <w:kern w:val="0"/>
          <w:sz w:val="32"/>
          <w:szCs w:val="32"/>
          <w:lang w:val="en-US" w:eastAsia="zh-CN"/>
        </w:rPr>
        <w:t>5.47</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kern w:val="0"/>
          <w:sz w:val="32"/>
          <w:szCs w:val="32"/>
          <w:lang w:eastAsia="zh-CN"/>
        </w:rPr>
        <w:t>4.住房保障支出（类）</w:t>
      </w:r>
      <w:r>
        <w:rPr>
          <w:rFonts w:hint="eastAsia" w:ascii="仿宋_GB2312" w:hAnsi="仿宋_GB2312" w:eastAsia="仿宋_GB2312" w:cs="仿宋_GB2312"/>
          <w:kern w:val="0"/>
          <w:sz w:val="32"/>
          <w:szCs w:val="32"/>
          <w:lang w:val="en-US" w:eastAsia="zh-CN"/>
        </w:rPr>
        <w:t>36.79</w:t>
      </w:r>
      <w:r>
        <w:rPr>
          <w:rFonts w:hint="eastAsia" w:ascii="仿宋_GB2312" w:hAnsi="仿宋_GB2312" w:eastAsia="仿宋_GB2312" w:cs="仿宋_GB2312"/>
          <w:kern w:val="0"/>
          <w:sz w:val="32"/>
          <w:szCs w:val="32"/>
          <w:lang w:eastAsia="zh-CN"/>
        </w:rPr>
        <w:t xml:space="preserve">万元，占 </w:t>
      </w:r>
      <w:r>
        <w:rPr>
          <w:rFonts w:hint="eastAsia" w:ascii="仿宋_GB2312" w:hAnsi="仿宋_GB2312" w:eastAsia="仿宋_GB2312" w:cs="仿宋_GB2312"/>
          <w:kern w:val="0"/>
          <w:sz w:val="32"/>
          <w:szCs w:val="32"/>
          <w:lang w:val="en-US" w:eastAsia="zh-CN"/>
        </w:rPr>
        <w:t>5.91</w:t>
      </w:r>
      <w:r>
        <w:rPr>
          <w:rFonts w:hint="eastAsia" w:ascii="仿宋_GB2312" w:hAnsi="仿宋_GB2312" w:eastAsia="仿宋_GB2312" w:cs="仿宋_GB2312"/>
          <w:kern w:val="0"/>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行政运行（项）:2025</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326.77</w:t>
      </w:r>
      <w:r>
        <w:rPr>
          <w:rFonts w:hint="eastAsia" w:ascii="仿宋_GB2312" w:hAnsi="仿宋_GB2312" w:eastAsia="仿宋_GB2312" w:cs="仿宋_GB2312"/>
          <w:kern w:val="0"/>
          <w:sz w:val="32"/>
          <w:szCs w:val="32"/>
          <w:lang w:eastAsia="zh-CN"/>
        </w:rPr>
        <w:t>万元，比上年减少</w:t>
      </w:r>
      <w:r>
        <w:rPr>
          <w:rFonts w:hint="eastAsia" w:ascii="仿宋_GB2312" w:hAnsi="仿宋_GB2312" w:eastAsia="仿宋_GB2312" w:cs="仿宋_GB2312"/>
          <w:kern w:val="0"/>
          <w:sz w:val="32"/>
          <w:szCs w:val="32"/>
          <w:lang w:val="en-US" w:eastAsia="zh-CN"/>
        </w:rPr>
        <w:t>124.29</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27.56</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kern w:val="0"/>
          <w:sz w:val="32"/>
          <w:szCs w:val="32"/>
          <w:lang w:val="en-US" w:eastAsia="zh-CN"/>
        </w:rPr>
        <w:t>调出1人，运转经费减少。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2.</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一般行政管理事务（项）：2025</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60</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60</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%，主要原因是：人大</w:t>
      </w:r>
      <w:r>
        <w:rPr>
          <w:rFonts w:hint="eastAsia" w:ascii="仿宋_GB2312" w:hAnsi="仿宋_GB2312" w:eastAsia="仿宋_GB2312" w:cs="仿宋_GB2312"/>
          <w:kern w:val="0"/>
          <w:sz w:val="32"/>
          <w:szCs w:val="32"/>
          <w:lang w:val="en-US" w:eastAsia="zh-CN"/>
        </w:rPr>
        <w:t>运转经费</w:t>
      </w:r>
      <w:r>
        <w:rPr>
          <w:rFonts w:hint="eastAsia" w:ascii="仿宋_GB2312" w:hAnsi="仿宋_GB2312" w:eastAsia="仿宋_GB2312" w:cs="仿宋_GB2312"/>
          <w:kern w:val="0"/>
          <w:sz w:val="32"/>
          <w:szCs w:val="32"/>
          <w:lang w:eastAsia="zh-CN"/>
        </w:rPr>
        <w:t>增加</w:t>
      </w:r>
      <w:r>
        <w:rPr>
          <w:rFonts w:hint="eastAsia" w:ascii="仿宋_GB2312" w:hAnsi="宋体" w:eastAsia="仿宋_GB2312" w:cs="宋体"/>
          <w:kern w:val="0"/>
          <w:sz w:val="32"/>
          <w:szCs w:val="32"/>
          <w:lang w:eastAsia="zh-CN"/>
        </w:rPr>
        <w:t>。</w:t>
      </w:r>
    </w:p>
    <w:p>
      <w:pPr>
        <w:pStyle w:val="8"/>
        <w:ind w:left="0" w:leftChars="0"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人大会议（项）:2025</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lang w:eastAsia="zh-CN"/>
        </w:rPr>
        <w:t>万元，比上年减少</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万元，减少</w:t>
      </w:r>
      <w:r>
        <w:rPr>
          <w:rFonts w:hint="eastAsia" w:ascii="仿宋_GB2312" w:hAnsi="仿宋_GB2312" w:eastAsia="仿宋_GB2312" w:cs="仿宋_GB2312"/>
          <w:kern w:val="0"/>
          <w:sz w:val="32"/>
          <w:szCs w:val="32"/>
          <w:lang w:val="en-US" w:eastAsia="zh-CN"/>
        </w:rPr>
        <w:t>16.67</w:t>
      </w:r>
      <w:r>
        <w:rPr>
          <w:rFonts w:hint="eastAsia" w:ascii="仿宋_GB2312" w:hAnsi="仿宋_GB2312" w:eastAsia="仿宋_GB2312" w:cs="仿宋_GB2312"/>
          <w:kern w:val="0"/>
          <w:sz w:val="32"/>
          <w:szCs w:val="32"/>
          <w:lang w:eastAsia="zh-CN"/>
        </w:rPr>
        <w:t>%，主要原因是：会议费厉行节约，据实报销，</w:t>
      </w:r>
      <w:r>
        <w:rPr>
          <w:rFonts w:hint="eastAsia" w:ascii="仿宋_GB2312" w:hAnsi="仿宋_GB2312" w:eastAsia="仿宋_GB2312" w:cs="仿宋_GB2312"/>
          <w:kern w:val="0"/>
          <w:sz w:val="32"/>
          <w:szCs w:val="32"/>
          <w:lang w:val="en-US" w:eastAsia="zh-CN"/>
        </w:rPr>
        <w:t>减少开支</w:t>
      </w:r>
      <w:r>
        <w:rPr>
          <w:rFonts w:hint="eastAsia" w:ascii="仿宋_GB2312" w:hAnsi="仿宋_GB2312" w:eastAsia="仿宋_GB2312" w:cs="仿宋_GB2312"/>
          <w:kern w:val="0"/>
          <w:sz w:val="32"/>
          <w:szCs w:val="32"/>
          <w:lang w:eastAsia="zh-CN"/>
        </w:rPr>
        <w:t>。</w:t>
      </w:r>
    </w:p>
    <w:p>
      <w:pPr>
        <w:pStyle w:val="8"/>
        <w:ind w:left="0" w:leftChars="0"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zh-CN" w:eastAsia="zh-CN"/>
        </w:rPr>
        <w:t>代表工作</w:t>
      </w:r>
      <w:r>
        <w:rPr>
          <w:rFonts w:hint="eastAsia" w:ascii="仿宋_GB2312" w:hAnsi="仿宋_GB2312" w:eastAsia="仿宋_GB2312" w:cs="仿宋_GB2312"/>
          <w:kern w:val="0"/>
          <w:sz w:val="32"/>
          <w:szCs w:val="32"/>
          <w:lang w:val="en-US" w:eastAsia="zh-CN"/>
        </w:rPr>
        <w:t>（项）:2025</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%，主要原因是：根据昌州财预【</w:t>
      </w:r>
      <w:r>
        <w:rPr>
          <w:rFonts w:hint="eastAsia" w:ascii="仿宋_GB2312" w:hAnsi="仿宋_GB2312" w:eastAsia="仿宋_GB2312" w:cs="仿宋_GB2312"/>
          <w:kern w:val="0"/>
          <w:sz w:val="32"/>
          <w:szCs w:val="32"/>
          <w:lang w:val="en-US" w:eastAsia="zh-CN"/>
        </w:rPr>
        <w:t>2023】15号文件，县级</w:t>
      </w:r>
      <w:r>
        <w:rPr>
          <w:rFonts w:hint="eastAsia" w:ascii="仿宋_GB2312" w:hAnsi="仿宋_GB2312" w:eastAsia="仿宋_GB2312" w:cs="仿宋_GB2312"/>
          <w:kern w:val="0"/>
          <w:sz w:val="32"/>
          <w:szCs w:val="32"/>
          <w:lang w:eastAsia="zh-CN"/>
        </w:rPr>
        <w:t>“人大代表工作室”补助经费</w:t>
      </w:r>
      <w:r>
        <w:rPr>
          <w:rFonts w:hint="eastAsia" w:ascii="仿宋_GB2312" w:hAnsi="仿宋_GB2312" w:eastAsia="仿宋_GB2312" w:cs="仿宋_GB2312"/>
          <w:kern w:val="0"/>
          <w:sz w:val="32"/>
          <w:szCs w:val="32"/>
          <w:lang w:val="en-US" w:eastAsia="zh-CN"/>
        </w:rPr>
        <w:t>5万元/年，每年预算均按此文件标准执行</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lang w:val="en-US" w:eastAsia="zh-CN"/>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zh-CN" w:eastAsia="zh-CN"/>
        </w:rPr>
        <w:t>事业运行</w:t>
      </w:r>
      <w:r>
        <w:rPr>
          <w:rFonts w:hint="eastAsia" w:ascii="仿宋_GB2312" w:hAnsi="仿宋_GB2312" w:eastAsia="仿宋_GB2312" w:cs="仿宋_GB2312"/>
          <w:kern w:val="0"/>
          <w:sz w:val="32"/>
          <w:szCs w:val="32"/>
          <w:lang w:val="en-US" w:eastAsia="zh-CN"/>
        </w:rPr>
        <w:t>（项）:2025</w:t>
      </w:r>
      <w:r>
        <w:rPr>
          <w:rFonts w:hint="eastAsia" w:ascii="仿宋_GB2312" w:hAnsi="仿宋_GB2312" w:eastAsia="仿宋_GB2312" w:cs="仿宋_GB2312"/>
          <w:kern w:val="0"/>
          <w:sz w:val="32"/>
          <w:szCs w:val="32"/>
          <w:lang w:eastAsia="zh-CN"/>
        </w:rPr>
        <w:t>年预算数为</w:t>
      </w:r>
      <w:r>
        <w:rPr>
          <w:rFonts w:hint="eastAsia" w:ascii="仿宋_GB2312" w:hAnsi="仿宋_GB2312" w:eastAsia="仿宋_GB2312" w:cs="仿宋_GB2312"/>
          <w:kern w:val="0"/>
          <w:sz w:val="32"/>
          <w:szCs w:val="32"/>
          <w:lang w:val="en-US" w:eastAsia="zh-CN"/>
        </w:rPr>
        <w:t>61.86</w:t>
      </w:r>
      <w:r>
        <w:rPr>
          <w:rFonts w:hint="eastAsia" w:ascii="仿宋_GB2312" w:hAnsi="仿宋_GB2312" w:eastAsia="仿宋_GB2312" w:cs="仿宋_GB2312"/>
          <w:kern w:val="0"/>
          <w:sz w:val="32"/>
          <w:szCs w:val="32"/>
          <w:lang w:eastAsia="zh-CN"/>
        </w:rPr>
        <w:t>万元，比上年增加</w:t>
      </w:r>
      <w:r>
        <w:rPr>
          <w:rFonts w:hint="eastAsia" w:ascii="仿宋_GB2312" w:hAnsi="仿宋_GB2312" w:eastAsia="仿宋_GB2312" w:cs="仿宋_GB2312"/>
          <w:kern w:val="0"/>
          <w:sz w:val="32"/>
          <w:szCs w:val="32"/>
          <w:lang w:val="en-US" w:eastAsia="zh-CN"/>
        </w:rPr>
        <w:t>61.86</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kern w:val="0"/>
          <w:sz w:val="32"/>
          <w:szCs w:val="32"/>
          <w:lang w:val="en-US" w:eastAsia="zh-CN"/>
        </w:rPr>
        <w:t>新增事业6人经费预算。</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一般公共服务支出（类）</w:t>
      </w:r>
      <w:r>
        <w:rPr>
          <w:rFonts w:hint="eastAsia" w:ascii="仿宋_GB2312" w:hAnsi="仿宋_GB2312" w:eastAsia="仿宋_GB2312" w:cs="仿宋_GB2312"/>
          <w:kern w:val="0"/>
          <w:sz w:val="32"/>
          <w:szCs w:val="32"/>
          <w:lang w:val="en-US" w:eastAsia="zh-CN"/>
        </w:rPr>
        <w:t>人大事务</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zh-CN" w:eastAsia="zh-CN"/>
        </w:rPr>
        <w:t>其他人大事务支出</w:t>
      </w:r>
      <w:r>
        <w:rPr>
          <w:rFonts w:hint="eastAsia" w:ascii="仿宋_GB2312" w:hAnsi="仿宋_GB2312" w:eastAsia="仿宋_GB2312" w:cs="仿宋_GB2312"/>
          <w:kern w:val="0"/>
          <w:sz w:val="32"/>
          <w:szCs w:val="32"/>
          <w:lang w:val="en-US" w:eastAsia="zh-CN"/>
        </w:rPr>
        <w:t>（项）:21.05万元。其中：2025</w:t>
      </w:r>
      <w:r>
        <w:rPr>
          <w:rFonts w:hint="eastAsia" w:ascii="仿宋_GB2312" w:hAnsi="仿宋_GB2312" w:eastAsia="仿宋_GB2312" w:cs="仿宋_GB2312"/>
          <w:kern w:val="0"/>
          <w:sz w:val="32"/>
          <w:szCs w:val="32"/>
          <w:lang w:eastAsia="zh-CN"/>
        </w:rPr>
        <w:t>年自治区基层人大补助资金预算数为</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lang w:eastAsia="zh-CN"/>
        </w:rPr>
        <w:t>万元，</w:t>
      </w:r>
      <w:r>
        <w:rPr>
          <w:rFonts w:hint="eastAsia" w:ascii="仿宋_GB2312" w:hAnsi="宋体" w:eastAsia="仿宋_GB2312" w:cs="宋体"/>
          <w:kern w:val="0"/>
          <w:sz w:val="32"/>
          <w:szCs w:val="32"/>
          <w:lang w:val="en-US" w:eastAsia="zh-CN"/>
        </w:rPr>
        <w:t>2025年人大代表活动经费和人大立法经费12.05万元，</w:t>
      </w:r>
      <w:r>
        <w:rPr>
          <w:rFonts w:hint="eastAsia" w:ascii="仿宋_GB2312" w:hAnsi="仿宋_GB2312" w:eastAsia="仿宋_GB2312" w:cs="仿宋_GB2312"/>
          <w:kern w:val="0"/>
          <w:sz w:val="32"/>
          <w:szCs w:val="32"/>
          <w:lang w:eastAsia="zh-CN"/>
        </w:rPr>
        <w:t>比上年增加</w:t>
      </w:r>
      <w:r>
        <w:rPr>
          <w:rFonts w:hint="eastAsia" w:ascii="仿宋_GB2312" w:hAnsi="仿宋_GB2312" w:eastAsia="仿宋_GB2312" w:cs="仿宋_GB2312"/>
          <w:kern w:val="0"/>
          <w:sz w:val="32"/>
          <w:szCs w:val="32"/>
          <w:lang w:val="en-US" w:eastAsia="zh-CN"/>
        </w:rPr>
        <w:t>12.05</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133.89</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kern w:val="0"/>
          <w:sz w:val="32"/>
          <w:szCs w:val="32"/>
          <w:lang w:val="en-US" w:eastAsia="zh-CN"/>
        </w:rPr>
        <w:t>2</w:t>
      </w:r>
      <w:r>
        <w:rPr>
          <w:rFonts w:hint="eastAsia" w:ascii="仿宋_GB2312" w:hAnsi="宋体" w:eastAsia="仿宋_GB2312" w:cs="宋体"/>
          <w:kern w:val="0"/>
          <w:sz w:val="32"/>
          <w:szCs w:val="32"/>
          <w:lang w:val="en-US" w:eastAsia="zh-CN"/>
        </w:rPr>
        <w:t>025年人大代表活动经费和人大立法经费12.05万元提前下达</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lang w:eastAsia="zh-CN"/>
        </w:rPr>
        <w:t>社会保障和就业支出（类）行政事业单位养老支出（款）</w:t>
      </w:r>
      <w:r>
        <w:rPr>
          <w:rFonts w:hint="eastAsia" w:ascii="仿宋_GB2312" w:hAnsi="仿宋_GB2312" w:eastAsia="仿宋_GB2312" w:cs="仿宋_GB2312"/>
          <w:kern w:val="0"/>
          <w:sz w:val="32"/>
          <w:szCs w:val="32"/>
          <w:lang w:val="zh-CN" w:eastAsia="zh-CN"/>
        </w:rPr>
        <w:t>行政单位离退休（</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2025年预算数为16.83</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6.12</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2.67</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sz w:val="32"/>
          <w:szCs w:val="32"/>
        </w:rPr>
        <w:t>主要原因是</w:t>
      </w:r>
      <w:r>
        <w:rPr>
          <w:rFonts w:hint="eastAsia" w:ascii="仿宋_GB2312" w:hAnsi="仿宋_GB2312" w:eastAsia="仿宋_GB2312" w:cs="仿宋_GB2312"/>
          <w:kern w:val="0"/>
          <w:sz w:val="32"/>
          <w:szCs w:val="32"/>
          <w:lang w:val="en-US" w:eastAsia="zh-CN"/>
        </w:rPr>
        <w:t>2025年退休人员较上年减少2人，经费相应减少。</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社会保障和就业支出（类）行政事业单位养老支出（款）</w:t>
      </w:r>
      <w:r>
        <w:rPr>
          <w:rFonts w:hint="eastAsia" w:ascii="仿宋_GB2312" w:hAnsi="仿宋_GB2312" w:eastAsia="仿宋_GB2312" w:cs="仿宋_GB2312"/>
          <w:kern w:val="0"/>
          <w:sz w:val="32"/>
          <w:szCs w:val="32"/>
          <w:lang w:val="zh-CN" w:eastAsia="zh-CN"/>
        </w:rPr>
        <w:t>机关事业单位基本养老保险缴费支出（</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2025年预算数为45.03</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0.55</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1.21</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sz w:val="32"/>
          <w:szCs w:val="32"/>
        </w:rPr>
        <w:t>主要原因是</w:t>
      </w:r>
      <w:r>
        <w:rPr>
          <w:rFonts w:hint="eastAsia" w:ascii="仿宋_GB2312" w:hAnsi="仿宋_GB2312" w:eastAsia="仿宋_GB2312" w:cs="仿宋_GB2312"/>
          <w:kern w:val="0"/>
          <w:sz w:val="32"/>
          <w:szCs w:val="32"/>
          <w:lang w:val="en-US" w:eastAsia="zh-CN"/>
        </w:rPr>
        <w:t>调出1人，经费较上年减少。</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lang w:eastAsia="zh-CN"/>
        </w:rPr>
        <w:t>.卫生健康支</w:t>
      </w:r>
      <w:r>
        <w:rPr>
          <w:rFonts w:hint="eastAsia" w:ascii="仿宋_GB2312" w:hAnsi="仿宋_GB2312" w:eastAsia="仿宋_GB2312" w:cs="仿宋_GB2312"/>
          <w:kern w:val="0"/>
          <w:sz w:val="32"/>
          <w:szCs w:val="32"/>
          <w:lang w:eastAsia="zh-CN"/>
        </w:rPr>
        <w:t>出（类）行政事业单位医疗（款）行政单位医疗（</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2025年预算数为18.13</w:t>
      </w:r>
      <w:r>
        <w:rPr>
          <w:rFonts w:hint="eastAsia" w:ascii="仿宋_GB2312" w:hAnsi="仿宋_GB2312" w:eastAsia="仿宋_GB2312" w:cs="仿宋_GB2312"/>
          <w:kern w:val="0"/>
          <w:sz w:val="32"/>
          <w:szCs w:val="32"/>
          <w:lang w:eastAsia="zh-CN"/>
        </w:rPr>
        <w:t>万元，较上年减少</w:t>
      </w:r>
      <w:r>
        <w:rPr>
          <w:rFonts w:hint="eastAsia" w:ascii="仿宋_GB2312" w:hAnsi="仿宋_GB2312" w:eastAsia="仿宋_GB2312" w:cs="仿宋_GB2312"/>
          <w:kern w:val="0"/>
          <w:sz w:val="32"/>
          <w:szCs w:val="32"/>
          <w:lang w:val="en-US" w:eastAsia="zh-CN"/>
        </w:rPr>
        <w:t>0.32</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1.73</w:t>
      </w:r>
      <w:r>
        <w:rPr>
          <w:rFonts w:hint="eastAsia" w:ascii="仿宋_GB2312" w:hAnsi="仿宋_GB2312" w:eastAsia="仿宋_GB2312" w:cs="仿宋_GB2312"/>
          <w:kern w:val="0"/>
          <w:sz w:val="32"/>
          <w:szCs w:val="32"/>
          <w:lang w:eastAsia="zh-CN"/>
        </w:rPr>
        <w:t>%，主要原因</w:t>
      </w:r>
      <w:r>
        <w:rPr>
          <w:rFonts w:hint="eastAsia" w:ascii="仿宋_GB2312" w:hAnsi="宋体" w:eastAsia="仿宋_GB2312" w:cs="宋体"/>
          <w:sz w:val="32"/>
          <w:szCs w:val="32"/>
        </w:rPr>
        <w:t>主要原因是</w:t>
      </w:r>
      <w:r>
        <w:rPr>
          <w:rFonts w:hint="eastAsia" w:ascii="仿宋_GB2312" w:hAnsi="仿宋_GB2312" w:eastAsia="仿宋_GB2312" w:cs="仿宋_GB2312"/>
          <w:kern w:val="0"/>
          <w:sz w:val="32"/>
          <w:szCs w:val="32"/>
          <w:lang w:val="en-US" w:eastAsia="zh-CN"/>
        </w:rPr>
        <w:t>行政调出1人，经费预算较上年减少。</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lang w:eastAsia="zh-CN"/>
        </w:rPr>
        <w:t>.卫生健康支出（类）行政事业单位医疗（款）事业单位医疗（</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2025年预算数为4.39</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0.04</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0.91</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color w:val="auto"/>
          <w:kern w:val="0"/>
          <w:sz w:val="32"/>
          <w:szCs w:val="32"/>
          <w:highlight w:val="none"/>
          <w:lang w:eastAsia="zh-CN"/>
        </w:rPr>
        <w:t>人员经费增加，</w:t>
      </w:r>
      <w:r>
        <w:rPr>
          <w:rFonts w:hint="eastAsia" w:ascii="仿宋_GB2312" w:hAnsi="宋体" w:eastAsia="仿宋_GB2312" w:cs="宋体"/>
          <w:kern w:val="0"/>
          <w:sz w:val="32"/>
          <w:szCs w:val="32"/>
          <w:lang w:eastAsia="zh-CN"/>
        </w:rPr>
        <w:t>去年工资普调，基础性绩效工资调标，社保基数也随之增加</w:t>
      </w:r>
      <w:r>
        <w:rPr>
          <w:rFonts w:hint="eastAsia" w:ascii="仿宋_GB2312" w:hAnsi="仿宋_GB2312" w:eastAsia="仿宋_GB2312" w:cs="仿宋_GB2312"/>
          <w:kern w:val="0"/>
          <w:sz w:val="32"/>
          <w:szCs w:val="32"/>
          <w:lang w:val="en-US" w:eastAsia="zh-CN"/>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lang w:eastAsia="zh-CN"/>
        </w:rPr>
        <w:t>卫生健康支出（类）行政事业单位医疗（款）公务员医疗补助（</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2025年预算数为11.26</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4.99</w:t>
      </w:r>
      <w:r>
        <w:rPr>
          <w:rFonts w:hint="eastAsia" w:ascii="仿宋_GB2312" w:hAnsi="仿宋_GB2312" w:eastAsia="仿宋_GB2312" w:cs="仿宋_GB2312"/>
          <w:kern w:val="0"/>
          <w:sz w:val="32"/>
          <w:szCs w:val="32"/>
          <w:lang w:eastAsia="zh-CN"/>
        </w:rPr>
        <w:t>万元，增加</w:t>
      </w:r>
      <w:r>
        <w:rPr>
          <w:rFonts w:hint="eastAsia" w:ascii="仿宋_GB2312" w:hAnsi="仿宋_GB2312" w:eastAsia="仿宋_GB2312" w:cs="仿宋_GB2312"/>
          <w:kern w:val="0"/>
          <w:sz w:val="32"/>
          <w:szCs w:val="32"/>
          <w:lang w:val="en-US" w:eastAsia="zh-CN"/>
        </w:rPr>
        <w:t>79.59</w:t>
      </w:r>
      <w:r>
        <w:rPr>
          <w:rFonts w:hint="eastAsia" w:ascii="仿宋_GB2312" w:hAnsi="仿宋_GB2312" w:eastAsia="仿宋_GB2312" w:cs="仿宋_GB2312"/>
          <w:kern w:val="0"/>
          <w:sz w:val="32"/>
          <w:szCs w:val="32"/>
          <w:lang w:eastAsia="zh-CN"/>
        </w:rPr>
        <w:t>%，主要原因是</w:t>
      </w:r>
      <w:r>
        <w:rPr>
          <w:rFonts w:hint="eastAsia" w:ascii="仿宋_GB2312" w:hAnsi="仿宋_GB2312" w:eastAsia="仿宋_GB2312" w:cs="仿宋_GB2312"/>
          <w:color w:val="auto"/>
          <w:kern w:val="0"/>
          <w:sz w:val="32"/>
          <w:szCs w:val="32"/>
          <w:highlight w:val="none"/>
          <w:lang w:eastAsia="zh-CN"/>
        </w:rPr>
        <w:t>人员经费增加，</w:t>
      </w:r>
      <w:r>
        <w:rPr>
          <w:rFonts w:hint="eastAsia" w:ascii="仿宋_GB2312" w:hAnsi="宋体" w:eastAsia="仿宋_GB2312" w:cs="宋体"/>
          <w:kern w:val="0"/>
          <w:sz w:val="32"/>
          <w:szCs w:val="32"/>
          <w:lang w:eastAsia="zh-CN"/>
        </w:rPr>
        <w:t>去年工资普调，基础性绩效工资调标，社保基数也随之增加</w:t>
      </w:r>
      <w:r>
        <w:rPr>
          <w:rFonts w:hint="eastAsia" w:ascii="仿宋_GB2312" w:hAnsi="仿宋_GB2312" w:eastAsia="仿宋_GB2312" w:cs="仿宋_GB2312"/>
          <w:kern w:val="0"/>
          <w:sz w:val="32"/>
          <w:szCs w:val="32"/>
          <w:lang w:val="en-US" w:eastAsia="zh-CN"/>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lang w:eastAsia="zh-CN"/>
        </w:rPr>
        <w:t>.卫生健康支出（类）行政事业单位医疗（款）</w:t>
      </w:r>
      <w:r>
        <w:rPr>
          <w:rFonts w:hint="eastAsia" w:ascii="仿宋_GB2312" w:hAnsi="仿宋_GB2312" w:eastAsia="仿宋_GB2312" w:cs="仿宋_GB2312"/>
          <w:kern w:val="0"/>
          <w:sz w:val="32"/>
          <w:szCs w:val="32"/>
          <w:lang w:val="zh-CN" w:eastAsia="zh-CN"/>
        </w:rPr>
        <w:t>其他行政事业单位医疗支出</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2025年预算数为0.28</w:t>
      </w:r>
      <w:r>
        <w:rPr>
          <w:rFonts w:hint="eastAsia" w:ascii="仿宋_GB2312" w:hAnsi="仿宋_GB2312" w:eastAsia="仿宋_GB2312" w:cs="仿宋_GB2312"/>
          <w:kern w:val="0"/>
          <w:sz w:val="32"/>
          <w:szCs w:val="32"/>
          <w:lang w:eastAsia="zh-CN"/>
        </w:rPr>
        <w:t>万元，较上年增加</w:t>
      </w:r>
      <w:r>
        <w:rPr>
          <w:rFonts w:hint="eastAsia" w:ascii="仿宋_GB2312" w:hAnsi="仿宋_GB2312" w:eastAsia="仿宋_GB2312" w:cs="仿宋_GB2312"/>
          <w:kern w:val="0"/>
          <w:sz w:val="32"/>
          <w:szCs w:val="32"/>
          <w:lang w:val="en-US" w:eastAsia="zh-CN"/>
        </w:rPr>
        <w:t>0.14</w:t>
      </w:r>
      <w:r>
        <w:rPr>
          <w:rFonts w:hint="eastAsia" w:ascii="仿宋_GB2312" w:hAnsi="仿宋_GB2312" w:eastAsia="仿宋_GB2312" w:cs="仿宋_GB2312"/>
          <w:kern w:val="0"/>
          <w:sz w:val="32"/>
          <w:szCs w:val="32"/>
          <w:lang w:eastAsia="zh-CN"/>
        </w:rPr>
        <w:t>万元，上升</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%，主要原因是</w:t>
      </w:r>
      <w:r>
        <w:rPr>
          <w:rFonts w:hint="eastAsia" w:ascii="仿宋_GB2312" w:hAnsi="宋体" w:eastAsia="仿宋_GB2312" w:cs="宋体"/>
          <w:kern w:val="0"/>
          <w:sz w:val="32"/>
          <w:szCs w:val="32"/>
          <w:lang w:eastAsia="zh-CN"/>
        </w:rPr>
        <w:t>将</w:t>
      </w:r>
      <w:r>
        <w:rPr>
          <w:rFonts w:hint="eastAsia" w:ascii="仿宋_GB2312" w:hAnsi="仿宋_GB2312" w:eastAsia="仿宋_GB2312" w:cs="仿宋_GB2312"/>
          <w:color w:val="auto"/>
          <w:kern w:val="0"/>
          <w:sz w:val="32"/>
          <w:szCs w:val="32"/>
          <w:highlight w:val="none"/>
          <w:lang w:eastAsia="zh-CN"/>
        </w:rPr>
        <w:t>人员经费增加，</w:t>
      </w:r>
      <w:r>
        <w:rPr>
          <w:rFonts w:hint="eastAsia" w:ascii="仿宋_GB2312" w:hAnsi="宋体" w:eastAsia="仿宋_GB2312" w:cs="宋体"/>
          <w:kern w:val="0"/>
          <w:sz w:val="32"/>
          <w:szCs w:val="32"/>
          <w:lang w:eastAsia="zh-CN"/>
        </w:rPr>
        <w:t>去年工资普调，基础性绩效工资调标，社保基数也随之增加</w:t>
      </w:r>
      <w:r>
        <w:rPr>
          <w:rFonts w:hint="eastAsia" w:ascii="仿宋_GB2312" w:hAnsi="仿宋_GB2312" w:eastAsia="仿宋_GB2312" w:cs="仿宋_GB2312"/>
          <w:kern w:val="0"/>
          <w:sz w:val="32"/>
          <w:szCs w:val="32"/>
          <w:lang w:val="en-US" w:eastAsia="zh-CN"/>
        </w:rPr>
        <w:t>。</w:t>
      </w:r>
    </w:p>
    <w:p>
      <w:pPr>
        <w:widowControl/>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lang w:eastAsia="zh-CN"/>
        </w:rPr>
        <w:t>. 住房保障支出（类）住房改革支出（款）住房公积金（</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2025年预算数36.79</w:t>
      </w:r>
      <w:r>
        <w:rPr>
          <w:rFonts w:hint="eastAsia" w:ascii="仿宋_GB2312" w:hAnsi="仿宋_GB2312" w:eastAsia="仿宋_GB2312" w:cs="仿宋_GB2312"/>
          <w:kern w:val="0"/>
          <w:sz w:val="32"/>
          <w:szCs w:val="32"/>
          <w:lang w:eastAsia="zh-CN"/>
        </w:rPr>
        <w:t>万元，较上年下降</w:t>
      </w:r>
      <w:r>
        <w:rPr>
          <w:rFonts w:hint="eastAsia" w:ascii="仿宋_GB2312" w:hAnsi="仿宋_GB2312" w:eastAsia="仿宋_GB2312" w:cs="仿宋_GB2312"/>
          <w:kern w:val="0"/>
          <w:sz w:val="32"/>
          <w:szCs w:val="32"/>
          <w:lang w:val="en-US" w:eastAsia="zh-CN"/>
        </w:rPr>
        <w:t>0.54</w:t>
      </w:r>
      <w:r>
        <w:rPr>
          <w:rFonts w:hint="eastAsia" w:ascii="仿宋_GB2312" w:hAnsi="仿宋_GB2312" w:eastAsia="仿宋_GB2312" w:cs="仿宋_GB2312"/>
          <w:kern w:val="0"/>
          <w:sz w:val="32"/>
          <w:szCs w:val="32"/>
          <w:lang w:eastAsia="zh-CN"/>
        </w:rPr>
        <w:t>万元，下降</w:t>
      </w:r>
      <w:r>
        <w:rPr>
          <w:rFonts w:hint="eastAsia" w:ascii="仿宋_GB2312" w:hAnsi="仿宋_GB2312" w:eastAsia="仿宋_GB2312" w:cs="仿宋_GB2312"/>
          <w:kern w:val="0"/>
          <w:sz w:val="32"/>
          <w:szCs w:val="32"/>
          <w:lang w:val="en-US" w:eastAsia="zh-CN"/>
        </w:rPr>
        <w:t>1.45</w:t>
      </w:r>
      <w:r>
        <w:rPr>
          <w:rFonts w:hint="eastAsia" w:ascii="仿宋_GB2312" w:hAnsi="仿宋_GB2312" w:eastAsia="仿宋_GB2312" w:cs="仿宋_GB2312"/>
          <w:kern w:val="0"/>
          <w:sz w:val="32"/>
          <w:szCs w:val="32"/>
          <w:lang w:eastAsia="zh-CN"/>
        </w:rPr>
        <w:t>%，</w:t>
      </w:r>
      <w:r>
        <w:rPr>
          <w:rFonts w:hint="eastAsia" w:ascii="仿宋_GB2312" w:hAnsi="宋体" w:eastAsia="仿宋_GB2312" w:cs="宋体"/>
          <w:sz w:val="32"/>
          <w:szCs w:val="32"/>
        </w:rPr>
        <w:t>主要原</w:t>
      </w:r>
      <w:r>
        <w:rPr>
          <w:rFonts w:hint="eastAsia" w:ascii="仿宋_GB2312" w:hAnsi="仿宋_GB2312" w:eastAsia="仿宋_GB2312" w:cs="仿宋_GB2312"/>
          <w:kern w:val="0"/>
          <w:sz w:val="32"/>
          <w:szCs w:val="32"/>
          <w:lang w:val="en-US" w:eastAsia="zh-CN"/>
        </w:rPr>
        <w:t>因2025年公积金缴存基数增加</w:t>
      </w:r>
      <w:r>
        <w:rPr>
          <w:rFonts w:hint="eastAsia" w:ascii="仿宋" w:hAnsi="微软雅黑" w:eastAsia="仿宋"/>
          <w:sz w:val="28"/>
          <w:szCs w:val="28"/>
          <w:lang w:eastAsia="zh-CN"/>
        </w:rPr>
        <w:t>，</w:t>
      </w:r>
      <w:r>
        <w:rPr>
          <w:rFonts w:hint="eastAsia" w:ascii="仿宋_GB2312" w:hAnsi="宋体" w:eastAsia="仿宋_GB2312" w:cs="宋体"/>
          <w:sz w:val="32"/>
          <w:szCs w:val="32"/>
          <w:lang w:val="en-US" w:eastAsia="zh-CN"/>
        </w:rPr>
        <w:t>行政调出1人，2025年人员经费预算较上年减少</w:t>
      </w:r>
      <w:r>
        <w:rPr>
          <w:rFonts w:hint="eastAsia" w:ascii="仿宋_GB2312" w:hAnsi="宋体" w:eastAsia="仿宋_GB2312" w:cs="宋体"/>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widowControl/>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呼图壁县人民代表大会常务委员会办公室</w:t>
      </w:r>
      <w:r>
        <w:rPr>
          <w:rFonts w:hint="eastAsia" w:ascii="仿宋_GB2312" w:hAnsi="仿宋_GB2312" w:eastAsia="仿宋_GB2312" w:cs="仿宋_GB2312"/>
          <w:kern w:val="0"/>
          <w:sz w:val="32"/>
          <w:szCs w:val="32"/>
          <w:lang w:val="en-US" w:eastAsia="zh-CN"/>
        </w:rPr>
        <w:t>2025</w:t>
      </w:r>
      <w:r>
        <w:rPr>
          <w:rFonts w:hint="eastAsia" w:ascii="仿宋_GB2312" w:hAnsi="仿宋_GB2312" w:eastAsia="仿宋_GB2312" w:cs="仿宋_GB2312"/>
          <w:kern w:val="0"/>
          <w:sz w:val="32"/>
          <w:szCs w:val="32"/>
          <w:lang w:eastAsia="zh-CN"/>
        </w:rPr>
        <w:t>年一般公共预算基本支出</w:t>
      </w:r>
      <w:r>
        <w:rPr>
          <w:rFonts w:hint="eastAsia" w:ascii="仿宋_GB2312" w:hAnsi="仿宋_GB2312" w:eastAsia="仿宋_GB2312" w:cs="仿宋_GB2312"/>
          <w:kern w:val="0"/>
          <w:sz w:val="32"/>
          <w:szCs w:val="32"/>
          <w:lang w:val="en-US" w:eastAsia="zh-CN"/>
        </w:rPr>
        <w:t>536.33</w:t>
      </w:r>
      <w:r>
        <w:rPr>
          <w:rFonts w:hint="eastAsia" w:ascii="仿宋_GB2312" w:hAnsi="仿宋_GB2312" w:eastAsia="仿宋_GB2312" w:cs="仿宋_GB2312"/>
          <w:kern w:val="0"/>
          <w:sz w:val="32"/>
          <w:szCs w:val="32"/>
          <w:lang w:eastAsia="zh-CN"/>
        </w:rPr>
        <w:t>万元， 其中：</w:t>
      </w:r>
    </w:p>
    <w:p>
      <w:pPr>
        <w:widowControl/>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人员经费</w:t>
      </w:r>
      <w:r>
        <w:rPr>
          <w:rFonts w:hint="eastAsia" w:ascii="仿宋_GB2312" w:hAnsi="仿宋_GB2312" w:eastAsia="仿宋_GB2312" w:cs="仿宋_GB2312"/>
          <w:kern w:val="0"/>
          <w:sz w:val="32"/>
          <w:szCs w:val="32"/>
          <w:lang w:val="en-US" w:eastAsia="zh-CN"/>
        </w:rPr>
        <w:t>444.08</w:t>
      </w:r>
      <w:r>
        <w:rPr>
          <w:rFonts w:hint="eastAsia" w:ascii="仿宋_GB2312" w:hAnsi="仿宋_GB2312" w:eastAsia="仿宋_GB2312" w:cs="仿宋_GB2312"/>
          <w:kern w:val="0"/>
          <w:sz w:val="32"/>
          <w:szCs w:val="32"/>
          <w:lang w:eastAsia="zh-CN"/>
        </w:rPr>
        <w:t>万元，主要包括：基本工资、津贴补贴、奖金、绩效工资、机关事业单位基本养老保险缴费、职业年金缴费、职工基本医疗保险缴费、公务员医疗补助缴费、其他社会保障缴费、住房公积金、退休费、抚恤金、生活补助、奖励金。</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公用经费92.25万元，主要包括：办公费、邮电费、差旅费、会议费、公务接待费、劳务费、工会经费、公务用车运行维护费、其他交通费用、其他商品和服务支出等。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1.项目名称：运转经费（2025年非定额）</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设立的政策依据：呼财预字【2025】5号《2025年呼图壁县财经委员会第一次会议纪要》</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预算安排规模：60万元</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项目承担单位：呼图壁县人民代表大会常务委员会办公室</w:t>
      </w:r>
    </w:p>
    <w:p>
      <w:pPr>
        <w:widowControl/>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资金分配情况：办公费5万元、印刷费4万元、维修费3万元、培训费13万元、公务接待费2万元、工会会费8万元、其他交通费5万元、其他商品服务支出10万元、办公设备购置费10万元。</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资金执行时间：2025年1月1日-2025年12月31日。</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2.项目名称：人大代表工作室补助经费（2025年非定额）</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设立的政策依据：昌州财行【2023】45号文件《关于调整各级人大代表活动经费标准及人大代表“家室站”补助经费标准的通知》，县市“人大代表工作室”补助经费标准为5万元/年/个，补助经费由同级财政予以保障。</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预算安排规模：5万元</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项目承担单位：呼图壁县人民代表大会常务委员会办公室</w:t>
      </w:r>
    </w:p>
    <w:p>
      <w:pPr>
        <w:widowControl/>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资金分配情况：办公费2万元、培训费3万元。</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资金执行时间：2025年1月1日-2025年12月31日。</w:t>
      </w:r>
    </w:p>
    <w:p>
      <w:pPr>
        <w:widowControl/>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3.项目名称：2025人大代表活动经费和人大立法经费</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设立的政策依据：根据昌州财行【2024】47号文件 (关于提前下达2025年人大代表活动经费和人大立法经费的通知)</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预算安排规模：12.05万元</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项目承担单位：呼图壁县人民代表大会常务委员会办公室</w:t>
      </w:r>
    </w:p>
    <w:p>
      <w:pPr>
        <w:widowControl/>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资金分配情况：12.05万元全部用于人大代表活动经费和人大立法经费</w:t>
      </w:r>
    </w:p>
    <w:p>
      <w:pPr>
        <w:widowControl/>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资金执行时间：2025年1月1日-2025年12月31日。</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4.项目名称：2025年基层人大补助经费</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设立的政策依据：根据昌州财行【2024】51号文件（关于提前下达2025年基层人大补助经费的通知）</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预算安排规模：9万元</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项目承担单位：呼图壁县人民代表大会常务委员会办公室</w:t>
      </w:r>
    </w:p>
    <w:p>
      <w:pPr>
        <w:widowControl/>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资金分配情况：9万元全部用于2025年基层人大补助经费</w:t>
      </w:r>
    </w:p>
    <w:p>
      <w:pPr>
        <w:widowControl/>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呼图壁县人民代表大会常务委员会办公室2025年没有使用政府性基金预算拨款安排的支出，政府性基金预算支出情况表为空表。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年国有资本经营预算拨款情况说明</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呼图壁县人民代表大会常务委员会办公室2025年没有使用国有资本经营预算拨款安排的支出，国有资本经营预算支出情况表为空表。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呼图壁县人民代表大会常务委员会办公室2025年</w:t>
      </w:r>
      <w:r>
        <w:rPr>
          <w:rFonts w:hint="eastAsia" w:ascii="仿宋_GB2312" w:hAnsi="仿宋_GB2312" w:eastAsia="仿宋_GB2312" w:cs="仿宋_GB2312"/>
          <w:kern w:val="0"/>
          <w:sz w:val="32"/>
          <w:szCs w:val="32"/>
          <w:lang w:val="en-US" w:eastAsia="zh-Hans"/>
        </w:rPr>
        <w:t>财政拨款</w:t>
      </w:r>
      <w:r>
        <w:rPr>
          <w:rFonts w:hint="eastAsia" w:ascii="仿宋_GB2312" w:hAnsi="仿宋_GB2312" w:eastAsia="仿宋_GB2312" w:cs="仿宋_GB2312"/>
          <w:kern w:val="0"/>
          <w:sz w:val="32"/>
          <w:szCs w:val="32"/>
          <w:lang w:val="en-US" w:eastAsia="zh-CN"/>
        </w:rPr>
        <w:t>“三公”经费数为13.80万元，其中：因公出国（境）费0万元，公务用车购置费0万元，公务用车运行费11.20万元，公务接待费2.60万元。</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2025年财政拨款“三公”经费预算比上年预算增加0.00万元，增长0.00%，其中：因公出国（境）费增加0.00万元，增长0.00%，主要原因是2024年、2025年均未安排此项预算；公务用车购置费增加0.00万元，增长0.00%，主要原因是2024年、2025年均未安排此项预算；公务用车运行费增加0.00万元，增长0.00%，主要原因是我单位按照中央八项规定要求尽量压缩此项预算支出经费的预算,“三公”经费只减不增；公务接待费增加0.00万元，增长0.00%，主要原因是按照中央八项规定要求尽量压缩此项预算支出经费的预算,“三公”经费只减不增。2025年</w:t>
      </w:r>
      <w:r>
        <w:rPr>
          <w:rFonts w:hint="eastAsia" w:ascii="仿宋_GB2312" w:hAnsi="仿宋_GB2312" w:eastAsia="仿宋_GB2312" w:cs="仿宋_GB2312"/>
          <w:kern w:val="0"/>
          <w:sz w:val="32"/>
          <w:szCs w:val="32"/>
          <w:lang w:val="en-US" w:eastAsia="zh-Hans"/>
        </w:rPr>
        <w:t>财政拨款</w:t>
      </w:r>
      <w:r>
        <w:rPr>
          <w:rFonts w:hint="eastAsia" w:ascii="仿宋_GB2312" w:hAnsi="仿宋_GB2312" w:eastAsia="仿宋_GB2312" w:cs="仿宋_GB2312"/>
          <w:kern w:val="0"/>
          <w:sz w:val="32"/>
          <w:szCs w:val="32"/>
          <w:lang w:val="en-US" w:eastAsia="zh-CN"/>
        </w:rPr>
        <w:t>“三公”经费预算与上年</w:t>
      </w:r>
      <w:r>
        <w:rPr>
          <w:rFonts w:hint="eastAsia" w:ascii="仿宋_GB2312" w:hAnsi="仿宋_GB2312" w:eastAsia="仿宋_GB2312" w:cs="仿宋_GB2312"/>
          <w:kern w:val="0"/>
          <w:sz w:val="32"/>
          <w:szCs w:val="32"/>
          <w:lang w:val="en-US" w:eastAsia="zh-Hans"/>
        </w:rPr>
        <w:t>预算</w:t>
      </w:r>
      <w:r>
        <w:rPr>
          <w:rFonts w:hint="eastAsia" w:ascii="仿宋_GB2312" w:hAnsi="仿宋_GB2312" w:eastAsia="仿宋_GB2312" w:cs="仿宋_GB2312"/>
          <w:kern w:val="0"/>
          <w:sz w:val="32"/>
          <w:szCs w:val="32"/>
          <w:lang w:val="en-US" w:eastAsia="zh-CN"/>
        </w:rPr>
        <w:t>持平。</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w:t>
      </w:r>
      <w:r>
        <w:rPr>
          <w:rFonts w:hint="eastAsia" w:ascii="楷体_GB2312" w:hAnsi="楷体_GB2312" w:eastAsia="楷体_GB2312" w:cs="楷体_GB2312"/>
          <w:b/>
          <w:bCs w:val="0"/>
          <w:color w:val="auto"/>
          <w:kern w:val="0"/>
          <w:sz w:val="32"/>
          <w:szCs w:val="32"/>
          <w:highlight w:val="none"/>
          <w:lang w:eastAsia="zh-CN"/>
        </w:rPr>
        <w:t>人民代表大会常务委员会办公室</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呼图壁县人民代表大会常务委员会办公室2025年上年结转结余3.75万元，包括：财政拨款3.75万元，非财政拨款0万元，其中：2024年为民办实事经费3.75万元，主要用于：维修自来水、排污管道、访贫问苦等。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widowControl/>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呼图壁县人民代表大会常务委员会办公室单位2025年的机关运行经费财政拨款预算92.25万元，比上年预算增加36.24万元，增长64.70%。主要原因：一是2025年同工同筹人员经费预算纳入公用经费劳务费支出；二是2025年会议费纳入公用经费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2025年，呼图壁县人民代表大会常务委员会办公室政府采购预算90.56万元，其中：政府采购货物预算44.76万元，政府采购工程预算0万元，政府采购服务预算45.80万元。</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2024年，呼图壁县人民代表大会常务委员会办公室单位面向中小企业预留政府采购项目预算金额90.56万元，小微企业预留政府采购项目预算金额81.06万元。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截至2025年底，呼图壁县人民代表大会常务委员会办公室占用使用国有资产总体情况为：</w:t>
      </w:r>
    </w:p>
    <w:p>
      <w:pPr>
        <w:widowControl/>
        <w:numPr>
          <w:ilvl w:val="0"/>
          <w:numId w:val="2"/>
        </w:num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房屋0平方米，价值0万元。</w:t>
      </w:r>
    </w:p>
    <w:p>
      <w:pPr>
        <w:widowControl/>
        <w:numPr>
          <w:ilvl w:val="0"/>
          <w:numId w:val="2"/>
        </w:num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2.车辆6辆，价值76.58万元；其中：一般公务用车3辆，价值21.04万元；执法执勤用车 0辆，价值 0万元；其他车辆 3 辆，价值 55.53万元。</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3.办公家具价值 9.08万元。</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4.其他资产价值 16.01万元。</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部门价值50万元以上大型设备0台。</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2025年部门预算未安排购置车辆经费，安排购置50万元以上大型设备 0 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widowControl/>
        <w:spacing w:line="560" w:lineRule="exact"/>
        <w:ind w:firstLine="640" w:firstLineChars="200"/>
        <w:rPr>
          <w:rFonts w:hint="eastAsia" w:ascii="仿宋_GB2312" w:hAnsi="仿宋_GB2312" w:eastAsia="仿宋_GB2312" w:cs="仿宋_GB2312"/>
          <w:kern w:val="0"/>
          <w:sz w:val="32"/>
          <w:szCs w:val="32"/>
          <w:lang w:val="en-US" w:eastAsia="zh-CN"/>
        </w:rPr>
      </w:pPr>
      <w:bookmarkStart w:id="0" w:name="OLE_LINK1"/>
      <w:r>
        <w:rPr>
          <w:rFonts w:hint="default" w:ascii="仿宋_GB2312" w:hAnsi="仿宋_GB2312" w:eastAsia="仿宋_GB2312" w:cs="仿宋_GB2312"/>
          <w:kern w:val="0"/>
          <w:sz w:val="32"/>
          <w:szCs w:val="32"/>
          <w:lang w:val="en-US" w:eastAsia="zh-CN"/>
        </w:rPr>
        <w:t>2025</w:t>
      </w:r>
      <w:r>
        <w:rPr>
          <w:rFonts w:hint="eastAsia" w:ascii="仿宋_GB2312" w:hAnsi="仿宋_GB2312" w:eastAsia="仿宋_GB2312" w:cs="仿宋_GB2312"/>
          <w:kern w:val="0"/>
          <w:sz w:val="32"/>
          <w:szCs w:val="32"/>
          <w:lang w:val="en-US" w:eastAsia="zh-CN"/>
        </w:rPr>
        <w:t>年，本部门预算绩效管理整体预算绩效目标1个，涉及预算金额826.14万元；当年预算安排项目共4个，其中:</w:t>
      </w:r>
      <w:r>
        <w:rPr>
          <w:rFonts w:hint="eastAsia" w:ascii="仿宋_GB2312" w:hAnsi="仿宋_GB2312" w:eastAsia="仿宋_GB2312" w:cs="仿宋_GB2312"/>
          <w:kern w:val="0"/>
          <w:sz w:val="32"/>
          <w:szCs w:val="32"/>
          <w:lang w:val="en-US" w:eastAsia="zh-Hans"/>
        </w:rPr>
        <w:t>财政拨款</w:t>
      </w:r>
      <w:r>
        <w:rPr>
          <w:rFonts w:hint="eastAsia" w:ascii="仿宋_GB2312" w:hAnsi="仿宋_GB2312" w:eastAsia="仿宋_GB2312" w:cs="仿宋_GB2312"/>
          <w:kern w:val="0"/>
          <w:sz w:val="32"/>
          <w:szCs w:val="32"/>
          <w:lang w:val="en-US" w:eastAsia="zh-CN"/>
        </w:rPr>
        <w:t>项目涉及预算金额86.05万元；</w:t>
      </w:r>
      <w:r>
        <w:rPr>
          <w:rFonts w:hint="eastAsia" w:ascii="仿宋_GB2312" w:hAnsi="仿宋_GB2312" w:eastAsia="仿宋_GB2312" w:cs="仿宋_GB2312"/>
          <w:kern w:val="0"/>
          <w:sz w:val="32"/>
          <w:szCs w:val="32"/>
          <w:lang w:val="en-US" w:eastAsia="zh-Hans"/>
        </w:rPr>
        <w:t>非财政拨款项目</w:t>
      </w:r>
      <w:r>
        <w:rPr>
          <w:rFonts w:hint="eastAsia" w:ascii="仿宋_GB2312" w:hAnsi="仿宋_GB2312" w:eastAsia="仿宋_GB2312" w:cs="仿宋_GB2312"/>
          <w:kern w:val="0"/>
          <w:sz w:val="32"/>
          <w:szCs w:val="32"/>
          <w:lang w:val="en-US" w:eastAsia="zh-CN"/>
        </w:rPr>
        <w:t xml:space="preserve">涉及预算金额0万元。具体情况见下表：  </w:t>
      </w:r>
    </w:p>
    <w:p>
      <w:pPr>
        <w:pStyle w:val="6"/>
        <w:rPr>
          <w:rFonts w:hint="eastAsia" w:ascii="仿宋_GB2312" w:hAnsi="仿宋_GB2312" w:eastAsia="仿宋_GB2312" w:cs="仿宋_GB2312"/>
          <w:color w:val="auto"/>
          <w:kern w:val="0"/>
          <w:sz w:val="32"/>
          <w:szCs w:val="32"/>
          <w:highlight w:val="none"/>
          <w:lang w:val="en-US" w:eastAsia="zh-CN"/>
        </w:rPr>
      </w:pPr>
    </w:p>
    <w:p>
      <w:pPr>
        <w:pStyle w:val="6"/>
        <w:rPr>
          <w:rFonts w:hint="eastAsia" w:ascii="仿宋_GB2312" w:hAnsi="仿宋_GB2312" w:eastAsia="仿宋_GB2312" w:cs="仿宋_GB2312"/>
          <w:color w:val="auto"/>
          <w:kern w:val="0"/>
          <w:sz w:val="32"/>
          <w:szCs w:val="32"/>
          <w:highlight w:val="none"/>
          <w:lang w:val="en-US" w:eastAsia="zh-CN"/>
        </w:rPr>
      </w:pPr>
    </w:p>
    <w:p>
      <w:pPr>
        <w:pStyle w:val="6"/>
        <w:rPr>
          <w:rFonts w:hint="eastAsia" w:ascii="仿宋_GB2312" w:hAnsi="仿宋_GB2312" w:eastAsia="仿宋_GB2312" w:cs="仿宋_GB2312"/>
          <w:color w:val="auto"/>
          <w:kern w:val="0"/>
          <w:sz w:val="32"/>
          <w:szCs w:val="32"/>
          <w:highlight w:val="none"/>
          <w:lang w:val="en-US" w:eastAsia="zh-CN"/>
        </w:rPr>
      </w:pPr>
    </w:p>
    <w:p>
      <w:pPr>
        <w:pStyle w:val="6"/>
        <w:rPr>
          <w:rFonts w:hint="default" w:ascii="仿宋_GB2312" w:hAnsi="仿宋_GB2312" w:eastAsia="仿宋_GB2312" w:cs="仿宋_GB2312"/>
          <w:color w:val="auto"/>
          <w:kern w:val="0"/>
          <w:sz w:val="32"/>
          <w:szCs w:val="32"/>
          <w:highlight w:val="none"/>
          <w:lang w:val="en-US" w:eastAsia="zh-CN"/>
        </w:rPr>
      </w:pPr>
    </w:p>
    <w:bookmarkEnd w:id="0"/>
    <w:p>
      <w:pPr>
        <w:keepNext w:val="0"/>
        <w:keepLines w:val="0"/>
        <w:widowControl/>
        <w:suppressLineNumbers w:val="0"/>
        <w:spacing w:line="560" w:lineRule="exact"/>
        <w:jc w:val="center"/>
        <w:textAlignment w:val="center"/>
        <w:rPr>
          <w:rFonts w:hint="eastAsia" w:ascii="仿宋" w:eastAsia="仿宋"/>
          <w:b/>
          <w:sz w:val="28"/>
          <w:szCs w:val="28"/>
        </w:rPr>
      </w:pPr>
      <w:r>
        <w:rPr>
          <w:rFonts w:hint="eastAsia" w:ascii="仿宋" w:eastAsia="仿宋"/>
          <w:b/>
          <w:sz w:val="28"/>
          <w:szCs w:val="28"/>
        </w:rPr>
        <w:br w:type="page"/>
      </w:r>
    </w:p>
    <w:tbl>
      <w:tblPr>
        <w:tblStyle w:val="9"/>
        <w:tblpPr w:leftFromText="180" w:rightFromText="180" w:vertAnchor="text" w:horzAnchor="page" w:tblpX="1251" w:tblpY="3487"/>
        <w:tblOverlap w:val="never"/>
        <w:tblW w:w="101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2"/>
        <w:gridCol w:w="1506"/>
        <w:gridCol w:w="1854"/>
        <w:gridCol w:w="1620"/>
        <w:gridCol w:w="1380"/>
        <w:gridCol w:w="1785"/>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10137" w:type="dxa"/>
            <w:gridSpan w:val="7"/>
            <w:tcBorders>
              <w:top w:val="nil"/>
              <w:left w:val="nil"/>
              <w:bottom w:val="nil"/>
              <w:right w:val="nil"/>
            </w:tcBorders>
            <w:shd w:val="clear" w:color="auto" w:fill="auto"/>
            <w:noWrap/>
            <w:vAlign w:val="center"/>
          </w:tcPr>
          <w:p>
            <w:pPr>
              <w:keepNext w:val="0"/>
              <w:keepLines w:val="0"/>
              <w:widowControl/>
              <w:suppressLineNumbers w:val="0"/>
              <w:spacing w:line="560" w:lineRule="exact"/>
              <w:jc w:val="center"/>
              <w:textAlignment w:val="center"/>
              <w:rPr>
                <w:rFonts w:hint="eastAsia" w:ascii="宋体" w:hAnsi="宋体" w:eastAsia="宋体" w:cs="宋体"/>
                <w:b w:val="0"/>
                <w:bCs w:val="0"/>
                <w:i w:val="0"/>
                <w:iCs w:val="0"/>
                <w:color w:val="000000"/>
                <w:sz w:val="24"/>
                <w:szCs w:val="24"/>
                <w:u w:val="none"/>
              </w:rPr>
            </w:pPr>
            <w:bookmarkStart w:id="1" w:name="_GoBack"/>
            <w:bookmarkEnd w:id="1"/>
            <w:r>
              <w:rPr>
                <w:rFonts w:hint="eastAsia" w:ascii="仿宋" w:eastAsia="仿宋"/>
                <w:b/>
                <w:sz w:val="28"/>
                <w:szCs w:val="28"/>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10137" w:type="dxa"/>
            <w:gridSpan w:val="7"/>
            <w:tcBorders>
              <w:top w:val="nil"/>
              <w:left w:val="nil"/>
              <w:bottom w:val="single" w:color="auto"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val="0"/>
                <w:bCs w:val="0"/>
                <w:i w:val="0"/>
                <w:iCs w:val="0"/>
                <w:color w:val="000000"/>
                <w:sz w:val="22"/>
                <w:szCs w:val="22"/>
                <w:u w:val="none"/>
              </w:rPr>
            </w:pPr>
            <w:r>
              <w:rPr>
                <w:rFonts w:hint="eastAsia" w:ascii="仿宋" w:eastAsia="仿宋"/>
                <w:sz w:val="18"/>
                <w:szCs w:val="18"/>
              </w:rPr>
              <w:t>（202</w:t>
            </w:r>
            <w:r>
              <w:rPr>
                <w:rFonts w:hint="eastAsia" w:ascii="仿宋" w:eastAsia="仿宋"/>
                <w:sz w:val="18"/>
                <w:szCs w:val="18"/>
                <w:lang w:val="en-US" w:eastAsia="zh-CN"/>
              </w:rPr>
              <w:t>5</w:t>
            </w:r>
            <w:r>
              <w:rPr>
                <w:rFonts w:hint="eastAsia" w:ascii="仿宋" w:eastAsia="仿宋"/>
                <w:sz w:val="18"/>
                <w:szCs w:val="18"/>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53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部门名称（盖章）</w:t>
            </w:r>
          </w:p>
        </w:tc>
        <w:tc>
          <w:tcPr>
            <w:tcW w:w="7599"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呼图壁县人民代表大会常务委员会办公室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53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部门联系人</w:t>
            </w:r>
          </w:p>
        </w:tc>
        <w:tc>
          <w:tcPr>
            <w:tcW w:w="347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雷君</w:t>
            </w:r>
          </w:p>
        </w:tc>
        <w:tc>
          <w:tcPr>
            <w:tcW w:w="13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联系电话：</w:t>
            </w:r>
          </w:p>
        </w:tc>
        <w:tc>
          <w:tcPr>
            <w:tcW w:w="27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13565633855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7" w:hRule="atLeast"/>
        </w:trPr>
        <w:tc>
          <w:tcPr>
            <w:tcW w:w="253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年度绩效目标</w:t>
            </w:r>
          </w:p>
        </w:tc>
        <w:tc>
          <w:tcPr>
            <w:tcW w:w="759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15"/>
                <w:szCs w:val="15"/>
                <w:u w:val="none"/>
                <w:lang w:val="en-US" w:eastAsia="zh-CN" w:bidi="ar"/>
              </w:rPr>
              <w:t>保障监督、代表工作正常开展，每年年初召开一次人代会，每两个月至少召开一次常委会，保障机关正常运转，保障2025年本单位23名干部基本工资、3名同工同酬基本工资、社会保障费正常拨付，调动干部职工积极性，达到预期绩效目标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trPr>
        <w:tc>
          <w:tcPr>
            <w:tcW w:w="2538" w:type="dxa"/>
            <w:gridSpan w:val="2"/>
            <w:vMerge w:val="restart"/>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年度预算（万元）</w:t>
            </w:r>
          </w:p>
        </w:tc>
        <w:tc>
          <w:tcPr>
            <w:tcW w:w="7599"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2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22"/>
                <w:szCs w:val="22"/>
                <w:u w:val="none"/>
              </w:rPr>
            </w:pPr>
          </w:p>
        </w:tc>
        <w:tc>
          <w:tcPr>
            <w:tcW w:w="185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财政资金（万元）</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上级资金</w:t>
            </w:r>
          </w:p>
        </w:tc>
        <w:tc>
          <w:tcPr>
            <w:tcW w:w="41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2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22"/>
                <w:szCs w:val="22"/>
                <w:u w:val="none"/>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22"/>
                <w:szCs w:val="22"/>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本级资金</w:t>
            </w:r>
          </w:p>
        </w:tc>
        <w:tc>
          <w:tcPr>
            <w:tcW w:w="41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605.09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trPr>
        <w:tc>
          <w:tcPr>
            <w:tcW w:w="2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22"/>
                <w:szCs w:val="22"/>
                <w:u w:val="none"/>
              </w:rPr>
            </w:pP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其他资金（万元）</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其他</w:t>
            </w:r>
          </w:p>
        </w:tc>
        <w:tc>
          <w:tcPr>
            <w:tcW w:w="41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2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22"/>
                <w:szCs w:val="22"/>
                <w:u w:val="none"/>
              </w:rPr>
            </w:pPr>
          </w:p>
        </w:tc>
        <w:tc>
          <w:tcPr>
            <w:tcW w:w="34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合计：</w:t>
            </w:r>
          </w:p>
        </w:tc>
        <w:tc>
          <w:tcPr>
            <w:tcW w:w="41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826.14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22"/>
                <w:szCs w:val="22"/>
                <w:u w:val="none"/>
              </w:rPr>
            </w:pPr>
          </w:p>
        </w:tc>
        <w:tc>
          <w:tcPr>
            <w:tcW w:w="15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一级指标</w:t>
            </w:r>
          </w:p>
        </w:tc>
        <w:tc>
          <w:tcPr>
            <w:tcW w:w="1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二级指标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三级指标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指标值</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指标值设定依据</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年度绩效指标</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运行成本</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年度绩效指标</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管理效率</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3"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年度绩效指标</w:t>
            </w:r>
          </w:p>
        </w:tc>
        <w:tc>
          <w:tcPr>
            <w:tcW w:w="15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履职效能</w:t>
            </w:r>
          </w:p>
        </w:tc>
        <w:tc>
          <w:tcPr>
            <w:tcW w:w="18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数量指标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召开常委会会议次数</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&gt;=6次</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呼图壁县人大常委会2024年工作总结及2025年工作计划</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年度绩效指标</w:t>
            </w:r>
          </w:p>
        </w:tc>
        <w:tc>
          <w:tcPr>
            <w:tcW w:w="15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人大第十八届五次全体会议次数</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&gt;=1次</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呼图壁县人大常委会2024年工作总结及2025年工作计划</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年度绩效指标</w:t>
            </w:r>
          </w:p>
        </w:tc>
        <w:tc>
          <w:tcPr>
            <w:tcW w:w="15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三查（察）活动次数</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&gt;=6次</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呼图壁县人大常委会2024年工作总结及2025年工作计划</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年度绩效指标</w:t>
            </w:r>
          </w:p>
        </w:tc>
        <w:tc>
          <w:tcPr>
            <w:tcW w:w="15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质量指标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三查活动合格率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&gt;=100%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呼图壁县人大常委会2024年工作总结及2025年工作计划</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8"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年度绩效指标</w:t>
            </w:r>
          </w:p>
        </w:tc>
        <w:tc>
          <w:tcPr>
            <w:tcW w:w="15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时效指标</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调研活动及时率</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&gt;=100%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呼图壁县人大常委会2024年工作总结及2025年工作计划</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年度绩效指标</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社会效益</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3"/>
                <w:szCs w:val="13"/>
                <w:u w:val="none"/>
              </w:rPr>
            </w:pPr>
            <w:r>
              <w:rPr>
                <w:rFonts w:hint="eastAsia" w:ascii="宋体" w:hAnsi="宋体" w:eastAsia="宋体" w:cs="宋体"/>
                <w:b w:val="0"/>
                <w:bCs w:val="0"/>
                <w:i w:val="0"/>
                <w:iCs w:val="0"/>
                <w:color w:val="000000"/>
                <w:kern w:val="0"/>
                <w:sz w:val="13"/>
                <w:szCs w:val="13"/>
                <w:u w:val="none"/>
                <w:lang w:val="en-US" w:eastAsia="zh-CN" w:bidi="ar"/>
              </w:rPr>
              <w:t>年度绩效指标</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可持续发展能力</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3"/>
                <w:szCs w:val="13"/>
                <w:u w:val="none"/>
                <w:lang w:val="en-US" w:eastAsia="zh-CN" w:bidi="ar"/>
              </w:rPr>
              <w:t>年度绩效指标</w:t>
            </w:r>
          </w:p>
        </w:tc>
        <w:tc>
          <w:tcPr>
            <w:tcW w:w="15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服务对象满意度</w:t>
            </w:r>
          </w:p>
        </w:tc>
        <w:tc>
          <w:tcPr>
            <w:tcW w:w="1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宋体"/>
                <w:b w:val="0"/>
                <w:bCs w:val="0"/>
                <w:i w:val="0"/>
                <w:iCs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firstLine="640" w:firstLineChars="200"/>
        <w:jc w:val="left"/>
        <w:textAlignment w:val="auto"/>
        <w:rPr>
          <w:rFonts w:hint="eastAsia" w:ascii="仿宋_GB2312" w:hAnsi="仿宋_GB2312" w:eastAsia="仿宋_GB2312" w:cs="仿宋_GB2312"/>
          <w:b w:val="0"/>
          <w:bCs w:val="0"/>
          <w:color w:val="auto"/>
          <w:kern w:val="0"/>
          <w:sz w:val="32"/>
          <w:szCs w:val="32"/>
          <w:highlight w:val="none"/>
        </w:rPr>
      </w:pPr>
    </w:p>
    <w:p>
      <w:pPr>
        <w:pStyle w:val="8"/>
        <w:rPr>
          <w:rFonts w:hint="eastAsia" w:ascii="仿宋_GB2312" w:hAnsi="仿宋_GB2312" w:eastAsia="仿宋_GB2312" w:cs="仿宋_GB2312"/>
          <w:color w:val="auto"/>
          <w:kern w:val="0"/>
          <w:sz w:val="32"/>
          <w:szCs w:val="32"/>
          <w:highlight w:val="none"/>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br w:type="page"/>
      </w:r>
    </w:p>
    <w:tbl>
      <w:tblPr>
        <w:tblStyle w:val="9"/>
        <w:tblpPr w:leftFromText="180" w:rightFromText="180" w:vertAnchor="text" w:horzAnchor="page" w:tblpX="1768" w:tblpY="300"/>
        <w:tblOverlap w:val="never"/>
        <w:tblW w:w="94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2"/>
        <w:gridCol w:w="934"/>
        <w:gridCol w:w="1251"/>
        <w:gridCol w:w="1080"/>
        <w:gridCol w:w="1155"/>
        <w:gridCol w:w="855"/>
        <w:gridCol w:w="780"/>
        <w:gridCol w:w="1110"/>
        <w:gridCol w:w="13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94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948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6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呼图壁县人民代表大会常务委员会办公室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2025年人大运转经费</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许红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1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8" w:hRule="atLeast"/>
        </w:trPr>
        <w:tc>
          <w:tcPr>
            <w:tcW w:w="18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614"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60万元用于保障机关正常运转，日常办公、车辆运行等，每年年初召开一次人代会，每两个月至少召开一次常委会。定期组织人大代表培训、学习，定期开展三查（察）活动，收集群众意见、建议、社情民意、微实事等，督办承办部门办理群众意见建议，参与化解矛盾纠风。保障代表之家建设、日常运行等费用，确保代表活动正常开展。项目的实施能够调动干部职工积极性，达到预期绩效目标要求，保障监督、代表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9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25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1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3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9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三查（察）活动次数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&gt;=6次</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6</w:t>
            </w:r>
            <w:r>
              <w:rPr>
                <w:rFonts w:hint="eastAsia" w:ascii="宋体" w:hAnsi="宋体" w:cs="宋体"/>
                <w:i w:val="0"/>
                <w:iCs w:val="0"/>
                <w:color w:val="000000"/>
                <w:kern w:val="0"/>
                <w:sz w:val="20"/>
                <w:szCs w:val="20"/>
                <w:u w:val="none"/>
                <w:lang w:val="en-US" w:eastAsia="zh-CN" w:bidi="ar"/>
              </w:rPr>
              <w:t>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atLeast"/>
        </w:trPr>
        <w:tc>
          <w:tcPr>
            <w:tcW w:w="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召开常委会会议次数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&gt;=6次</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6</w:t>
            </w:r>
            <w:r>
              <w:rPr>
                <w:rFonts w:hint="eastAsia" w:ascii="宋体" w:hAnsi="宋体" w:cs="宋体"/>
                <w:i w:val="0"/>
                <w:iCs w:val="0"/>
                <w:color w:val="000000"/>
                <w:kern w:val="0"/>
                <w:sz w:val="20"/>
                <w:szCs w:val="20"/>
                <w:u w:val="none"/>
                <w:lang w:val="en-US" w:eastAsia="zh-CN" w:bidi="ar"/>
              </w:rPr>
              <w:t>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13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3" w:hRule="atLeast"/>
        </w:trPr>
        <w:tc>
          <w:tcPr>
            <w:tcW w:w="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三查（察）活动合格率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9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三查（察）活动开展及时率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93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3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&lt;=36万元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20万元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trPr>
        <w:tc>
          <w:tcPr>
            <w:tcW w:w="93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&lt;=13万元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9万元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93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印刷费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trPr>
        <w:tc>
          <w:tcPr>
            <w:tcW w:w="93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93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提升服务社会能力</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人大代表满意度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tbl>
      <w:tblPr>
        <w:tblStyle w:val="9"/>
        <w:tblpPr w:leftFromText="180" w:rightFromText="180" w:vertAnchor="text" w:horzAnchor="page" w:tblpX="1483" w:tblpY="535"/>
        <w:tblOverlap w:val="never"/>
        <w:tblW w:w="95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4"/>
        <w:gridCol w:w="936"/>
        <w:gridCol w:w="1520"/>
        <w:gridCol w:w="900"/>
        <w:gridCol w:w="1020"/>
        <w:gridCol w:w="930"/>
        <w:gridCol w:w="855"/>
        <w:gridCol w:w="1125"/>
        <w:gridCol w:w="12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95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95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1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6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呼图壁县人民代表大会常务委员会办公室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2" w:hRule="atLeast"/>
        </w:trPr>
        <w:tc>
          <w:tcPr>
            <w:tcW w:w="1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4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2025年“人大代表工作室”补助经费</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4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许红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7" w:hRule="atLeast"/>
        </w:trPr>
        <w:tc>
          <w:tcPr>
            <w:tcW w:w="1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4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5" w:hRule="atLeast"/>
        </w:trPr>
        <w:tc>
          <w:tcPr>
            <w:tcW w:w="1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63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项目拟投入5万元用于完成保障代表之家建设、日常运行等费用，确保代表活动正常开展，通过项目的实施，定期组织人大代表培训、学习，定期开展三查（察）活动，收集群众意见、建议、社情民意、微实事等，督办承办部门办理群众意见建议，参与化解矛盾纠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9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5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1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2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1" w:hRule="atLeast"/>
        </w:trPr>
        <w:tc>
          <w:tcPr>
            <w:tcW w:w="93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培训次数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&gt;=4人</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4次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4" w:hRule="atLeast"/>
        </w:trPr>
        <w:tc>
          <w:tcPr>
            <w:tcW w:w="93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人大代表参加三查“察”活动次数</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&gt;=4次</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4次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1" w:hRule="atLeast"/>
        </w:trPr>
        <w:tc>
          <w:tcPr>
            <w:tcW w:w="93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推动人大代表依法监督质效</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90%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0" w:hRule="atLeast"/>
        </w:trPr>
        <w:tc>
          <w:tcPr>
            <w:tcW w:w="93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提升人大代表履职能力</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90%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 w:hRule="atLeast"/>
        </w:trPr>
        <w:tc>
          <w:tcPr>
            <w:tcW w:w="93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培训及时率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90%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1" w:hRule="atLeast"/>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培训费</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提高人大代表工作积极性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按照评判等级赋分</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7" w:hRule="atLeast"/>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95%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8"/>
        <w:rPr>
          <w:rFonts w:hint="eastAsia" w:ascii="仿宋_GB2312" w:hAnsi="仿宋_GB2312" w:eastAsia="仿宋_GB2312" w:cs="仿宋_GB2312"/>
          <w:color w:val="auto"/>
          <w:kern w:val="0"/>
          <w:sz w:val="32"/>
          <w:szCs w:val="32"/>
          <w:highlight w:val="none"/>
        </w:rPr>
      </w:pPr>
    </w:p>
    <w:tbl>
      <w:tblPr>
        <w:tblStyle w:val="9"/>
        <w:tblpPr w:leftFromText="180" w:rightFromText="180" w:vertAnchor="text" w:horzAnchor="page" w:tblpX="1303" w:tblpY="616"/>
        <w:tblOverlap w:val="never"/>
        <w:tblW w:w="94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7"/>
        <w:gridCol w:w="997"/>
        <w:gridCol w:w="1246"/>
        <w:gridCol w:w="748"/>
        <w:gridCol w:w="1187"/>
        <w:gridCol w:w="808"/>
        <w:gridCol w:w="997"/>
        <w:gridCol w:w="1180"/>
        <w:gridCol w:w="1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trPr>
        <w:tc>
          <w:tcPr>
            <w:tcW w:w="94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94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4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呼图壁县人民代表大会常务委员会办公室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1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2025年年度人大代表活动经费和人大立法经费</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许红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8" w:hRule="atLeast"/>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12.05</w:t>
            </w:r>
          </w:p>
        </w:tc>
        <w:tc>
          <w:tcPr>
            <w:tcW w:w="11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12.05</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2" w:hRule="atLeast"/>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42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关于提前下达2025年度人大代表活动经费和人大立法经费的通知》（昌州财行【2024】47号）文件附带的区域目标，结合呼图壁县实际情况，本项目计划投入8.05万元用于州代表活动经费及4万元基层立法联系点建设。通过项目的实施，促进州代表能更好的</w:t>
            </w:r>
            <w:r>
              <w:rPr>
                <w:rFonts w:hint="eastAsia" w:ascii="宋体" w:hAnsi="宋体" w:cs="宋体"/>
                <w:i w:val="0"/>
                <w:iCs w:val="0"/>
                <w:color w:val="000000"/>
                <w:kern w:val="0"/>
                <w:sz w:val="18"/>
                <w:szCs w:val="18"/>
                <w:u w:val="none"/>
                <w:lang w:val="en-US" w:eastAsia="zh-CN" w:bidi="ar"/>
              </w:rPr>
              <w:t>开展</w:t>
            </w:r>
            <w:r>
              <w:rPr>
                <w:rFonts w:hint="eastAsia" w:ascii="宋体" w:hAnsi="宋体" w:eastAsia="宋体" w:cs="宋体"/>
                <w:i w:val="0"/>
                <w:iCs w:val="0"/>
                <w:color w:val="000000"/>
                <w:kern w:val="0"/>
                <w:sz w:val="18"/>
                <w:szCs w:val="18"/>
                <w:u w:val="none"/>
                <w:lang w:val="en-US" w:eastAsia="zh-CN" w:bidi="ar"/>
              </w:rPr>
              <w:t>的“三查（察）”和“双联系”活动等，落实自治州党委、人大工作会议精神，全面提升服务社会能力，保障工作平稳进行；加快推进基层立法联系点活动场所、人员设施、功能布局建设，发挥基层立法联系点作用，全面提升服务社会能力，保障工作平稳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8" w:hRule="atLeast"/>
        </w:trPr>
        <w:tc>
          <w:tcPr>
            <w:tcW w:w="99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24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7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1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0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1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2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6" w:hRule="atLeast"/>
        </w:trPr>
        <w:tc>
          <w:tcPr>
            <w:tcW w:w="9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州人大代表人数</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&gt;=35人</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35人</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9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立法联系点</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&gt;=1个</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w:t>
            </w:r>
            <w:r>
              <w:rPr>
                <w:rFonts w:hint="eastAsia" w:ascii="宋体" w:hAnsi="宋体" w:cs="宋体"/>
                <w:i w:val="0"/>
                <w:iCs w:val="0"/>
                <w:color w:val="000000"/>
                <w:kern w:val="0"/>
                <w:sz w:val="20"/>
                <w:szCs w:val="20"/>
                <w:u w:val="none"/>
                <w:lang w:val="en-US" w:eastAsia="zh-CN" w:bidi="ar"/>
              </w:rPr>
              <w:t>个</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9" w:hRule="atLeast"/>
        </w:trPr>
        <w:tc>
          <w:tcPr>
            <w:tcW w:w="9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推动人大依法监督工作质效</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9</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9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项目完成及时率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9</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9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立法点补助标准</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=2万元</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4</w:t>
            </w:r>
            <w:r>
              <w:rPr>
                <w:rFonts w:hint="eastAsia" w:ascii="宋体" w:hAnsi="宋体" w:cs="宋体"/>
                <w:i w:val="0"/>
                <w:iCs w:val="0"/>
                <w:color w:val="000000"/>
                <w:kern w:val="0"/>
                <w:sz w:val="20"/>
                <w:szCs w:val="20"/>
                <w:u w:val="none"/>
                <w:lang w:val="en-US" w:eastAsia="zh-CN" w:bidi="ar"/>
              </w:rPr>
              <w:t>万元</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6" w:hRule="atLeast"/>
        </w:trPr>
        <w:tc>
          <w:tcPr>
            <w:tcW w:w="9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人大代表补助标准</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=720元/人/年</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720元/人/年</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服务社会能力提升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tbl>
      <w:tblPr>
        <w:tblStyle w:val="9"/>
        <w:tblpPr w:leftFromText="180" w:rightFromText="180" w:vertAnchor="text" w:horzAnchor="page" w:tblpX="1393" w:tblpY="525"/>
        <w:tblOverlap w:val="never"/>
        <w:tblW w:w="95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7"/>
        <w:gridCol w:w="1018"/>
        <w:gridCol w:w="1017"/>
        <w:gridCol w:w="1017"/>
        <w:gridCol w:w="1018"/>
        <w:gridCol w:w="1017"/>
        <w:gridCol w:w="1018"/>
        <w:gridCol w:w="1017"/>
        <w:gridCol w:w="14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95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954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4" w:hRule="atLeast"/>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呼图壁县人民代表大会常务委员会办公室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0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2025年基层人大补助经费</w:t>
            </w:r>
          </w:p>
        </w:tc>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许红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4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8" w:hRule="atLeast"/>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0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关于提前下达2025年基层人大补助经费的通知》（昌州财行【2024】51号）文件附带的区域目标，结合呼图壁县实际情况，本项目计划投入9万元用于保障人大机关正常运转，补充基层人大工作经费。通过项目的实施，促进基层人大能更好的</w:t>
            </w:r>
            <w:r>
              <w:rPr>
                <w:rFonts w:hint="eastAsia" w:ascii="宋体" w:hAnsi="宋体" w:cs="宋体"/>
                <w:i w:val="0"/>
                <w:iCs w:val="0"/>
                <w:color w:val="000000"/>
                <w:kern w:val="0"/>
                <w:sz w:val="18"/>
                <w:szCs w:val="18"/>
                <w:u w:val="none"/>
                <w:lang w:val="en-US" w:eastAsia="zh-CN" w:bidi="ar"/>
              </w:rPr>
              <w:t>开展</w:t>
            </w:r>
            <w:r>
              <w:rPr>
                <w:rFonts w:hint="eastAsia" w:ascii="宋体" w:hAnsi="宋体" w:eastAsia="宋体" w:cs="宋体"/>
                <w:i w:val="0"/>
                <w:iCs w:val="0"/>
                <w:color w:val="000000"/>
                <w:kern w:val="0"/>
                <w:sz w:val="18"/>
                <w:szCs w:val="18"/>
                <w:u w:val="none"/>
                <w:lang w:val="en-US" w:eastAsia="zh-CN" w:bidi="ar"/>
              </w:rPr>
              <w:t>的“三查（察）”和“双联系”活动等，落实区、州、县党委、人大工作会议精神，全面提升服务社会能力，保障工作平稳进行。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trPr>
        <w:tc>
          <w:tcPr>
            <w:tcW w:w="10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40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基层代表补助涉及乡镇数量</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=7个</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7</w:t>
            </w:r>
            <w:r>
              <w:rPr>
                <w:rFonts w:hint="eastAsia" w:ascii="宋体" w:hAnsi="宋体" w:cs="宋体"/>
                <w:i w:val="0"/>
                <w:iCs w:val="0"/>
                <w:color w:val="000000"/>
                <w:kern w:val="0"/>
                <w:sz w:val="20"/>
                <w:szCs w:val="20"/>
                <w:u w:val="none"/>
                <w:lang w:val="en-US" w:eastAsia="zh-CN" w:bidi="ar"/>
              </w:rPr>
              <w:t>个</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4"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组织代表培训次数</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&gt;=2次</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w:t>
            </w:r>
            <w:r>
              <w:rPr>
                <w:rFonts w:hint="eastAsia" w:ascii="宋体" w:hAnsi="宋体" w:cs="宋体"/>
                <w:i w:val="0"/>
                <w:iCs w:val="0"/>
                <w:color w:val="000000"/>
                <w:kern w:val="0"/>
                <w:sz w:val="20"/>
                <w:szCs w:val="20"/>
                <w:u w:val="none"/>
                <w:lang w:val="en-US" w:eastAsia="zh-CN" w:bidi="ar"/>
              </w:rPr>
              <w:t>次</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4"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培训合格率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9</w:t>
            </w:r>
            <w:r>
              <w:rPr>
                <w:rFonts w:hint="eastAsia" w:ascii="宋体" w:hAnsi="宋体" w:cs="宋体"/>
                <w:i w:val="0"/>
                <w:iCs w:val="0"/>
                <w:color w:val="000000"/>
                <w:kern w:val="0"/>
                <w:sz w:val="20"/>
                <w:szCs w:val="20"/>
                <w:u w:val="none"/>
                <w:lang w:val="en-US" w:eastAsia="zh-CN" w:bidi="ar"/>
              </w:rPr>
              <w:t>5</w:t>
            </w:r>
            <w:r>
              <w:rPr>
                <w:rFonts w:hint="eastAsia" w:ascii="宋体" w:hAnsi="宋体" w:eastAsia="宋体" w:cs="宋体"/>
                <w:i w:val="0"/>
                <w:iCs w:val="0"/>
                <w:color w:val="000000"/>
                <w:kern w:val="0"/>
                <w:sz w:val="20"/>
                <w:szCs w:val="20"/>
                <w:u w:val="none"/>
                <w:lang w:val="en-US" w:eastAsia="zh-CN" w:bidi="ar"/>
              </w:rPr>
              <w:t>%</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4"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培训及时率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100%</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基层人大补助标准</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&gt;=1.285万元</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100%</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保障工作延续性开展</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基层人大代表满意度</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pStyle w:val="8"/>
        <w:rPr>
          <w:rFonts w:hint="eastAsia" w:ascii="仿宋_GB2312" w:hAnsi="仿宋_GB2312" w:eastAsia="仿宋_GB2312" w:cs="仿宋_GB2312"/>
          <w:color w:val="auto"/>
          <w:kern w:val="0"/>
          <w:sz w:val="32"/>
          <w:szCs w:val="32"/>
          <w:highlight w:val="none"/>
        </w:rPr>
      </w:pPr>
    </w:p>
    <w:p>
      <w:pPr>
        <w:pStyle w:val="8"/>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596" w:firstLineChars="200"/>
        <w:jc w:val="both"/>
        <w:textAlignment w:val="auto"/>
        <w:outlineLvl w:val="9"/>
        <w:rPr>
          <w:rFonts w:hint="eastAsia" w:ascii="仿宋_GB2312" w:hAnsi="Times New Roman" w:eastAsia="仿宋_GB2312" w:cs="Times New Roman"/>
          <w:color w:val="auto"/>
          <w:spacing w:val="-11"/>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704" w:leftChars="304" w:hanging="5066" w:hangingChars="1700"/>
        <w:jc w:val="both"/>
        <w:textAlignment w:val="auto"/>
        <w:outlineLvl w:val="9"/>
        <w:rPr>
          <w:rFonts w:ascii="仿宋_GB2312" w:hAnsi="宋体" w:eastAsia="仿宋_GB2312" w:cs="宋体"/>
          <w:kern w:val="0"/>
          <w:sz w:val="32"/>
          <w:szCs w:val="32"/>
          <w:highlight w:val="none"/>
        </w:rPr>
      </w:pPr>
      <w:r>
        <w:rPr>
          <w:rFonts w:hint="eastAsia" w:ascii="仿宋_GB2312" w:hAnsi="Times New Roman" w:eastAsia="仿宋_GB2312" w:cs="Times New Roman"/>
          <w:color w:val="auto"/>
          <w:spacing w:val="-11"/>
          <w:sz w:val="32"/>
          <w:szCs w:val="32"/>
          <w:highlight w:val="none"/>
        </w:rPr>
        <w:t xml:space="preserve">                   </w:t>
      </w:r>
      <w:r>
        <w:rPr>
          <w:rFonts w:hint="eastAsia" w:ascii="仿宋_GB2312" w:hAnsi="Times New Roman" w:eastAsia="仿宋_GB2312" w:cs="Times New Roman"/>
          <w:color w:val="auto"/>
          <w:spacing w:val="-11"/>
          <w:sz w:val="32"/>
          <w:szCs w:val="32"/>
          <w:highlight w:val="none"/>
          <w:lang w:val="en-US" w:eastAsia="zh-CN"/>
        </w:rPr>
        <w:t xml:space="preserve">呼图壁县人民代表大会常务委员会办公室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10</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F90385"/>
    <w:multiLevelType w:val="singleLevel"/>
    <w:tmpl w:val="97F90385"/>
    <w:lvl w:ilvl="0" w:tentative="0">
      <w:start w:val="2"/>
      <w:numFmt w:val="chineseCounting"/>
      <w:suff w:val="nothing"/>
      <w:lvlText w:val="%1、"/>
      <w:lvlJc w:val="left"/>
      <w:rPr>
        <w:rFonts w:hint="eastAsia"/>
      </w:rPr>
    </w:lvl>
  </w:abstractNum>
  <w:abstractNum w:abstractNumId="1">
    <w:nsid w:val="35BB9D04"/>
    <w:multiLevelType w:val="singleLevel"/>
    <w:tmpl w:val="35BB9D04"/>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0MGZmNWI5YmEyODFiYzM0NGI4MDJmNjA3Mjc0ZjEifQ=="/>
  </w:docVars>
  <w:rsids>
    <w:rsidRoot w:val="10587512"/>
    <w:rsid w:val="00677DB7"/>
    <w:rsid w:val="00E41A1F"/>
    <w:rsid w:val="016E3EC4"/>
    <w:rsid w:val="017B2F92"/>
    <w:rsid w:val="020E507E"/>
    <w:rsid w:val="02732F8E"/>
    <w:rsid w:val="02C16DE0"/>
    <w:rsid w:val="02CB7F49"/>
    <w:rsid w:val="037800D1"/>
    <w:rsid w:val="03AE6494"/>
    <w:rsid w:val="03B37914"/>
    <w:rsid w:val="04267087"/>
    <w:rsid w:val="04267B2D"/>
    <w:rsid w:val="044C330C"/>
    <w:rsid w:val="045D56E6"/>
    <w:rsid w:val="049D71A2"/>
    <w:rsid w:val="0523753E"/>
    <w:rsid w:val="05397FD9"/>
    <w:rsid w:val="057A5F58"/>
    <w:rsid w:val="05CA273A"/>
    <w:rsid w:val="070E6657"/>
    <w:rsid w:val="0721789C"/>
    <w:rsid w:val="080E3E4F"/>
    <w:rsid w:val="084451C2"/>
    <w:rsid w:val="08450B28"/>
    <w:rsid w:val="08762705"/>
    <w:rsid w:val="088F5575"/>
    <w:rsid w:val="08E81855"/>
    <w:rsid w:val="09473E97"/>
    <w:rsid w:val="0A4168EC"/>
    <w:rsid w:val="0AD672A7"/>
    <w:rsid w:val="0B247F12"/>
    <w:rsid w:val="0B3E01E7"/>
    <w:rsid w:val="0B7C3034"/>
    <w:rsid w:val="0B841FFD"/>
    <w:rsid w:val="0BD56A2F"/>
    <w:rsid w:val="0C0A3890"/>
    <w:rsid w:val="0C2F7D77"/>
    <w:rsid w:val="0C6F4190"/>
    <w:rsid w:val="0CC55A09"/>
    <w:rsid w:val="0CD20198"/>
    <w:rsid w:val="0CEC568C"/>
    <w:rsid w:val="0D6E5FD0"/>
    <w:rsid w:val="0D787C41"/>
    <w:rsid w:val="0E320E7D"/>
    <w:rsid w:val="0E5A1AC3"/>
    <w:rsid w:val="0E80380D"/>
    <w:rsid w:val="0E9208E7"/>
    <w:rsid w:val="10587512"/>
    <w:rsid w:val="105D0E37"/>
    <w:rsid w:val="10763B6E"/>
    <w:rsid w:val="10916BDA"/>
    <w:rsid w:val="109A294A"/>
    <w:rsid w:val="10A61FE0"/>
    <w:rsid w:val="11036B00"/>
    <w:rsid w:val="11301FEB"/>
    <w:rsid w:val="11B6451D"/>
    <w:rsid w:val="121E62E8"/>
    <w:rsid w:val="12F73D8C"/>
    <w:rsid w:val="13250CB5"/>
    <w:rsid w:val="13B90437"/>
    <w:rsid w:val="13E15C2A"/>
    <w:rsid w:val="14494107"/>
    <w:rsid w:val="14B53775"/>
    <w:rsid w:val="14B603A7"/>
    <w:rsid w:val="14CE4900"/>
    <w:rsid w:val="1527552E"/>
    <w:rsid w:val="161F6D63"/>
    <w:rsid w:val="16936E30"/>
    <w:rsid w:val="1697741D"/>
    <w:rsid w:val="169D4BA9"/>
    <w:rsid w:val="17884E38"/>
    <w:rsid w:val="1799232A"/>
    <w:rsid w:val="19A215AC"/>
    <w:rsid w:val="19CF45FB"/>
    <w:rsid w:val="1A132B78"/>
    <w:rsid w:val="1AC437A4"/>
    <w:rsid w:val="1AC76DF0"/>
    <w:rsid w:val="1B153D26"/>
    <w:rsid w:val="1B6603B7"/>
    <w:rsid w:val="1B767FFC"/>
    <w:rsid w:val="1BCA6A25"/>
    <w:rsid w:val="1BEB54C3"/>
    <w:rsid w:val="1C3C6084"/>
    <w:rsid w:val="1C8C02F2"/>
    <w:rsid w:val="1D3E1AFE"/>
    <w:rsid w:val="1DF028D5"/>
    <w:rsid w:val="1E6432D4"/>
    <w:rsid w:val="1E7D5652"/>
    <w:rsid w:val="1E89232D"/>
    <w:rsid w:val="1EB61656"/>
    <w:rsid w:val="1ED64821"/>
    <w:rsid w:val="20407429"/>
    <w:rsid w:val="20C4246A"/>
    <w:rsid w:val="20CF3CE4"/>
    <w:rsid w:val="20DD55C0"/>
    <w:rsid w:val="21EB5F4C"/>
    <w:rsid w:val="22922CB8"/>
    <w:rsid w:val="22DB78DD"/>
    <w:rsid w:val="2361109A"/>
    <w:rsid w:val="244D65B8"/>
    <w:rsid w:val="2492221D"/>
    <w:rsid w:val="24B42D8E"/>
    <w:rsid w:val="250855AF"/>
    <w:rsid w:val="258B383C"/>
    <w:rsid w:val="25B96C70"/>
    <w:rsid w:val="262A0C08"/>
    <w:rsid w:val="263B5F44"/>
    <w:rsid w:val="263B7010"/>
    <w:rsid w:val="26B4291F"/>
    <w:rsid w:val="26BD282A"/>
    <w:rsid w:val="26E769FA"/>
    <w:rsid w:val="279D398E"/>
    <w:rsid w:val="286D65BC"/>
    <w:rsid w:val="288F421B"/>
    <w:rsid w:val="28D9041B"/>
    <w:rsid w:val="293B2E83"/>
    <w:rsid w:val="29747D6C"/>
    <w:rsid w:val="29CB61A5"/>
    <w:rsid w:val="2AAE086C"/>
    <w:rsid w:val="2AFC4894"/>
    <w:rsid w:val="2B3A05DE"/>
    <w:rsid w:val="2B4804F0"/>
    <w:rsid w:val="2B6901C6"/>
    <w:rsid w:val="2C106109"/>
    <w:rsid w:val="2CB01DDA"/>
    <w:rsid w:val="2D2C6856"/>
    <w:rsid w:val="2D480265"/>
    <w:rsid w:val="2D977453"/>
    <w:rsid w:val="2DB17BFD"/>
    <w:rsid w:val="2DFA177E"/>
    <w:rsid w:val="2E2943BA"/>
    <w:rsid w:val="2EF22236"/>
    <w:rsid w:val="2F8F1814"/>
    <w:rsid w:val="2FEA5603"/>
    <w:rsid w:val="2FED29FE"/>
    <w:rsid w:val="300E1D4A"/>
    <w:rsid w:val="3038243B"/>
    <w:rsid w:val="30B05F05"/>
    <w:rsid w:val="30CE2851"/>
    <w:rsid w:val="310F3573"/>
    <w:rsid w:val="32D560F7"/>
    <w:rsid w:val="334C7AC1"/>
    <w:rsid w:val="33A14085"/>
    <w:rsid w:val="33A76F60"/>
    <w:rsid w:val="341E7629"/>
    <w:rsid w:val="348008F1"/>
    <w:rsid w:val="351305C8"/>
    <w:rsid w:val="356154A3"/>
    <w:rsid w:val="35A804C7"/>
    <w:rsid w:val="35F117C8"/>
    <w:rsid w:val="361E7731"/>
    <w:rsid w:val="36762AAD"/>
    <w:rsid w:val="373830ED"/>
    <w:rsid w:val="38284F1B"/>
    <w:rsid w:val="39B0409D"/>
    <w:rsid w:val="3A5E23D3"/>
    <w:rsid w:val="3A6E266D"/>
    <w:rsid w:val="3AE81E74"/>
    <w:rsid w:val="3B2B212C"/>
    <w:rsid w:val="3BB07CBB"/>
    <w:rsid w:val="3BCB4C31"/>
    <w:rsid w:val="3BE45FB7"/>
    <w:rsid w:val="3BF21AC7"/>
    <w:rsid w:val="3C013037"/>
    <w:rsid w:val="3CC23B8A"/>
    <w:rsid w:val="3CF20E4E"/>
    <w:rsid w:val="3E2C227B"/>
    <w:rsid w:val="3F970061"/>
    <w:rsid w:val="3FDF4D23"/>
    <w:rsid w:val="41083B3B"/>
    <w:rsid w:val="41270465"/>
    <w:rsid w:val="41C96C25"/>
    <w:rsid w:val="41DB2FFE"/>
    <w:rsid w:val="41E73B64"/>
    <w:rsid w:val="42300C0D"/>
    <w:rsid w:val="42F779C3"/>
    <w:rsid w:val="431E0AA1"/>
    <w:rsid w:val="43502DA9"/>
    <w:rsid w:val="43C26223"/>
    <w:rsid w:val="43D8307E"/>
    <w:rsid w:val="44124B27"/>
    <w:rsid w:val="44135A58"/>
    <w:rsid w:val="44507CD3"/>
    <w:rsid w:val="44AF5181"/>
    <w:rsid w:val="4514262D"/>
    <w:rsid w:val="4536797B"/>
    <w:rsid w:val="454937BA"/>
    <w:rsid w:val="455A018C"/>
    <w:rsid w:val="45C96E92"/>
    <w:rsid w:val="4679192E"/>
    <w:rsid w:val="46B02CAB"/>
    <w:rsid w:val="46CE3131"/>
    <w:rsid w:val="46D12E2A"/>
    <w:rsid w:val="47207E67"/>
    <w:rsid w:val="474038F5"/>
    <w:rsid w:val="47954D42"/>
    <w:rsid w:val="48137898"/>
    <w:rsid w:val="487A2378"/>
    <w:rsid w:val="49220801"/>
    <w:rsid w:val="493059DD"/>
    <w:rsid w:val="494F7907"/>
    <w:rsid w:val="498A4616"/>
    <w:rsid w:val="4A244A74"/>
    <w:rsid w:val="4A68189F"/>
    <w:rsid w:val="4ABE04B3"/>
    <w:rsid w:val="4ADF73DC"/>
    <w:rsid w:val="4B1B26BD"/>
    <w:rsid w:val="4B315A3D"/>
    <w:rsid w:val="4C0055E5"/>
    <w:rsid w:val="4C140E4A"/>
    <w:rsid w:val="4C3677AE"/>
    <w:rsid w:val="4C706B3A"/>
    <w:rsid w:val="4D4A773D"/>
    <w:rsid w:val="4E7716E5"/>
    <w:rsid w:val="4F3B332E"/>
    <w:rsid w:val="4F5155E8"/>
    <w:rsid w:val="50AC42C2"/>
    <w:rsid w:val="51C15CED"/>
    <w:rsid w:val="52285DEB"/>
    <w:rsid w:val="52493F1B"/>
    <w:rsid w:val="52650DED"/>
    <w:rsid w:val="52AD62F0"/>
    <w:rsid w:val="535B2E50"/>
    <w:rsid w:val="539564AD"/>
    <w:rsid w:val="53A94D0A"/>
    <w:rsid w:val="546308FE"/>
    <w:rsid w:val="55211473"/>
    <w:rsid w:val="55300100"/>
    <w:rsid w:val="554738F5"/>
    <w:rsid w:val="55D44206"/>
    <w:rsid w:val="565005FD"/>
    <w:rsid w:val="56FE59C9"/>
    <w:rsid w:val="570D735E"/>
    <w:rsid w:val="571B2674"/>
    <w:rsid w:val="57F30BC2"/>
    <w:rsid w:val="580402F6"/>
    <w:rsid w:val="58457DE0"/>
    <w:rsid w:val="589917F1"/>
    <w:rsid w:val="59114FB0"/>
    <w:rsid w:val="59B241EC"/>
    <w:rsid w:val="5A5E27F6"/>
    <w:rsid w:val="5A704801"/>
    <w:rsid w:val="5A8C5E4D"/>
    <w:rsid w:val="5AED2A9A"/>
    <w:rsid w:val="5BE96957"/>
    <w:rsid w:val="5C1550E4"/>
    <w:rsid w:val="5D9E1657"/>
    <w:rsid w:val="5DD33646"/>
    <w:rsid w:val="5E225DE5"/>
    <w:rsid w:val="5E257683"/>
    <w:rsid w:val="5E7802BC"/>
    <w:rsid w:val="5ECC5796"/>
    <w:rsid w:val="5EE078B0"/>
    <w:rsid w:val="5F0D5523"/>
    <w:rsid w:val="5F1A387E"/>
    <w:rsid w:val="5F2346ED"/>
    <w:rsid w:val="5F70758B"/>
    <w:rsid w:val="600608F3"/>
    <w:rsid w:val="60361FF1"/>
    <w:rsid w:val="61086613"/>
    <w:rsid w:val="6136297C"/>
    <w:rsid w:val="61686204"/>
    <w:rsid w:val="6264757B"/>
    <w:rsid w:val="62917095"/>
    <w:rsid w:val="630E06E5"/>
    <w:rsid w:val="636E7AD0"/>
    <w:rsid w:val="639456EF"/>
    <w:rsid w:val="63E62B35"/>
    <w:rsid w:val="6408782B"/>
    <w:rsid w:val="65156AE4"/>
    <w:rsid w:val="65322CBF"/>
    <w:rsid w:val="65B35574"/>
    <w:rsid w:val="65C658ED"/>
    <w:rsid w:val="65DB33A7"/>
    <w:rsid w:val="68C53D72"/>
    <w:rsid w:val="68CC52CB"/>
    <w:rsid w:val="68DE4FFE"/>
    <w:rsid w:val="691B0000"/>
    <w:rsid w:val="691E1E82"/>
    <w:rsid w:val="694B58D7"/>
    <w:rsid w:val="69CE4E15"/>
    <w:rsid w:val="6A6A07CF"/>
    <w:rsid w:val="6A7964A2"/>
    <w:rsid w:val="6AA9740B"/>
    <w:rsid w:val="6B3E7E06"/>
    <w:rsid w:val="6B5E2426"/>
    <w:rsid w:val="6B7F3246"/>
    <w:rsid w:val="6BF904A6"/>
    <w:rsid w:val="6C272649"/>
    <w:rsid w:val="6C355C98"/>
    <w:rsid w:val="6CB5251A"/>
    <w:rsid w:val="6CD429A0"/>
    <w:rsid w:val="6D201119"/>
    <w:rsid w:val="6DE568D8"/>
    <w:rsid w:val="6DF36EF3"/>
    <w:rsid w:val="6EED1FF5"/>
    <w:rsid w:val="6EF07839"/>
    <w:rsid w:val="6F63000B"/>
    <w:rsid w:val="6FCF0C72"/>
    <w:rsid w:val="6FEC4AAF"/>
    <w:rsid w:val="706630F4"/>
    <w:rsid w:val="71180778"/>
    <w:rsid w:val="71500A63"/>
    <w:rsid w:val="717C1858"/>
    <w:rsid w:val="71FE5252"/>
    <w:rsid w:val="7243332A"/>
    <w:rsid w:val="72622B6E"/>
    <w:rsid w:val="729F75AC"/>
    <w:rsid w:val="72B56DCF"/>
    <w:rsid w:val="72D40A08"/>
    <w:rsid w:val="72E964BC"/>
    <w:rsid w:val="732032ED"/>
    <w:rsid w:val="73303587"/>
    <w:rsid w:val="735C7C42"/>
    <w:rsid w:val="73827E52"/>
    <w:rsid w:val="73C053F4"/>
    <w:rsid w:val="73F11447"/>
    <w:rsid w:val="748C590E"/>
    <w:rsid w:val="74D07EF1"/>
    <w:rsid w:val="751B7C2F"/>
    <w:rsid w:val="75AA67E1"/>
    <w:rsid w:val="75B570E6"/>
    <w:rsid w:val="75BF3AC1"/>
    <w:rsid w:val="75FF512B"/>
    <w:rsid w:val="76E70ADA"/>
    <w:rsid w:val="7706409E"/>
    <w:rsid w:val="776B03F9"/>
    <w:rsid w:val="7797777E"/>
    <w:rsid w:val="780A1873"/>
    <w:rsid w:val="787D11B8"/>
    <w:rsid w:val="78941160"/>
    <w:rsid w:val="78A771BA"/>
    <w:rsid w:val="78AC6820"/>
    <w:rsid w:val="792C5912"/>
    <w:rsid w:val="7AB85413"/>
    <w:rsid w:val="7BBE3800"/>
    <w:rsid w:val="7BCE7BD3"/>
    <w:rsid w:val="7C005411"/>
    <w:rsid w:val="7CBA4FE2"/>
    <w:rsid w:val="7D06612B"/>
    <w:rsid w:val="7E135BD2"/>
    <w:rsid w:val="7E880152"/>
    <w:rsid w:val="7E8B30DA"/>
    <w:rsid w:val="7E9D06A9"/>
    <w:rsid w:val="7EE63253"/>
    <w:rsid w:val="7F9E3CA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paragraph" w:customStyle="1" w:styleId="1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38</Pages>
  <Words>318</Words>
  <Characters>336</Characters>
  <Lines>0</Lines>
  <Paragraphs>0</Paragraphs>
  <TotalTime>0</TotalTime>
  <ScaleCrop>false</ScaleCrop>
  <LinksUpToDate>false</LinksUpToDate>
  <CharactersWithSpaces>341</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2025-05-29T09:56:31Z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D181B636934A4472B959628E8D396D33_13</vt:lpwstr>
  </property>
  <property fmtid="{D5CDD505-2E9C-101B-9397-08002B2CF9AE}" pid="4" name="KSOTemplateDocerSaveRecord">
    <vt:lpwstr>eyJoZGlkIjoiN2EyMTIxNTJlMjY2NjM5NjdjYmYwZjVhYjA4ZGEwODEiLCJ1c2VySWQiOiI0MjYzNjAxNTMifQ==</vt:lpwstr>
  </property>
</Properties>
</file>