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方正小标宋_GBK" w:hAnsi="宋体" w:eastAsia="方正小标宋_GBK"/>
          <w:kern w:val="0"/>
          <w:sz w:val="44"/>
          <w:szCs w:val="44"/>
        </w:rPr>
      </w:pPr>
    </w:p>
    <w:p>
      <w:pPr>
        <w:pStyle w:val="2"/>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中共呼图壁县委员会组织部</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2025年部门预算公开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2025年中共呼图县委员会组织部部门概况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2025年部门预算公开表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国有资本经营预算支出情况表</w:t>
      </w:r>
    </w:p>
    <w:p>
      <w:pPr>
        <w:spacing w:line="60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十、财政拨款“三公”经费支出情况表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w:t>
      </w:r>
      <w:r>
        <w:rPr>
          <w:rFonts w:hint="eastAsia" w:ascii="仿宋_GB2312" w:hAnsi="仿宋_GB2312" w:eastAsia="仿宋_GB2312" w:cs="仿宋_GB2312"/>
          <w:kern w:val="0"/>
          <w:sz w:val="32"/>
          <w:szCs w:val="32"/>
          <w:lang w:eastAsia="zh-Hans"/>
        </w:rPr>
        <w:t>上年结转</w:t>
      </w:r>
      <w:r>
        <w:rPr>
          <w:rFonts w:hint="eastAsia" w:ascii="仿宋_GB2312" w:hAnsi="仿宋_GB2312" w:eastAsia="仿宋_GB2312" w:cs="仿宋_GB2312"/>
          <w:kern w:val="0"/>
          <w:sz w:val="32"/>
          <w:szCs w:val="32"/>
        </w:rPr>
        <w:t>结余</w:t>
      </w:r>
      <w:r>
        <w:rPr>
          <w:rFonts w:hint="eastAsia" w:ascii="仿宋_GB2312" w:hAnsi="仿宋_GB2312" w:eastAsia="仿宋_GB2312" w:cs="仿宋_GB2312"/>
          <w:kern w:val="0"/>
          <w:sz w:val="32"/>
          <w:szCs w:val="32"/>
          <w:lang w:eastAsia="zh-Hans"/>
        </w:rPr>
        <w:t>情况明细表</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2025年部门预算情况说明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一、关于中共呼图壁县委员会组织部中共呼图县委员会组织部2025年收支预算情况的总体说明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二、关于中共呼图县委员会组织部2025年收入预算情况说明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三、关于中共呼图县委员会组织部2025年支出预算情况说明</w:t>
      </w:r>
    </w:p>
    <w:p>
      <w:pPr>
        <w:spacing w:line="60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四、关于中共呼图县委员会组织部2025年财政拨款收支预算情况的总体说明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关于中共呼图县委员会组织部2025年一般公共预算当年拨款情况说明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关于中共呼图县委员会组织部2025年一般公共预算基本支出情况说明</w:t>
      </w:r>
    </w:p>
    <w:p>
      <w:pPr>
        <w:spacing w:line="600" w:lineRule="exact"/>
        <w:ind w:firstLine="640" w:firstLineChars="200"/>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关于中共呼图县委员会组织部2025年一般公共预算项目支出情况说明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、关于中共呼图县委员会组织部2025年政府性基金预算拨款情况说明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关于中共呼图县委员会组织部2025年国有资本经营预算拨款情况说明</w:t>
      </w:r>
    </w:p>
    <w:p>
      <w:pPr>
        <w:spacing w:line="60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、关于中共呼图县委员会组织部2025年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w:t>
      </w:r>
      <w:r>
        <w:rPr>
          <w:rFonts w:hint="eastAsia" w:ascii="仿宋_GB2312" w:hAnsi="仿宋_GB2312" w:eastAsia="仿宋_GB2312" w:cs="仿宋_GB2312"/>
          <w:kern w:val="0"/>
          <w:sz w:val="32"/>
          <w:szCs w:val="32"/>
          <w:lang w:eastAsia="zh-Hans"/>
        </w:rPr>
        <w:t>一</w:t>
      </w:r>
      <w:r>
        <w:rPr>
          <w:rFonts w:hint="eastAsia" w:ascii="仿宋_GB2312" w:hAnsi="仿宋_GB2312" w:eastAsia="仿宋_GB2312" w:cs="仿宋_GB2312"/>
          <w:kern w:val="0"/>
          <w:sz w:val="32"/>
          <w:szCs w:val="32"/>
        </w:rPr>
        <w:t>、关于中共呼图县委员会组织部2025年上年结转结余预算情况说明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fmt="numberInDash"/>
          <w:cols w:space="720" w:num="1"/>
          <w:docGrid w:linePitch="312" w:charSpace="0"/>
        </w:sectPr>
      </w:pPr>
    </w:p>
    <w:p>
      <w:pPr>
        <w:widowControl/>
        <w:spacing w:line="540" w:lineRule="exact"/>
        <w:jc w:val="center"/>
        <w:outlineLvl w:val="1"/>
        <w:rPr>
          <w:rFonts w:ascii="黑体" w:hAnsi="黑体" w:eastAsia="黑体"/>
          <w:kern w:val="0"/>
          <w:sz w:val="32"/>
          <w:szCs w:val="32"/>
        </w:rPr>
      </w:pPr>
      <w:r>
        <w:rPr>
          <w:rFonts w:hint="eastAsia" w:ascii="黑体" w:hAnsi="黑体" w:eastAsia="黑体"/>
          <w:kern w:val="0"/>
          <w:sz w:val="32"/>
          <w:szCs w:val="32"/>
        </w:rPr>
        <w:t>第一部分   2025年中共呼图县委员会组织部部门概况</w:t>
      </w:r>
    </w:p>
    <w:p>
      <w:pPr>
        <w:widowControl/>
        <w:spacing w:line="540" w:lineRule="exact"/>
        <w:jc w:val="center"/>
        <w:outlineLvl w:val="1"/>
        <w:rPr>
          <w:rFonts w:ascii="宋体" w:hAnsi="宋体"/>
          <w:b/>
          <w:kern w:val="0"/>
          <w:sz w:val="32"/>
          <w:szCs w:val="32"/>
        </w:rPr>
      </w:pP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共呼图壁县委员会组织部（直属机关工作委员会、老干部局、县公务员局）负责贯彻落实党中央关于组织体系、领导班子建设，领导干部队伍、公务员队伍、人才队伍建设和离退休干部工作的方针政策、决策部署和自治区、自治州、县党委的工作要求，把坚持和加强党对组织体系、领导班子建设，领导干部队伍，公务员队伍、人才队伍建设和离退休干部工作的集中统一领导落实到履行职责过程中。主要职责是：</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（一）负责党的组织制度建设；</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（二）负责基支组织和党员队伍建设；</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（三）负责领导班子和领导干部队伍特别是优秀年轻干部队伍建设；</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（四）负责公务员队伍建设；</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（五）负责人才工作；</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（六）负责干部队伍建设宏观指导和干部教育培训、管理监督、综合（绩效）考核工作；</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（七）负责干部人才援疆工作</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（八）负责党的建设和组织工作研究；</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（九）统一规划、组织部署县属机关党的工作，指导基层党组织开展党的政治建设、思想建设、组织建设和作风建设、做好对党员的管理教育工作，并进行监督检查；</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（十）统一管理离退休干部工作，负责指导全县离退休干部政治建设、思想建设和党组织建设，组织协调开展离退休干部各项活动等工作。</w:t>
      </w:r>
    </w:p>
    <w:p>
      <w:pPr>
        <w:widowControl/>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（十一）统一管理中共呼图壁县委员会机构编制委员会办公室。</w:t>
      </w:r>
    </w:p>
    <w:p>
      <w:pPr>
        <w:widowControl/>
        <w:spacing w:line="560" w:lineRule="exact"/>
        <w:ind w:firstLine="640" w:firstLineChars="200"/>
        <w:rPr>
          <w:rFonts w:ascii="仿宋_GB2312" w:hAnsi="宋体" w:eastAsia="仿宋_GB2312" w:cs="宋体"/>
          <w:bCs/>
          <w:kern w:val="0"/>
          <w:sz w:val="32"/>
          <w:szCs w:val="32"/>
        </w:rPr>
      </w:pPr>
      <w:r>
        <w:rPr>
          <w:rFonts w:hint="eastAsia" w:ascii="仿宋_GB2312" w:hAnsi="仿宋_GB2312" w:eastAsia="仿宋_GB2312" w:cs="仿宋_GB2312"/>
          <w:sz w:val="32"/>
          <w:szCs w:val="32"/>
        </w:rPr>
        <w:t>（十二）完成县委交办的其他任务。</w:t>
      </w:r>
    </w:p>
    <w:p>
      <w:pPr>
        <w:widowControl/>
        <w:spacing w:line="540" w:lineRule="exact"/>
        <w:ind w:firstLine="643" w:firstLineChars="200"/>
        <w:jc w:val="left"/>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中共呼图壁县委组织部</w:t>
      </w:r>
      <w:r>
        <w:rPr>
          <w:rFonts w:hint="eastAsia" w:ascii="仿宋_GB2312" w:hAnsi="宋体" w:eastAsia="仿宋_GB2312" w:cs="宋体"/>
          <w:kern w:val="0"/>
          <w:sz w:val="32"/>
          <w:szCs w:val="32"/>
        </w:rPr>
        <w:t>的预算</w:t>
      </w:r>
      <w:r>
        <w:rPr>
          <w:rFonts w:hint="eastAsia" w:ascii="仿宋_GB2312" w:hAnsi="仿宋_GB2312" w:eastAsia="仿宋_GB2312" w:cs="仿宋_GB2312"/>
          <w:sz w:val="32"/>
          <w:szCs w:val="32"/>
        </w:rPr>
        <w:t>无下属预算单位，下设8个处室，分别是：办公室（组织人事科）、组织一科（党代表联络办）、组织二科、干部科（公务员管理科）、老干部科、调查研究科（干部教育科）、人才科（人才援疆科）、干部监督科（巡视巡察审计整改工作办公室、举报中心）。</w:t>
      </w:r>
    </w:p>
    <w:p>
      <w:pPr>
        <w:pStyle w:val="2"/>
      </w:pPr>
    </w:p>
    <w:p>
      <w:pPr>
        <w:widowControl/>
        <w:spacing w:line="540" w:lineRule="exact"/>
        <w:ind w:firstLine="640" w:firstLineChars="200"/>
        <w:jc w:val="left"/>
        <w:rPr>
          <w:rFonts w:ascii="仿宋_GB2312" w:hAnsi="宋体" w:eastAsia="仿宋_GB2312" w:cs="宋体"/>
          <w:kern w:val="0"/>
          <w:sz w:val="32"/>
          <w:szCs w:val="32"/>
        </w:rPr>
      </w:pPr>
      <w:r>
        <w:rPr>
          <w:rFonts w:hint="eastAsia" w:ascii="仿宋_GB2312" w:hAnsi="仿宋_GB2312" w:eastAsia="仿宋_GB2312" w:cs="仿宋_GB2312"/>
          <w:sz w:val="32"/>
          <w:szCs w:val="32"/>
        </w:rPr>
        <w:t>中共呼图壁县委员会组织部</w:t>
      </w:r>
      <w:r>
        <w:rPr>
          <w:rFonts w:hint="eastAsia" w:ascii="仿宋_GB2312" w:hAnsi="宋体" w:eastAsia="仿宋_GB2312" w:cs="宋体"/>
          <w:kern w:val="0"/>
          <w:sz w:val="32"/>
          <w:szCs w:val="32"/>
        </w:rPr>
        <w:t>部门编制数51，实有人数45人，其中：在职32人，增加6人； 退休12人，增加11人；离休1人，增加1人。</w:t>
      </w: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pStyle w:val="2"/>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 xml:space="preserve">第二部分  </w:t>
      </w:r>
      <w:r>
        <w:rPr>
          <w:rFonts w:hint="eastAsia" w:ascii="仿宋_GB2312" w:hAnsi="仿宋_GB2312" w:eastAsia="仿宋_GB2312" w:cs="仿宋_GB2312"/>
          <w:b/>
          <w:kern w:val="0"/>
          <w:sz w:val="32"/>
          <w:szCs w:val="32"/>
        </w:rPr>
        <w:t>中共呼图县委员会组织部2025年</w:t>
      </w:r>
      <w:r>
        <w:rPr>
          <w:rFonts w:hint="eastAsia" w:ascii="黑体" w:hAnsi="黑体" w:eastAsia="黑体"/>
          <w:kern w:val="0"/>
          <w:sz w:val="32"/>
          <w:szCs w:val="32"/>
        </w:rPr>
        <w:t>部门预算公开表</w:t>
      </w:r>
    </w:p>
    <w:p>
      <w:pPr>
        <w:widowControl/>
        <w:spacing w:line="240" w:lineRule="exact"/>
        <w:jc w:val="left"/>
        <w:textAlignment w:val="bottom"/>
        <w:rPr>
          <w:rFonts w:ascii="宋体" w:hAnsi="宋体" w:cs="宋体"/>
          <w:kern w:val="0"/>
          <w:sz w:val="20"/>
          <w:szCs w:val="20"/>
          <w:lang w:bidi="ar"/>
        </w:rPr>
      </w:pPr>
    </w:p>
    <w:p>
      <w:pPr>
        <w:widowControl/>
        <w:spacing w:line="240" w:lineRule="exact"/>
        <w:jc w:val="left"/>
        <w:textAlignment w:val="bottom"/>
        <w:rPr>
          <w:rFonts w:ascii="宋体" w:hAnsi="宋体" w:cs="宋体"/>
          <w:kern w:val="0"/>
          <w:sz w:val="20"/>
          <w:szCs w:val="20"/>
          <w:lang w:bidi="ar"/>
        </w:rPr>
      </w:pPr>
      <w:r>
        <w:rPr>
          <w:rFonts w:hint="eastAsia" w:ascii="宋体" w:hAnsi="宋体" w:cs="宋体"/>
          <w:kern w:val="0"/>
          <w:sz w:val="20"/>
          <w:szCs w:val="20"/>
          <w:lang w:bidi="ar"/>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编制部门：中共呼图壁县委员会组织部                          单位：万元</w:t>
      </w:r>
    </w:p>
    <w:tbl>
      <w:tblPr>
        <w:tblStyle w:val="10"/>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2092.85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1801.6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1585.58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1578.38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7.2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150.89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88.15</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507.27</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551.1</w:t>
            </w:r>
          </w:p>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w:t>
            </w:r>
            <w:r>
              <w:rPr>
                <w:rFonts w:hint="eastAsia" w:ascii="仿宋_GB2312" w:hAnsi="宋体" w:eastAsia="仿宋_GB2312" w:cs="宋体"/>
                <w:kern w:val="0"/>
                <w:sz w:val="18"/>
                <w:szCs w:val="18"/>
                <w:lang w:eastAsia="zh-Hans"/>
              </w:rPr>
              <w:t>工业</w:t>
            </w:r>
            <w:r>
              <w:rPr>
                <w:rFonts w:hint="eastAsia" w:ascii="仿宋_GB2312" w:hAnsi="宋体" w:eastAsia="仿宋_GB2312" w:cs="宋体"/>
                <w:kern w:val="0"/>
                <w:sz w:val="18"/>
                <w:szCs w:val="18"/>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507.27</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928.31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928.31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928.31</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429.41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5"/>
                <w:szCs w:val="15"/>
              </w:rPr>
            </w:pPr>
            <w:r>
              <w:rPr>
                <w:rFonts w:hint="eastAsia" w:ascii="仿宋_GB2312" w:hAnsi="宋体" w:eastAsia="仿宋_GB2312" w:cs="宋体"/>
                <w:kern w:val="0"/>
                <w:sz w:val="18"/>
                <w:szCs w:val="18"/>
              </w:rPr>
              <w:t>230 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3021.16</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3021.16　</w:t>
            </w:r>
          </w:p>
        </w:tc>
      </w:tr>
    </w:tbl>
    <w:p>
      <w:pPr>
        <w:widowControl/>
        <w:jc w:val="left"/>
        <w:textAlignment w:val="bottom"/>
        <w:rPr>
          <w:rFonts w:ascii="宋体" w:hAnsi="宋体" w:cs="宋体"/>
          <w:kern w:val="0"/>
          <w:sz w:val="20"/>
          <w:szCs w:val="20"/>
          <w:lang w:bidi="ar"/>
        </w:rPr>
        <w:sectPr>
          <w:footerReference r:id="rId5" w:type="default"/>
          <w:pgSz w:w="11906" w:h="16838"/>
          <w:pgMar w:top="2098" w:right="1531" w:bottom="1984" w:left="1531" w:header="851" w:footer="992" w:gutter="0"/>
          <w:pgNumType w:fmt="numberInDash"/>
          <w:cols w:space="720" w:num="1"/>
          <w:docGrid w:linePitch="312" w:charSpace="0"/>
        </w:sect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部门收入总体情况表</w:t>
      </w:r>
    </w:p>
    <w:p>
      <w:pPr>
        <w:widowControl/>
        <w:jc w:val="left"/>
        <w:outlineLvl w:val="1"/>
        <w:rPr>
          <w:rFonts w:ascii="仿宋_GB2312" w:hAnsi="宋体" w:eastAsia="仿宋_GB2312"/>
          <w:kern w:val="0"/>
          <w:sz w:val="24"/>
        </w:rPr>
      </w:pPr>
      <w:r>
        <w:rPr>
          <w:rFonts w:hint="eastAsia" w:ascii="仿宋_GB2312" w:hAnsi="宋体" w:eastAsia="仿宋_GB2312"/>
          <w:kern w:val="0"/>
          <w:sz w:val="24"/>
        </w:rPr>
        <w:t>编制部门：中共呼图壁县委员会组织部                                                                      单位：万元</w:t>
      </w:r>
    </w:p>
    <w:tbl>
      <w:tblPr>
        <w:tblStyle w:val="10"/>
        <w:tblW w:w="0" w:type="auto"/>
        <w:tblInd w:w="0" w:type="dxa"/>
        <w:tblLayout w:type="fixed"/>
        <w:tblCellMar>
          <w:top w:w="0" w:type="dxa"/>
          <w:left w:w="108" w:type="dxa"/>
          <w:bottom w:w="0" w:type="dxa"/>
          <w:right w:w="108" w:type="dxa"/>
        </w:tblCellMar>
      </w:tblPr>
      <w:tblGrid>
        <w:gridCol w:w="687"/>
        <w:gridCol w:w="555"/>
        <w:gridCol w:w="567"/>
        <w:gridCol w:w="2410"/>
        <w:gridCol w:w="992"/>
        <w:gridCol w:w="993"/>
        <w:gridCol w:w="992"/>
        <w:gridCol w:w="850"/>
        <w:gridCol w:w="567"/>
        <w:gridCol w:w="709"/>
        <w:gridCol w:w="709"/>
        <w:gridCol w:w="850"/>
        <w:gridCol w:w="709"/>
        <w:gridCol w:w="851"/>
        <w:gridCol w:w="850"/>
        <w:gridCol w:w="927"/>
      </w:tblGrid>
      <w:tr>
        <w:tblPrEx>
          <w:tblCellMar>
            <w:top w:w="0" w:type="dxa"/>
            <w:left w:w="108" w:type="dxa"/>
            <w:bottom w:w="0" w:type="dxa"/>
            <w:right w:w="108" w:type="dxa"/>
          </w:tblCellMar>
        </w:tblPrEx>
        <w:trPr>
          <w:trHeight w:val="536" w:hRule="atLeast"/>
        </w:trPr>
        <w:tc>
          <w:tcPr>
            <w:tcW w:w="1809"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18"/>
                <w:szCs w:val="18"/>
              </w:rPr>
            </w:pPr>
            <w:r>
              <w:rPr>
                <w:rFonts w:hint="eastAsia" w:ascii="仿宋_GB2312" w:eastAsia="仿宋_GB2312"/>
                <w:b/>
                <w:sz w:val="18"/>
                <w:szCs w:val="18"/>
              </w:rPr>
              <w:t>功能分类科目编码</w:t>
            </w:r>
          </w:p>
        </w:tc>
        <w:tc>
          <w:tcPr>
            <w:tcW w:w="241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18"/>
                <w:szCs w:val="18"/>
              </w:rPr>
            </w:pPr>
            <w:r>
              <w:rPr>
                <w:rFonts w:hint="eastAsia" w:ascii="仿宋_GB2312" w:eastAsia="仿宋_GB2312"/>
                <w:b/>
                <w:sz w:val="18"/>
                <w:szCs w:val="18"/>
              </w:rPr>
              <w:t>功能分类科目名称</w:t>
            </w:r>
          </w:p>
        </w:tc>
        <w:tc>
          <w:tcPr>
            <w:tcW w:w="99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sz w:val="18"/>
                <w:szCs w:val="18"/>
              </w:rPr>
            </w:pPr>
            <w:r>
              <w:rPr>
                <w:rFonts w:hint="eastAsia" w:ascii="仿宋_GB2312" w:eastAsia="仿宋_GB2312"/>
                <w:b/>
                <w:sz w:val="18"/>
                <w:szCs w:val="18"/>
              </w:rPr>
              <w:t>总  计</w:t>
            </w:r>
          </w:p>
        </w:tc>
        <w:tc>
          <w:tcPr>
            <w:tcW w:w="56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sz w:val="18"/>
                <w:szCs w:val="18"/>
              </w:rPr>
            </w:pPr>
            <w:r>
              <w:rPr>
                <w:rFonts w:hint="eastAsia" w:ascii="仿宋_GB2312" w:hAnsi="宋体" w:eastAsia="仿宋_GB2312" w:cs="宋体"/>
                <w:b/>
                <w:sz w:val="18"/>
                <w:szCs w:val="18"/>
              </w:rPr>
              <w:t>财  政  拨  款  (  补  助  )</w:t>
            </w:r>
          </w:p>
        </w:tc>
        <w:tc>
          <w:tcPr>
            <w:tcW w:w="70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财政专户（教育收费）</w:t>
            </w:r>
          </w:p>
        </w:tc>
        <w:tc>
          <w:tcPr>
            <w:tcW w:w="85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单位资金</w:t>
            </w:r>
          </w:p>
        </w:tc>
        <w:tc>
          <w:tcPr>
            <w:tcW w:w="85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财政拨款结转</w:t>
            </w:r>
          </w:p>
        </w:tc>
        <w:tc>
          <w:tcPr>
            <w:tcW w:w="927"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eastAsia="仿宋_GB2312"/>
                <w:b/>
                <w:sz w:val="18"/>
                <w:szCs w:val="18"/>
              </w:rPr>
            </w:pPr>
            <w:r>
              <w:rPr>
                <w:rFonts w:hint="eastAsia" w:ascii="仿宋_GB2312" w:eastAsia="仿宋_GB2312"/>
                <w:b/>
                <w:sz w:val="18"/>
                <w:szCs w:val="18"/>
              </w:rPr>
              <w:t>非财政拨款结转结余</w:t>
            </w:r>
          </w:p>
        </w:tc>
      </w:tr>
      <w:tr>
        <w:tblPrEx>
          <w:tblCellMar>
            <w:top w:w="0" w:type="dxa"/>
            <w:left w:w="108" w:type="dxa"/>
            <w:bottom w:w="0" w:type="dxa"/>
            <w:right w:w="108" w:type="dxa"/>
          </w:tblCellMar>
        </w:tblPrEx>
        <w:trPr>
          <w:trHeight w:val="1692" w:hRule="atLeast"/>
        </w:trPr>
        <w:tc>
          <w:tcPr>
            <w:tcW w:w="687" w:type="dxa"/>
            <w:tcBorders>
              <w:left w:val="single" w:color="auto" w:sz="4" w:space="0"/>
              <w:bottom w:val="single" w:color="auto" w:sz="4" w:space="0"/>
              <w:right w:val="single" w:color="auto" w:sz="4" w:space="0"/>
            </w:tcBorders>
            <w:vAlign w:val="center"/>
          </w:tcPr>
          <w:p>
            <w:pPr>
              <w:jc w:val="right"/>
              <w:rPr>
                <w:rFonts w:ascii="仿宋_GB2312" w:eastAsia="仿宋_GB2312"/>
                <w:b/>
                <w:sz w:val="18"/>
                <w:szCs w:val="18"/>
                <w:lang w:eastAsia="zh-Hans"/>
              </w:rPr>
            </w:pPr>
            <w:r>
              <w:rPr>
                <w:rFonts w:hint="eastAsia" w:ascii="仿宋_GB2312" w:eastAsia="仿宋_GB2312"/>
                <w:b/>
                <w:sz w:val="18"/>
                <w:szCs w:val="18"/>
                <w:lang w:eastAsia="zh-Hans"/>
              </w:rPr>
              <w:t>类</w:t>
            </w:r>
          </w:p>
        </w:tc>
        <w:tc>
          <w:tcPr>
            <w:tcW w:w="555" w:type="dxa"/>
            <w:tcBorders>
              <w:left w:val="nil"/>
              <w:bottom w:val="single" w:color="auto" w:sz="4" w:space="0"/>
              <w:right w:val="single" w:color="auto" w:sz="4" w:space="0"/>
            </w:tcBorders>
            <w:vAlign w:val="center"/>
          </w:tcPr>
          <w:p>
            <w:pPr>
              <w:jc w:val="right"/>
              <w:rPr>
                <w:rFonts w:ascii="仿宋_GB2312" w:eastAsia="仿宋_GB2312"/>
                <w:b/>
                <w:sz w:val="18"/>
                <w:szCs w:val="18"/>
                <w:lang w:eastAsia="zh-Hans"/>
              </w:rPr>
            </w:pPr>
            <w:r>
              <w:rPr>
                <w:rFonts w:hint="eastAsia" w:ascii="仿宋_GB2312" w:eastAsia="仿宋_GB2312"/>
                <w:b/>
                <w:sz w:val="18"/>
                <w:szCs w:val="18"/>
                <w:lang w:eastAsia="zh-Hans"/>
              </w:rPr>
              <w:t>款</w:t>
            </w:r>
          </w:p>
        </w:tc>
        <w:tc>
          <w:tcPr>
            <w:tcW w:w="567" w:type="dxa"/>
            <w:tcBorders>
              <w:left w:val="nil"/>
              <w:bottom w:val="single" w:color="auto" w:sz="4" w:space="0"/>
              <w:right w:val="single" w:color="auto" w:sz="4" w:space="0"/>
            </w:tcBorders>
            <w:vAlign w:val="center"/>
          </w:tcPr>
          <w:p>
            <w:pPr>
              <w:jc w:val="right"/>
              <w:rPr>
                <w:rFonts w:ascii="仿宋_GB2312" w:eastAsia="仿宋_GB2312"/>
                <w:b/>
                <w:sz w:val="18"/>
                <w:szCs w:val="18"/>
                <w:lang w:eastAsia="zh-Hans"/>
              </w:rPr>
            </w:pPr>
            <w:r>
              <w:rPr>
                <w:rFonts w:hint="eastAsia" w:ascii="仿宋_GB2312" w:eastAsia="仿宋_GB2312"/>
                <w:b/>
                <w:sz w:val="18"/>
                <w:szCs w:val="18"/>
                <w:lang w:eastAsia="zh-Hans"/>
              </w:rPr>
              <w:t>项</w:t>
            </w:r>
          </w:p>
        </w:tc>
        <w:tc>
          <w:tcPr>
            <w:tcW w:w="241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8"/>
                <w:szCs w:val="18"/>
              </w:rPr>
            </w:pPr>
          </w:p>
        </w:tc>
        <w:tc>
          <w:tcPr>
            <w:tcW w:w="99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8"/>
                <w:szCs w:val="18"/>
              </w:rPr>
            </w:pPr>
          </w:p>
        </w:tc>
        <w:tc>
          <w:tcPr>
            <w:tcW w:w="993"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8"/>
                <w:szCs w:val="18"/>
              </w:rPr>
            </w:pPr>
            <w:r>
              <w:rPr>
                <w:rFonts w:hint="eastAsia" w:ascii="仿宋_GB2312" w:hAnsi="宋体" w:eastAsia="仿宋_GB2312" w:cs="宋体"/>
                <w:b/>
                <w:bCs/>
                <w:sz w:val="18"/>
                <w:szCs w:val="18"/>
              </w:rPr>
              <w:t>财政拨款(补助)小计</w:t>
            </w:r>
          </w:p>
        </w:tc>
        <w:tc>
          <w:tcPr>
            <w:tcW w:w="99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8"/>
                <w:szCs w:val="18"/>
              </w:rPr>
            </w:pPr>
            <w:r>
              <w:rPr>
                <w:rFonts w:hint="eastAsia" w:ascii="仿宋_GB2312" w:hAnsi="宋体" w:eastAsia="仿宋_GB2312" w:cs="宋体"/>
                <w:b/>
                <w:bCs/>
                <w:sz w:val="18"/>
                <w:szCs w:val="18"/>
              </w:rPr>
              <w:t>一般公共预算</w:t>
            </w:r>
          </w:p>
        </w:tc>
        <w:tc>
          <w:tcPr>
            <w:tcW w:w="85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8"/>
                <w:szCs w:val="18"/>
              </w:rPr>
            </w:pPr>
            <w:r>
              <w:rPr>
                <w:rFonts w:hint="eastAsia" w:ascii="仿宋_GB2312" w:hAnsi="宋体" w:eastAsia="仿宋_GB2312" w:cs="宋体"/>
                <w:b/>
                <w:bCs/>
                <w:sz w:val="18"/>
                <w:szCs w:val="18"/>
              </w:rPr>
              <w:t>上级一般公共预算安排的转移支付</w:t>
            </w:r>
          </w:p>
        </w:tc>
        <w:tc>
          <w:tcPr>
            <w:tcW w:w="56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8"/>
                <w:szCs w:val="18"/>
              </w:rPr>
            </w:pPr>
            <w:r>
              <w:rPr>
                <w:rFonts w:hint="eastAsia" w:ascii="仿宋_GB2312" w:hAnsi="宋体" w:eastAsia="仿宋_GB2312" w:cs="宋体"/>
                <w:b/>
                <w:bCs/>
                <w:sz w:val="18"/>
                <w:szCs w:val="18"/>
              </w:rPr>
              <w:t>政府性基金预算</w:t>
            </w:r>
          </w:p>
        </w:tc>
        <w:tc>
          <w:tcPr>
            <w:tcW w:w="70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8"/>
                <w:szCs w:val="18"/>
              </w:rPr>
            </w:pPr>
            <w:r>
              <w:rPr>
                <w:rFonts w:hint="eastAsia" w:ascii="仿宋_GB2312" w:hAnsi="宋体" w:eastAsia="仿宋_GB2312" w:cs="宋体"/>
                <w:b/>
                <w:bCs/>
                <w:sz w:val="18"/>
                <w:szCs w:val="18"/>
              </w:rPr>
              <w:t>上级政府性基金安排的转移支付</w:t>
            </w:r>
          </w:p>
        </w:tc>
        <w:tc>
          <w:tcPr>
            <w:tcW w:w="709"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8"/>
                <w:szCs w:val="18"/>
              </w:rPr>
            </w:pPr>
            <w:r>
              <w:rPr>
                <w:rFonts w:hint="eastAsia" w:ascii="仿宋_GB2312" w:hAnsi="宋体" w:eastAsia="仿宋_GB2312" w:cs="宋体"/>
                <w:b/>
                <w:bCs/>
                <w:sz w:val="18"/>
                <w:szCs w:val="18"/>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sz w:val="18"/>
                <w:szCs w:val="18"/>
              </w:rPr>
            </w:pPr>
            <w:r>
              <w:rPr>
                <w:rFonts w:hint="eastAsia" w:ascii="仿宋_GB2312" w:hAnsi="宋体" w:eastAsia="仿宋_GB2312" w:cs="宋体"/>
                <w:b/>
                <w:bCs/>
                <w:sz w:val="18"/>
                <w:szCs w:val="18"/>
              </w:rPr>
              <w:t>上级国有资本经营预算安排的转移支付</w:t>
            </w:r>
          </w:p>
        </w:tc>
        <w:tc>
          <w:tcPr>
            <w:tcW w:w="709"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8"/>
                <w:szCs w:val="18"/>
              </w:rPr>
            </w:pPr>
          </w:p>
        </w:tc>
        <w:tc>
          <w:tcPr>
            <w:tcW w:w="85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8"/>
                <w:szCs w:val="18"/>
              </w:rPr>
            </w:pPr>
          </w:p>
        </w:tc>
        <w:tc>
          <w:tcPr>
            <w:tcW w:w="85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8"/>
                <w:szCs w:val="18"/>
              </w:rPr>
            </w:pPr>
          </w:p>
        </w:tc>
        <w:tc>
          <w:tcPr>
            <w:tcW w:w="927"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shd w:val="clear" w:color="auto" w:fill="auto"/>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55"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56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2410"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18"/>
                <w:szCs w:val="18"/>
              </w:rPr>
            </w:pPr>
            <w:r>
              <w:rPr>
                <w:rFonts w:hint="eastAsia" w:ascii="仿宋_GB2312" w:eastAsia="仿宋_GB2312"/>
                <w:sz w:val="18"/>
                <w:szCs w:val="18"/>
              </w:rPr>
              <w:t>一般公共服务支出</w:t>
            </w:r>
          </w:p>
        </w:tc>
        <w:tc>
          <w:tcPr>
            <w:tcW w:w="99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eastAsia="仿宋_GB2312"/>
                <w:sz w:val="18"/>
                <w:szCs w:val="18"/>
              </w:rPr>
              <w:t>1801.6</w:t>
            </w:r>
          </w:p>
        </w:tc>
        <w:tc>
          <w:tcPr>
            <w:tcW w:w="993"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eastAsia="仿宋_GB2312"/>
                <w:sz w:val="18"/>
                <w:szCs w:val="18"/>
              </w:rPr>
              <w:t>1440.33</w:t>
            </w:r>
          </w:p>
        </w:tc>
        <w:tc>
          <w:tcPr>
            <w:tcW w:w="992"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eastAsia="仿宋_GB2312"/>
                <w:sz w:val="18"/>
                <w:szCs w:val="18"/>
              </w:rPr>
              <w:t>1433.17</w:t>
            </w:r>
          </w:p>
        </w:tc>
        <w:tc>
          <w:tcPr>
            <w:tcW w:w="85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7.2</w:t>
            </w:r>
          </w:p>
        </w:tc>
        <w:tc>
          <w:tcPr>
            <w:tcW w:w="56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rPr>
            </w:pPr>
            <w:r>
              <w:rPr>
                <w:rFonts w:hint="eastAsia" w:ascii="仿宋_GB2312" w:eastAsia="仿宋_GB2312"/>
                <w:sz w:val="18"/>
                <w:szCs w:val="18"/>
              </w:rPr>
              <w:t>324.07</w:t>
            </w:r>
          </w:p>
        </w:tc>
        <w:tc>
          <w:tcPr>
            <w:tcW w:w="850"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rPr>
            </w:pPr>
            <w:r>
              <w:rPr>
                <w:rFonts w:hint="eastAsia" w:ascii="仿宋_GB2312" w:eastAsia="仿宋_GB2312"/>
                <w:sz w:val="18"/>
                <w:szCs w:val="18"/>
              </w:rPr>
              <w:t>37.2</w:t>
            </w:r>
          </w:p>
        </w:tc>
        <w:tc>
          <w:tcPr>
            <w:tcW w:w="927" w:type="dxa"/>
            <w:tcBorders>
              <w:top w:val="nil"/>
              <w:left w:val="single" w:color="auto" w:sz="4" w:space="0"/>
              <w:bottom w:val="single" w:color="auto" w:sz="4" w:space="0"/>
              <w:right w:val="single" w:color="auto" w:sz="4" w:space="0"/>
            </w:tcBorders>
            <w:shd w:val="clear" w:color="000000" w:fill="FFFFFF"/>
            <w:vAlign w:val="center"/>
          </w:tcPr>
          <w:p>
            <w:pPr>
              <w:jc w:val="center"/>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55"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241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组织事务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1801.6　</w:t>
            </w:r>
          </w:p>
        </w:tc>
        <w:tc>
          <w:tcPr>
            <w:tcW w:w="9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1440.33</w:t>
            </w:r>
          </w:p>
        </w:tc>
        <w:tc>
          <w:tcPr>
            <w:tcW w:w="99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1433.17</w:t>
            </w:r>
          </w:p>
        </w:tc>
        <w:tc>
          <w:tcPr>
            <w:tcW w:w="85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hAnsi="宋体" w:eastAsia="仿宋_GB2312" w:cs="宋体"/>
                <w:sz w:val="18"/>
                <w:szCs w:val="18"/>
              </w:rPr>
              <w:t>7.2</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324.07</w:t>
            </w:r>
          </w:p>
        </w:tc>
        <w:tc>
          <w:tcPr>
            <w:tcW w:w="850" w:type="dxa"/>
            <w:tcBorders>
              <w:top w:val="nil"/>
              <w:left w:val="single" w:color="auto" w:sz="4" w:space="0"/>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37.2</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55"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567" w:type="dxa"/>
            <w:tcBorders>
              <w:top w:val="nil"/>
              <w:left w:val="nil"/>
              <w:bottom w:val="single" w:color="auto" w:sz="4" w:space="0"/>
              <w:right w:val="single" w:color="auto" w:sz="4" w:space="0"/>
            </w:tcBorders>
            <w:vAlign w:val="center"/>
          </w:tcPr>
          <w:p>
            <w:pPr>
              <w:ind w:right="100"/>
              <w:jc w:val="center"/>
              <w:rPr>
                <w:rFonts w:ascii="仿宋_GB2312" w:hAnsi="宋体" w:eastAsia="仿宋_GB2312" w:cs="宋体"/>
                <w:sz w:val="18"/>
                <w:szCs w:val="18"/>
              </w:rPr>
            </w:pPr>
            <w:r>
              <w:rPr>
                <w:rFonts w:hint="eastAsia" w:ascii="仿宋_GB2312" w:eastAsia="仿宋_GB2312"/>
                <w:sz w:val="18"/>
                <w:szCs w:val="18"/>
              </w:rPr>
              <w:t>01</w:t>
            </w: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行政运行</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1353.29　</w:t>
            </w:r>
          </w:p>
        </w:tc>
        <w:tc>
          <w:tcPr>
            <w:tcW w:w="9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1029.22</w:t>
            </w:r>
          </w:p>
        </w:tc>
        <w:tc>
          <w:tcPr>
            <w:tcW w:w="99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1029.22</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324.07</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55"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50</w:t>
            </w: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事业运行</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158.5　</w:t>
            </w:r>
          </w:p>
        </w:tc>
        <w:tc>
          <w:tcPr>
            <w:tcW w:w="9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158.5</w:t>
            </w:r>
          </w:p>
        </w:tc>
        <w:tc>
          <w:tcPr>
            <w:tcW w:w="99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158.5</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55"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567" w:type="dxa"/>
            <w:tcBorders>
              <w:top w:val="nil"/>
              <w:left w:val="nil"/>
              <w:bottom w:val="single" w:color="auto" w:sz="4" w:space="0"/>
              <w:right w:val="single" w:color="auto" w:sz="4" w:space="0"/>
            </w:tcBorders>
            <w:vAlign w:val="center"/>
          </w:tcPr>
          <w:p>
            <w:pPr>
              <w:ind w:right="100"/>
              <w:jc w:val="center"/>
              <w:rPr>
                <w:rFonts w:ascii="仿宋_GB2312" w:hAnsi="宋体" w:eastAsia="仿宋_GB2312" w:cs="宋体"/>
                <w:sz w:val="18"/>
                <w:szCs w:val="18"/>
              </w:rPr>
            </w:pPr>
            <w:r>
              <w:rPr>
                <w:rFonts w:hint="eastAsia" w:ascii="仿宋_GB2312" w:eastAsia="仿宋_GB2312"/>
                <w:sz w:val="18"/>
                <w:szCs w:val="18"/>
              </w:rPr>
              <w:t>99</w:t>
            </w: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其他组织事务支出</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289.81　</w:t>
            </w:r>
          </w:p>
        </w:tc>
        <w:tc>
          <w:tcPr>
            <w:tcW w:w="99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252.61</w:t>
            </w:r>
          </w:p>
        </w:tc>
        <w:tc>
          <w:tcPr>
            <w:tcW w:w="99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244.96</w:t>
            </w:r>
          </w:p>
        </w:tc>
        <w:tc>
          <w:tcPr>
            <w:tcW w:w="850"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hAnsi="宋体" w:eastAsia="仿宋_GB2312" w:cs="宋体"/>
                <w:sz w:val="18"/>
                <w:szCs w:val="18"/>
              </w:rPr>
              <w:t>7.2</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37.2</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社会保障和就业支出</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150.89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60.84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60.84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90.05</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55"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　</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行政事业单位养老支出</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150.89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60.84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60.84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90.05</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55"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　</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01</w:t>
            </w: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行政单位离退休</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7.76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7.76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7.76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55"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05</w:t>
            </w: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机关事业基本养老保险缴费支出</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130.23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53.08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53.08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77.15</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55"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　</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06</w:t>
            </w: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机关事业单位职业年金缴费支出</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12.9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12.9</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210　</w:t>
            </w: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卫生健康</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88.15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40.14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40.14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48.01</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55"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行政事业单位医疗</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88.15</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40.14</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40.14</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48.01</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55"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01</w:t>
            </w: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行政单位医疗</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50.42</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15.27</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15.27</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35.15</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55"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02</w:t>
            </w: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事业单位医疗</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11.27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11.27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11.27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55"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03</w:t>
            </w: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公务员医疗补助</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26.13</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13.27</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13.27</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12.86</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55"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99</w:t>
            </w: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其他行政事业单位医疗支出</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0.33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0.33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0.33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pStyle w:val="2"/>
              <w:ind w:firstLine="90" w:firstLineChars="50"/>
              <w:rPr>
                <w:szCs w:val="18"/>
              </w:rPr>
            </w:pPr>
            <w:r>
              <w:rPr>
                <w:rFonts w:hint="eastAsia"/>
                <w:szCs w:val="18"/>
              </w:rPr>
              <w:t>212</w:t>
            </w:r>
          </w:p>
        </w:tc>
        <w:tc>
          <w:tcPr>
            <w:tcW w:w="555"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城乡社区支出</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551.1</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551.1</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212　</w:t>
            </w:r>
          </w:p>
        </w:tc>
        <w:tc>
          <w:tcPr>
            <w:tcW w:w="555" w:type="dxa"/>
            <w:tcBorders>
              <w:top w:val="nil"/>
              <w:left w:val="nil"/>
              <w:bottom w:val="single" w:color="auto" w:sz="4" w:space="0"/>
              <w:right w:val="single" w:color="auto" w:sz="4" w:space="0"/>
            </w:tcBorders>
            <w:vAlign w:val="center"/>
          </w:tcPr>
          <w:p>
            <w:pPr>
              <w:ind w:right="100"/>
              <w:jc w:val="center"/>
              <w:rPr>
                <w:rFonts w:ascii="仿宋_GB2312" w:hAnsi="宋体" w:eastAsia="仿宋_GB2312" w:cs="宋体"/>
                <w:sz w:val="18"/>
                <w:szCs w:val="18"/>
              </w:rPr>
            </w:pPr>
            <w:r>
              <w:rPr>
                <w:rFonts w:hint="eastAsia" w:ascii="仿宋_GB2312" w:eastAsia="仿宋_GB2312"/>
                <w:sz w:val="18"/>
                <w:szCs w:val="18"/>
              </w:rPr>
              <w:t>03</w:t>
            </w:r>
          </w:p>
        </w:tc>
        <w:tc>
          <w:tcPr>
            <w:tcW w:w="567"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10"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城乡社区公共设施</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551.1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551.1</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212</w:t>
            </w:r>
          </w:p>
        </w:tc>
        <w:tc>
          <w:tcPr>
            <w:tcW w:w="555"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03</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99</w:t>
            </w: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其他城乡社区公共设施支出</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551.1</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551.1</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555"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住房保障支出</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429.41</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44.27</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44.27</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45.14</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340.01</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555"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02</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住房改革支出</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89.41</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44.27</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44.27</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45.14</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55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02</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01</w:t>
            </w: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住房公积金</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89.41</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44.27</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44.27</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45.14</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pStyle w:val="2"/>
            </w:pPr>
            <w:r>
              <w:rPr>
                <w:rFonts w:hint="eastAsia"/>
              </w:rPr>
              <w:t>221</w:t>
            </w:r>
          </w:p>
        </w:tc>
        <w:tc>
          <w:tcPr>
            <w:tcW w:w="55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03</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城乡社区住宅</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340.01</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340.01</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pStyle w:val="2"/>
            </w:pPr>
            <w:r>
              <w:rPr>
                <w:rFonts w:hint="eastAsia"/>
              </w:rPr>
              <w:t>221</w:t>
            </w:r>
          </w:p>
        </w:tc>
        <w:tc>
          <w:tcPr>
            <w:tcW w:w="555"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03</w:t>
            </w:r>
          </w:p>
        </w:tc>
        <w:tc>
          <w:tcPr>
            <w:tcW w:w="567"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01</w:t>
            </w:r>
          </w:p>
        </w:tc>
        <w:tc>
          <w:tcPr>
            <w:tcW w:w="241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公有住房建设和维修改造支出</w:t>
            </w: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340.01</w:t>
            </w:r>
          </w:p>
        </w:tc>
        <w:tc>
          <w:tcPr>
            <w:tcW w:w="993"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992"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67"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nil"/>
              <w:bottom w:val="single" w:color="auto" w:sz="4" w:space="0"/>
              <w:right w:val="single" w:color="auto" w:sz="4" w:space="0"/>
            </w:tcBorders>
            <w:vAlign w:val="center"/>
          </w:tcPr>
          <w:p>
            <w:pPr>
              <w:jc w:val="right"/>
              <w:rPr>
                <w:rFonts w:ascii="仿宋_GB2312" w:eastAsia="仿宋_GB2312"/>
                <w:sz w:val="18"/>
                <w:szCs w:val="18"/>
              </w:rPr>
            </w:pP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r>
              <w:rPr>
                <w:rFonts w:hint="eastAsia" w:ascii="仿宋_GB2312" w:eastAsia="仿宋_GB2312"/>
                <w:sz w:val="18"/>
                <w:szCs w:val="18"/>
              </w:rPr>
              <w:t>340.01</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sz w:val="18"/>
                <w:szCs w:val="18"/>
              </w:rPr>
            </w:pPr>
          </w:p>
        </w:tc>
      </w:tr>
      <w:tr>
        <w:tblPrEx>
          <w:tblCellMar>
            <w:top w:w="0" w:type="dxa"/>
            <w:left w:w="108" w:type="dxa"/>
            <w:bottom w:w="0" w:type="dxa"/>
            <w:right w:w="108" w:type="dxa"/>
          </w:tblCellMar>
        </w:tblPrEx>
        <w:trPr>
          <w:cantSplit/>
          <w:trHeight w:val="113" w:hRule="atLeast"/>
        </w:trPr>
        <w:tc>
          <w:tcPr>
            <w:tcW w:w="687" w:type="dxa"/>
            <w:tcBorders>
              <w:top w:val="nil"/>
              <w:left w:val="single" w:color="auto" w:sz="4" w:space="0"/>
              <w:bottom w:val="single" w:color="auto" w:sz="4" w:space="0"/>
              <w:right w:val="single" w:color="auto" w:sz="4" w:space="0"/>
            </w:tcBorders>
            <w:vAlign w:val="center"/>
          </w:tcPr>
          <w:p>
            <w:pPr>
              <w:jc w:val="right"/>
              <w:rPr>
                <w:rFonts w:ascii="仿宋_GB2312" w:hAnsi="宋体" w:eastAsia="仿宋_GB2312" w:cs="宋体"/>
                <w:sz w:val="18"/>
                <w:szCs w:val="18"/>
              </w:rPr>
            </w:pPr>
          </w:p>
        </w:tc>
        <w:tc>
          <w:tcPr>
            <w:tcW w:w="555"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2410"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b/>
                <w:bCs/>
                <w:sz w:val="18"/>
                <w:szCs w:val="18"/>
              </w:rPr>
              <w:t>合  计</w:t>
            </w:r>
            <w:r>
              <w:rPr>
                <w:rFonts w:hint="eastAsia" w:ascii="仿宋_GB2312" w:eastAsia="仿宋_GB2312"/>
                <w:sz w:val="18"/>
                <w:szCs w:val="18"/>
              </w:rPr>
              <w:t>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18"/>
                <w:szCs w:val="18"/>
              </w:rPr>
            </w:pPr>
            <w:r>
              <w:rPr>
                <w:rFonts w:hint="eastAsia" w:ascii="仿宋_GB2312" w:eastAsia="仿宋_GB2312"/>
                <w:b/>
                <w:bCs/>
                <w:sz w:val="18"/>
                <w:szCs w:val="18"/>
              </w:rPr>
              <w:t>3021.16　</w:t>
            </w:r>
          </w:p>
        </w:tc>
        <w:tc>
          <w:tcPr>
            <w:tcW w:w="993"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18"/>
                <w:szCs w:val="18"/>
              </w:rPr>
            </w:pPr>
            <w:r>
              <w:rPr>
                <w:rFonts w:hint="eastAsia" w:ascii="仿宋_GB2312" w:eastAsia="仿宋_GB2312"/>
                <w:b/>
                <w:bCs/>
                <w:sz w:val="18"/>
                <w:szCs w:val="18"/>
              </w:rPr>
              <w:t>1585.58　</w:t>
            </w:r>
          </w:p>
        </w:tc>
        <w:tc>
          <w:tcPr>
            <w:tcW w:w="992"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18"/>
                <w:szCs w:val="18"/>
              </w:rPr>
            </w:pPr>
            <w:r>
              <w:rPr>
                <w:rFonts w:hint="eastAsia" w:ascii="仿宋_GB2312" w:eastAsia="仿宋_GB2312"/>
                <w:b/>
                <w:bCs/>
                <w:sz w:val="18"/>
                <w:szCs w:val="18"/>
              </w:rPr>
              <w:t>1578.38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18"/>
                <w:szCs w:val="18"/>
              </w:rPr>
            </w:pPr>
            <w:r>
              <w:rPr>
                <w:rFonts w:hint="eastAsia" w:ascii="仿宋_GB2312" w:hAnsi="宋体" w:eastAsia="仿宋_GB2312" w:cs="宋体"/>
                <w:b/>
                <w:bCs/>
                <w:sz w:val="18"/>
                <w:szCs w:val="18"/>
              </w:rPr>
              <w:t>7.2</w:t>
            </w:r>
          </w:p>
        </w:tc>
        <w:tc>
          <w:tcPr>
            <w:tcW w:w="567"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18"/>
                <w:szCs w:val="18"/>
              </w:rPr>
            </w:pPr>
            <w:r>
              <w:rPr>
                <w:rFonts w:hint="eastAsia" w:ascii="仿宋_GB2312" w:eastAsia="仿宋_GB2312"/>
                <w:b/>
                <w:bCs/>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18"/>
                <w:szCs w:val="18"/>
              </w:rPr>
            </w:pPr>
            <w:r>
              <w:rPr>
                <w:rFonts w:hint="eastAsia" w:ascii="仿宋_GB2312" w:eastAsia="仿宋_GB2312"/>
                <w:b/>
                <w:bCs/>
                <w:sz w:val="18"/>
                <w:szCs w:val="18"/>
              </w:rPr>
              <w:t>　</w:t>
            </w:r>
          </w:p>
        </w:tc>
        <w:tc>
          <w:tcPr>
            <w:tcW w:w="709"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18"/>
                <w:szCs w:val="18"/>
              </w:rPr>
            </w:pPr>
            <w:r>
              <w:rPr>
                <w:rFonts w:hint="eastAsia" w:ascii="仿宋_GB2312" w:eastAsia="仿宋_GB2312"/>
                <w:b/>
                <w:bCs/>
                <w:sz w:val="18"/>
                <w:szCs w:val="18"/>
              </w:rPr>
              <w:t>　</w:t>
            </w:r>
          </w:p>
        </w:tc>
        <w:tc>
          <w:tcPr>
            <w:tcW w:w="850" w:type="dxa"/>
            <w:tcBorders>
              <w:top w:val="nil"/>
              <w:left w:val="nil"/>
              <w:bottom w:val="single" w:color="auto" w:sz="4" w:space="0"/>
              <w:right w:val="single" w:color="auto" w:sz="4" w:space="0"/>
            </w:tcBorders>
            <w:vAlign w:val="center"/>
          </w:tcPr>
          <w:p>
            <w:pPr>
              <w:jc w:val="right"/>
              <w:rPr>
                <w:rFonts w:ascii="仿宋_GB2312" w:hAnsi="宋体" w:eastAsia="仿宋_GB2312" w:cs="宋体"/>
                <w:b/>
                <w:bCs/>
                <w:sz w:val="18"/>
                <w:szCs w:val="18"/>
              </w:rPr>
            </w:pPr>
            <w:r>
              <w:rPr>
                <w:rFonts w:hint="eastAsia" w:ascii="仿宋_GB2312" w:eastAsia="仿宋_GB2312"/>
                <w:b/>
                <w:bCs/>
                <w:sz w:val="18"/>
                <w:szCs w:val="18"/>
              </w:rPr>
              <w:t>　</w:t>
            </w:r>
          </w:p>
        </w:tc>
        <w:tc>
          <w:tcPr>
            <w:tcW w:w="709" w:type="dxa"/>
            <w:tcBorders>
              <w:top w:val="nil"/>
              <w:left w:val="single" w:color="auto" w:sz="4" w:space="0"/>
              <w:bottom w:val="single" w:color="auto" w:sz="4" w:space="0"/>
              <w:right w:val="single" w:color="auto" w:sz="4" w:space="0"/>
            </w:tcBorders>
            <w:vAlign w:val="center"/>
          </w:tcPr>
          <w:p>
            <w:pPr>
              <w:jc w:val="right"/>
              <w:rPr>
                <w:rFonts w:ascii="仿宋_GB2312" w:eastAsia="仿宋_GB2312"/>
                <w:b/>
                <w:bCs/>
                <w:sz w:val="18"/>
                <w:szCs w:val="18"/>
              </w:rPr>
            </w:pPr>
          </w:p>
        </w:tc>
        <w:tc>
          <w:tcPr>
            <w:tcW w:w="851" w:type="dxa"/>
            <w:tcBorders>
              <w:top w:val="nil"/>
              <w:left w:val="single" w:color="auto" w:sz="4" w:space="0"/>
              <w:bottom w:val="single" w:color="auto" w:sz="4" w:space="0"/>
              <w:right w:val="single" w:color="auto" w:sz="4" w:space="0"/>
            </w:tcBorders>
            <w:vAlign w:val="center"/>
          </w:tcPr>
          <w:p>
            <w:pPr>
              <w:jc w:val="right"/>
              <w:rPr>
                <w:rFonts w:ascii="仿宋_GB2312" w:eastAsia="仿宋_GB2312"/>
                <w:b/>
                <w:bCs/>
                <w:sz w:val="18"/>
                <w:szCs w:val="18"/>
              </w:rPr>
            </w:pPr>
            <w:r>
              <w:rPr>
                <w:rFonts w:hint="eastAsia" w:ascii="仿宋_GB2312" w:eastAsia="仿宋_GB2312"/>
                <w:b/>
                <w:bCs/>
                <w:sz w:val="18"/>
                <w:szCs w:val="18"/>
              </w:rPr>
              <w:t>507.27</w:t>
            </w:r>
          </w:p>
        </w:tc>
        <w:tc>
          <w:tcPr>
            <w:tcW w:w="850" w:type="dxa"/>
            <w:tcBorders>
              <w:top w:val="nil"/>
              <w:left w:val="single" w:color="auto" w:sz="4" w:space="0"/>
              <w:bottom w:val="single" w:color="auto" w:sz="4" w:space="0"/>
              <w:right w:val="single" w:color="auto" w:sz="4" w:space="0"/>
            </w:tcBorders>
            <w:vAlign w:val="center"/>
          </w:tcPr>
          <w:p>
            <w:pPr>
              <w:jc w:val="right"/>
              <w:rPr>
                <w:rFonts w:ascii="仿宋_GB2312" w:eastAsia="仿宋_GB2312"/>
                <w:b/>
                <w:bCs/>
                <w:sz w:val="18"/>
                <w:szCs w:val="18"/>
              </w:rPr>
            </w:pPr>
            <w:r>
              <w:rPr>
                <w:rFonts w:hint="eastAsia" w:ascii="仿宋_GB2312" w:eastAsia="仿宋_GB2312"/>
                <w:b/>
                <w:bCs/>
                <w:sz w:val="18"/>
                <w:szCs w:val="18"/>
              </w:rPr>
              <w:t>928.31</w:t>
            </w:r>
          </w:p>
        </w:tc>
        <w:tc>
          <w:tcPr>
            <w:tcW w:w="927" w:type="dxa"/>
            <w:tcBorders>
              <w:top w:val="nil"/>
              <w:left w:val="single" w:color="auto" w:sz="4" w:space="0"/>
              <w:bottom w:val="single" w:color="auto" w:sz="4" w:space="0"/>
              <w:right w:val="single" w:color="auto" w:sz="4" w:space="0"/>
            </w:tcBorders>
            <w:vAlign w:val="center"/>
          </w:tcPr>
          <w:p>
            <w:pPr>
              <w:jc w:val="right"/>
              <w:rPr>
                <w:rFonts w:ascii="仿宋_GB2312" w:eastAsia="仿宋_GB2312"/>
                <w:b/>
                <w:bCs/>
                <w:sz w:val="18"/>
                <w:szCs w:val="18"/>
              </w:rPr>
            </w:pPr>
          </w:p>
        </w:tc>
      </w:tr>
    </w:tbl>
    <w:p>
      <w:pPr>
        <w:tabs>
          <w:tab w:val="left" w:pos="6110"/>
        </w:tabs>
        <w:rPr>
          <w:rFonts w:ascii="宋体" w:hAnsi="宋体" w:cs="宋体"/>
          <w:sz w:val="20"/>
          <w:szCs w:val="20"/>
          <w:lang w:bidi="ar"/>
        </w:rPr>
        <w:sectPr>
          <w:pgSz w:w="16838" w:h="11906" w:orient="landscape"/>
          <w:pgMar w:top="454" w:right="1134" w:bottom="454" w:left="1134" w:header="851" w:footer="992" w:gutter="0"/>
          <w:pgNumType w:fmt="numberInDash"/>
          <w:cols w:space="720" w:num="1"/>
          <w:docGrid w:linePitch="312" w:charSpace="0"/>
        </w:sect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部门支出总体情况表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编制部门：中共呼图壁县委员会组织部                              单位：万元</w:t>
      </w:r>
    </w:p>
    <w:tbl>
      <w:tblPr>
        <w:tblStyle w:val="10"/>
        <w:tblW w:w="9420" w:type="dxa"/>
        <w:tblInd w:w="-240" w:type="dxa"/>
        <w:tblLayout w:type="autofit"/>
        <w:tblCellMar>
          <w:top w:w="0" w:type="dxa"/>
          <w:left w:w="108" w:type="dxa"/>
          <w:bottom w:w="0" w:type="dxa"/>
          <w:right w:w="108" w:type="dxa"/>
        </w:tblCellMar>
      </w:tblPr>
      <w:tblGrid>
        <w:gridCol w:w="591"/>
        <w:gridCol w:w="496"/>
        <w:gridCol w:w="496"/>
        <w:gridCol w:w="2596"/>
        <w:gridCol w:w="1651"/>
        <w:gridCol w:w="1772"/>
        <w:gridCol w:w="1818"/>
      </w:tblGrid>
      <w:tr>
        <w:tblPrEx>
          <w:tblCellMar>
            <w:top w:w="0" w:type="dxa"/>
            <w:left w:w="108" w:type="dxa"/>
            <w:bottom w:w="0" w:type="dxa"/>
            <w:right w:w="108" w:type="dxa"/>
          </w:tblCellMar>
        </w:tblPrEx>
        <w:trPr>
          <w:trHeight w:val="328" w:hRule="atLeast"/>
        </w:trPr>
        <w:tc>
          <w:tcPr>
            <w:tcW w:w="4176"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244"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CellMar>
            <w:top w:w="0" w:type="dxa"/>
            <w:left w:w="108" w:type="dxa"/>
            <w:bottom w:w="0" w:type="dxa"/>
            <w:right w:w="108" w:type="dxa"/>
          </w:tblCellMar>
        </w:tblPrEx>
        <w:trPr>
          <w:trHeight w:val="480" w:hRule="atLeast"/>
        </w:trPr>
        <w:tc>
          <w:tcPr>
            <w:tcW w:w="157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98"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652"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77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19"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CellMar>
            <w:top w:w="0" w:type="dxa"/>
            <w:left w:w="108" w:type="dxa"/>
            <w:bottom w:w="0" w:type="dxa"/>
            <w:right w:w="108" w:type="dxa"/>
          </w:tblCellMar>
        </w:tblPrEx>
        <w:trPr>
          <w:trHeight w:val="270" w:hRule="atLeast"/>
        </w:trPr>
        <w:tc>
          <w:tcPr>
            <w:tcW w:w="58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96" w:type="dxa"/>
            <w:tcBorders>
              <w:top w:val="nil"/>
              <w:left w:val="nil"/>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98"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652"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77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c>
          <w:tcPr>
            <w:tcW w:w="1819"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仿宋_GB2312" w:eastAsia="仿宋_GB2312" w:cs="仿宋_GB2312"/>
                <w:b/>
                <w:bCs/>
                <w:kern w:val="0"/>
                <w:sz w:val="20"/>
                <w:szCs w:val="20"/>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49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49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259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一般公共服务支出</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1801.6</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1511.79</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289.81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496"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49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2598"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组织事务　</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1801.6</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1511.79</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289.81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496"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496" w:type="dxa"/>
            <w:tcBorders>
              <w:top w:val="nil"/>
              <w:left w:val="nil"/>
              <w:bottom w:val="single" w:color="auto" w:sz="4" w:space="0"/>
              <w:right w:val="single" w:color="auto" w:sz="4" w:space="0"/>
            </w:tcBorders>
            <w:vAlign w:val="center"/>
          </w:tcPr>
          <w:p>
            <w:pPr>
              <w:ind w:right="100"/>
              <w:jc w:val="center"/>
              <w:rPr>
                <w:rFonts w:ascii="仿宋_GB2312" w:hAnsi="宋体" w:eastAsia="仿宋_GB2312" w:cs="宋体"/>
                <w:sz w:val="18"/>
                <w:szCs w:val="18"/>
              </w:rPr>
            </w:pPr>
            <w:r>
              <w:rPr>
                <w:rFonts w:hint="eastAsia" w:ascii="仿宋_GB2312" w:eastAsia="仿宋_GB2312"/>
                <w:sz w:val="18"/>
                <w:szCs w:val="18"/>
              </w:rPr>
              <w:t>01</w:t>
            </w: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hAnsi="宋体" w:eastAsia="仿宋_GB2312" w:cs="宋体"/>
                <w:sz w:val="18"/>
                <w:szCs w:val="18"/>
              </w:rPr>
              <w:t>行政运行</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1353.29</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1353.29</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496"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49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50</w:t>
            </w: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事业运行</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158.5</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158.5</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496"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496" w:type="dxa"/>
            <w:tcBorders>
              <w:top w:val="nil"/>
              <w:left w:val="nil"/>
              <w:bottom w:val="single" w:color="auto" w:sz="4" w:space="0"/>
              <w:right w:val="single" w:color="auto" w:sz="4" w:space="0"/>
            </w:tcBorders>
            <w:vAlign w:val="center"/>
          </w:tcPr>
          <w:p>
            <w:pPr>
              <w:ind w:right="100"/>
              <w:jc w:val="center"/>
              <w:rPr>
                <w:rFonts w:ascii="仿宋_GB2312" w:hAnsi="宋体" w:eastAsia="仿宋_GB2312" w:cs="宋体"/>
                <w:sz w:val="18"/>
                <w:szCs w:val="18"/>
              </w:rPr>
            </w:pPr>
            <w:r>
              <w:rPr>
                <w:rFonts w:hint="eastAsia" w:ascii="仿宋_GB2312" w:eastAsia="仿宋_GB2312"/>
                <w:sz w:val="18"/>
                <w:szCs w:val="18"/>
              </w:rPr>
              <w:t>99</w:t>
            </w: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其他组织事务支出</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289.81</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289.81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49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49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社会保障和就业支出</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150.89</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150.89</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496"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　</w:t>
            </w:r>
          </w:p>
        </w:tc>
        <w:tc>
          <w:tcPr>
            <w:tcW w:w="49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行政事业单位养老支出</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150.89</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150.89</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496"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　</w:t>
            </w:r>
          </w:p>
        </w:tc>
        <w:tc>
          <w:tcPr>
            <w:tcW w:w="49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01</w:t>
            </w: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行政单位离退休</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7.76</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7.76</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496"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w:t>
            </w:r>
          </w:p>
        </w:tc>
        <w:tc>
          <w:tcPr>
            <w:tcW w:w="49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05</w:t>
            </w: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机关事业基本养老保险缴费支出</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130.23</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130.23</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496"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　</w:t>
            </w:r>
          </w:p>
        </w:tc>
        <w:tc>
          <w:tcPr>
            <w:tcW w:w="49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06</w:t>
            </w: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机关事业单位职业年金缴费支出</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12.9</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12.9</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210　</w:t>
            </w:r>
          </w:p>
        </w:tc>
        <w:tc>
          <w:tcPr>
            <w:tcW w:w="496"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49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卫生健康</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88.15</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88.15</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496"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行政事业单位医疗</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88.15</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88.15</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496"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01</w:t>
            </w: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行政单位医疗</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50.42</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50.42</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496"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02</w:t>
            </w: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事业单位医疗</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11.27</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11.27</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496"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03</w:t>
            </w: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公务员医疗补助</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26.13</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26.13</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496"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99</w:t>
            </w: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其他行政事业单位医疗支出</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0.33</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0.33</w:t>
            </w:r>
          </w:p>
        </w:tc>
        <w:tc>
          <w:tcPr>
            <w:tcW w:w="181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pStyle w:val="2"/>
              <w:ind w:firstLine="90" w:firstLineChars="50"/>
              <w:rPr>
                <w:szCs w:val="18"/>
              </w:rPr>
            </w:pPr>
            <w:r>
              <w:rPr>
                <w:rFonts w:hint="eastAsia"/>
                <w:szCs w:val="18"/>
              </w:rPr>
              <w:t>212</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城乡社区支出</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551.1</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1819"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551.1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212　</w:t>
            </w:r>
          </w:p>
        </w:tc>
        <w:tc>
          <w:tcPr>
            <w:tcW w:w="496" w:type="dxa"/>
            <w:tcBorders>
              <w:top w:val="nil"/>
              <w:left w:val="nil"/>
              <w:bottom w:val="single" w:color="auto" w:sz="4" w:space="0"/>
              <w:right w:val="single" w:color="auto" w:sz="4" w:space="0"/>
            </w:tcBorders>
            <w:vAlign w:val="center"/>
          </w:tcPr>
          <w:p>
            <w:pPr>
              <w:ind w:right="100"/>
              <w:jc w:val="center"/>
              <w:rPr>
                <w:rFonts w:ascii="仿宋_GB2312" w:hAnsi="宋体" w:eastAsia="仿宋_GB2312" w:cs="宋体"/>
                <w:sz w:val="18"/>
                <w:szCs w:val="18"/>
              </w:rPr>
            </w:pPr>
            <w:r>
              <w:rPr>
                <w:rFonts w:hint="eastAsia" w:ascii="仿宋_GB2312" w:eastAsia="仿宋_GB2312"/>
                <w:sz w:val="18"/>
                <w:szCs w:val="18"/>
              </w:rPr>
              <w:t>03</w:t>
            </w:r>
          </w:p>
        </w:tc>
        <w:tc>
          <w:tcPr>
            <w:tcW w:w="496"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598"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城乡社区公共设施</w:t>
            </w:r>
          </w:p>
        </w:tc>
        <w:tc>
          <w:tcPr>
            <w:tcW w:w="1652"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551.1</w:t>
            </w:r>
          </w:p>
        </w:tc>
        <w:tc>
          <w:tcPr>
            <w:tcW w:w="177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1819"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551.1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212</w:t>
            </w:r>
          </w:p>
        </w:tc>
        <w:tc>
          <w:tcPr>
            <w:tcW w:w="496"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03</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99</w:t>
            </w: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其他城乡社区公共设施支出</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551.1</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1819"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551.1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496"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住房保障支出</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429.41</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89.41</w:t>
            </w:r>
          </w:p>
        </w:tc>
        <w:tc>
          <w:tcPr>
            <w:tcW w:w="1819"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340.01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496"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02</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住房改革支出</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89.41</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89.41</w:t>
            </w:r>
          </w:p>
        </w:tc>
        <w:tc>
          <w:tcPr>
            <w:tcW w:w="1819"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496"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02</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01</w:t>
            </w: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住房公积金</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89.41</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89.41</w:t>
            </w:r>
          </w:p>
        </w:tc>
        <w:tc>
          <w:tcPr>
            <w:tcW w:w="1819"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pStyle w:val="2"/>
            </w:pPr>
            <w:r>
              <w:rPr>
                <w:rFonts w:hint="eastAsia"/>
              </w:rPr>
              <w:t>221</w:t>
            </w:r>
          </w:p>
        </w:tc>
        <w:tc>
          <w:tcPr>
            <w:tcW w:w="496"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03</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城乡社区住宅</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340.01</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1819"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340.01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pStyle w:val="2"/>
            </w:pPr>
            <w:r>
              <w:rPr>
                <w:rFonts w:hint="eastAsia"/>
              </w:rPr>
              <w:t>221</w:t>
            </w:r>
          </w:p>
        </w:tc>
        <w:tc>
          <w:tcPr>
            <w:tcW w:w="496"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03</w:t>
            </w:r>
          </w:p>
        </w:tc>
        <w:tc>
          <w:tcPr>
            <w:tcW w:w="496"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01</w:t>
            </w:r>
          </w:p>
        </w:tc>
        <w:tc>
          <w:tcPr>
            <w:tcW w:w="2598"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公有住房建设和维修改造支出</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340.01</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1819"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340.01</w:t>
            </w:r>
          </w:p>
        </w:tc>
      </w:tr>
      <w:tr>
        <w:tblPrEx>
          <w:tblCellMar>
            <w:top w:w="0" w:type="dxa"/>
            <w:left w:w="108" w:type="dxa"/>
            <w:bottom w:w="0" w:type="dxa"/>
            <w:right w:w="108" w:type="dxa"/>
          </w:tblCellMar>
        </w:tblPrEx>
        <w:trPr>
          <w:cantSplit/>
          <w:trHeight w:val="397" w:hRule="atLeast"/>
        </w:trPr>
        <w:tc>
          <w:tcPr>
            <w:tcW w:w="586" w:type="dxa"/>
            <w:tcBorders>
              <w:top w:val="nil"/>
              <w:left w:val="single" w:color="auto" w:sz="4" w:space="0"/>
              <w:bottom w:val="single" w:color="auto" w:sz="4" w:space="0"/>
              <w:right w:val="single" w:color="auto" w:sz="4" w:space="0"/>
            </w:tcBorders>
            <w:vAlign w:val="center"/>
          </w:tcPr>
          <w:p>
            <w:pPr>
              <w:pStyle w:val="2"/>
            </w:pPr>
          </w:p>
        </w:tc>
        <w:tc>
          <w:tcPr>
            <w:tcW w:w="496"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496" w:type="dxa"/>
            <w:tcBorders>
              <w:top w:val="nil"/>
              <w:left w:val="nil"/>
              <w:bottom w:val="single" w:color="auto" w:sz="4" w:space="0"/>
              <w:right w:val="single" w:color="auto" w:sz="4" w:space="0"/>
            </w:tcBorders>
            <w:vAlign w:val="center"/>
          </w:tcPr>
          <w:p>
            <w:pPr>
              <w:jc w:val="center"/>
              <w:rPr>
                <w:rFonts w:ascii="仿宋_GB2312" w:eastAsia="仿宋_GB2312"/>
                <w:b/>
                <w:bCs/>
                <w:sz w:val="18"/>
                <w:szCs w:val="18"/>
              </w:rPr>
            </w:pPr>
          </w:p>
        </w:tc>
        <w:tc>
          <w:tcPr>
            <w:tcW w:w="2598" w:type="dxa"/>
            <w:tcBorders>
              <w:top w:val="nil"/>
              <w:left w:val="nil"/>
              <w:bottom w:val="single" w:color="auto" w:sz="4" w:space="0"/>
              <w:right w:val="single" w:color="auto" w:sz="4" w:space="0"/>
            </w:tcBorders>
            <w:vAlign w:val="center"/>
          </w:tcPr>
          <w:p>
            <w:pPr>
              <w:jc w:val="center"/>
              <w:rPr>
                <w:rFonts w:ascii="仿宋_GB2312" w:eastAsia="仿宋_GB2312"/>
                <w:b/>
                <w:bCs/>
                <w:szCs w:val="21"/>
              </w:rPr>
            </w:pPr>
            <w:r>
              <w:rPr>
                <w:rFonts w:hint="eastAsia" w:ascii="仿宋_GB2312" w:eastAsia="仿宋_GB2312"/>
                <w:b/>
                <w:bCs/>
                <w:szCs w:val="21"/>
              </w:rPr>
              <w:t>合计</w:t>
            </w:r>
          </w:p>
        </w:tc>
        <w:tc>
          <w:tcPr>
            <w:tcW w:w="1652" w:type="dxa"/>
            <w:tcBorders>
              <w:top w:val="nil"/>
              <w:left w:val="nil"/>
              <w:bottom w:val="single" w:color="auto" w:sz="4" w:space="0"/>
              <w:right w:val="single" w:color="auto" w:sz="4" w:space="0"/>
            </w:tcBorders>
            <w:vAlign w:val="center"/>
          </w:tcPr>
          <w:p>
            <w:pPr>
              <w:jc w:val="center"/>
              <w:rPr>
                <w:rFonts w:ascii="仿宋_GB2312" w:eastAsia="仿宋_GB2312"/>
                <w:b/>
                <w:bCs/>
                <w:szCs w:val="21"/>
              </w:rPr>
            </w:pPr>
            <w:r>
              <w:rPr>
                <w:rFonts w:hint="eastAsia" w:ascii="仿宋_GB2312" w:eastAsia="仿宋_GB2312"/>
                <w:b/>
                <w:bCs/>
                <w:szCs w:val="21"/>
              </w:rPr>
              <w:t>3021.16</w:t>
            </w:r>
          </w:p>
        </w:tc>
        <w:tc>
          <w:tcPr>
            <w:tcW w:w="1773" w:type="dxa"/>
            <w:tcBorders>
              <w:top w:val="nil"/>
              <w:left w:val="nil"/>
              <w:bottom w:val="single" w:color="auto" w:sz="4" w:space="0"/>
              <w:right w:val="single" w:color="auto" w:sz="4" w:space="0"/>
            </w:tcBorders>
            <w:vAlign w:val="center"/>
          </w:tcPr>
          <w:p>
            <w:pPr>
              <w:jc w:val="center"/>
              <w:rPr>
                <w:rFonts w:ascii="仿宋_GB2312" w:eastAsia="仿宋_GB2312"/>
                <w:b/>
                <w:bCs/>
                <w:szCs w:val="21"/>
              </w:rPr>
            </w:pPr>
            <w:r>
              <w:rPr>
                <w:rFonts w:hint="eastAsia" w:ascii="仿宋_GB2312" w:eastAsia="仿宋_GB2312"/>
                <w:b/>
                <w:bCs/>
                <w:szCs w:val="21"/>
              </w:rPr>
              <w:t>1840.24</w:t>
            </w:r>
          </w:p>
        </w:tc>
        <w:tc>
          <w:tcPr>
            <w:tcW w:w="1819" w:type="dxa"/>
            <w:tcBorders>
              <w:top w:val="nil"/>
              <w:left w:val="nil"/>
              <w:bottom w:val="single" w:color="auto" w:sz="4" w:space="0"/>
              <w:right w:val="single" w:color="auto" w:sz="4" w:space="0"/>
            </w:tcBorders>
            <w:vAlign w:val="center"/>
          </w:tcPr>
          <w:p>
            <w:pPr>
              <w:jc w:val="center"/>
              <w:rPr>
                <w:rFonts w:ascii="仿宋_GB2312" w:eastAsia="仿宋_GB2312"/>
                <w:b/>
                <w:bCs/>
                <w:szCs w:val="21"/>
              </w:rPr>
            </w:pPr>
            <w:r>
              <w:rPr>
                <w:rFonts w:hint="eastAsia" w:ascii="仿宋_GB2312" w:eastAsia="仿宋_GB2312"/>
                <w:b/>
                <w:bCs/>
                <w:szCs w:val="21"/>
              </w:rPr>
              <w:t>1180.92</w:t>
            </w:r>
          </w:p>
        </w:tc>
      </w:tr>
    </w:tbl>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表4</w:t>
      </w:r>
    </w:p>
    <w:p>
      <w:pPr>
        <w:widowControl/>
        <w:spacing w:before="120"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120" w:beforeLines="50" w:line="280" w:lineRule="exact"/>
        <w:outlineLvl w:val="1"/>
        <w:rPr>
          <w:rFonts w:ascii="仿宋_GB2312" w:hAnsi="宋体" w:eastAsia="仿宋_GB2312"/>
          <w:kern w:val="0"/>
          <w:sz w:val="24"/>
        </w:rPr>
      </w:pPr>
      <w:r>
        <w:rPr>
          <w:rFonts w:hint="eastAsia" w:ascii="仿宋_GB2312" w:hAnsi="宋体" w:eastAsia="仿宋_GB2312"/>
          <w:kern w:val="0"/>
          <w:sz w:val="24"/>
        </w:rPr>
        <w:t>编制部门：中共呼图壁县委员会组织部                             单位：万元</w:t>
      </w:r>
    </w:p>
    <w:tbl>
      <w:tblPr>
        <w:tblStyle w:val="10"/>
        <w:tblW w:w="9449" w:type="dxa"/>
        <w:tblInd w:w="-240" w:type="dxa"/>
        <w:tblLayout w:type="autofit"/>
        <w:tblCellMar>
          <w:top w:w="0" w:type="dxa"/>
          <w:left w:w="108" w:type="dxa"/>
          <w:bottom w:w="0" w:type="dxa"/>
          <w:right w:w="108" w:type="dxa"/>
        </w:tblCellMar>
      </w:tblPr>
      <w:tblGrid>
        <w:gridCol w:w="1873"/>
        <w:gridCol w:w="922"/>
        <w:gridCol w:w="2482"/>
        <w:gridCol w:w="986"/>
        <w:gridCol w:w="986"/>
        <w:gridCol w:w="1100"/>
        <w:gridCol w:w="1100"/>
      </w:tblGrid>
      <w:tr>
        <w:tblPrEx>
          <w:tblCellMar>
            <w:top w:w="0" w:type="dxa"/>
            <w:left w:w="108" w:type="dxa"/>
            <w:bottom w:w="0" w:type="dxa"/>
            <w:right w:w="108" w:type="dxa"/>
          </w:tblCellMar>
        </w:tblPrEx>
        <w:trPr>
          <w:trHeight w:val="285" w:hRule="atLeast"/>
        </w:trPr>
        <w:tc>
          <w:tcPr>
            <w:tcW w:w="2795"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654"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500" w:hRule="atLeast"/>
        </w:trPr>
        <w:tc>
          <w:tcPr>
            <w:tcW w:w="1873" w:type="dxa"/>
            <w:tcBorders>
              <w:top w:val="nil"/>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2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482"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86"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986"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00" w:type="dxa"/>
            <w:tcBorders>
              <w:top w:val="nil"/>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00" w:type="dxa"/>
            <w:tcBorders>
              <w:top w:val="nil"/>
              <w:left w:val="nil"/>
              <w:bottom w:val="single" w:color="auto" w:sz="4" w:space="0"/>
              <w:right w:val="single" w:color="auto" w:sz="4" w:space="0"/>
            </w:tcBorders>
            <w:vAlign w:val="center"/>
          </w:tcPr>
          <w:p>
            <w:pPr>
              <w:spacing w:line="20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lang w:eastAsia="zh-Hans"/>
              </w:rPr>
              <w:t>一、</w:t>
            </w:r>
            <w:r>
              <w:rPr>
                <w:rFonts w:hint="eastAsia" w:ascii="仿宋_GB2312" w:hAnsi="宋体" w:eastAsia="仿宋_GB2312" w:cs="宋体"/>
                <w:kern w:val="0"/>
                <w:sz w:val="18"/>
                <w:szCs w:val="18"/>
              </w:rPr>
              <w:t>财政拨款（补助）</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1585.58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1440.33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1440.33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1585.58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97"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60.84</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60.84</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40.14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40.14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w:t>
            </w:r>
            <w:r>
              <w:rPr>
                <w:rFonts w:hint="eastAsia" w:ascii="仿宋_GB2312" w:hAnsi="宋体" w:eastAsia="仿宋_GB2312" w:cs="宋体"/>
                <w:kern w:val="0"/>
                <w:sz w:val="18"/>
                <w:szCs w:val="18"/>
                <w:lang w:eastAsia="zh-Hans"/>
              </w:rPr>
              <w:t>工业</w:t>
            </w:r>
            <w:r>
              <w:rPr>
                <w:rFonts w:hint="eastAsia" w:ascii="仿宋_GB2312" w:hAnsi="宋体" w:eastAsia="仿宋_GB2312" w:cs="宋体"/>
                <w:kern w:val="0"/>
                <w:sz w:val="18"/>
                <w:szCs w:val="18"/>
              </w:rPr>
              <w:t>信息等支出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44.27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44.27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spacing w:line="280" w:lineRule="exact"/>
              <w:jc w:val="right"/>
              <w:rPr>
                <w:rFonts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22"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kern w:val="0"/>
                <w:sz w:val="18"/>
                <w:szCs w:val="18"/>
              </w:rPr>
            </w:pP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87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收  入  总  计</w:t>
            </w:r>
          </w:p>
        </w:tc>
        <w:tc>
          <w:tcPr>
            <w:tcW w:w="922"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20"/>
                <w:szCs w:val="20"/>
              </w:rPr>
            </w:pPr>
            <w:r>
              <w:rPr>
                <w:rFonts w:hint="eastAsia" w:ascii="仿宋_GB2312" w:hAnsi="宋体" w:eastAsia="仿宋_GB2312" w:cs="宋体"/>
                <w:b/>
                <w:bCs/>
                <w:kern w:val="0"/>
                <w:sz w:val="18"/>
                <w:szCs w:val="18"/>
              </w:rPr>
              <w:t>1585.58</w:t>
            </w:r>
            <w:r>
              <w:rPr>
                <w:rFonts w:hint="eastAsia" w:ascii="仿宋_GB2312" w:hAnsi="宋体" w:eastAsia="仿宋_GB2312" w:cs="宋体"/>
                <w:b/>
                <w:bCs/>
                <w:kern w:val="0"/>
                <w:sz w:val="20"/>
                <w:szCs w:val="20"/>
              </w:rPr>
              <w:t>　</w:t>
            </w:r>
          </w:p>
        </w:tc>
        <w:tc>
          <w:tcPr>
            <w:tcW w:w="2482"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支  出  总  计</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1585.58　</w:t>
            </w:r>
          </w:p>
        </w:tc>
        <w:tc>
          <w:tcPr>
            <w:tcW w:w="98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1585.58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kern w:val="0"/>
                <w:sz w:val="18"/>
                <w:szCs w:val="18"/>
              </w:rPr>
            </w:pPr>
          </w:p>
        </w:tc>
      </w:tr>
    </w:tbl>
    <w:p>
      <w:pPr>
        <w:widowControl/>
        <w:jc w:val="left"/>
        <w:textAlignment w:val="bottom"/>
        <w:rPr>
          <w:rFonts w:ascii="宋体" w:hAnsi="宋体" w:cs="宋体"/>
          <w:color w:val="FF0000"/>
          <w:kern w:val="0"/>
          <w:sz w:val="20"/>
          <w:szCs w:val="20"/>
          <w:lang w:bidi="ar"/>
        </w:rPr>
      </w:pPr>
    </w:p>
    <w:p>
      <w:pPr>
        <w:pStyle w:val="2"/>
        <w:rPr>
          <w:lang w:bidi="ar"/>
        </w:rPr>
      </w:pPr>
    </w:p>
    <w:p>
      <w:pPr>
        <w:pStyle w:val="2"/>
        <w:rPr>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表5</w:t>
      </w:r>
    </w:p>
    <w:tbl>
      <w:tblPr>
        <w:tblStyle w:val="10"/>
        <w:tblW w:w="9214" w:type="dxa"/>
        <w:tblInd w:w="-34" w:type="dxa"/>
        <w:tblLayout w:type="autofit"/>
        <w:tblCellMar>
          <w:top w:w="0" w:type="dxa"/>
          <w:left w:w="108" w:type="dxa"/>
          <w:bottom w:w="0" w:type="dxa"/>
          <w:right w:w="108" w:type="dxa"/>
        </w:tblCellMar>
      </w:tblPr>
      <w:tblGrid>
        <w:gridCol w:w="586"/>
        <w:gridCol w:w="500"/>
        <w:gridCol w:w="503"/>
        <w:gridCol w:w="2471"/>
        <w:gridCol w:w="652"/>
        <w:gridCol w:w="1008"/>
        <w:gridCol w:w="213"/>
        <w:gridCol w:w="1602"/>
        <w:gridCol w:w="1679"/>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4060" w:type="dxa"/>
            <w:gridSpan w:val="4"/>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 xml:space="preserve">中共呼图壁县委员会组织部    </w:t>
            </w:r>
          </w:p>
        </w:tc>
        <w:tc>
          <w:tcPr>
            <w:tcW w:w="652" w:type="dxa"/>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1221" w:type="dxa"/>
            <w:gridSpan w:val="2"/>
            <w:tcBorders>
              <w:top w:val="nil"/>
              <w:left w:val="nil"/>
              <w:bottom w:val="nil"/>
              <w:right w:val="nil"/>
            </w:tcBorders>
            <w:vAlign w:val="center"/>
          </w:tcPr>
          <w:p>
            <w:pPr>
              <w:widowControl/>
              <w:jc w:val="left"/>
              <w:rPr>
                <w:rFonts w:ascii="仿宋_GB2312" w:hAnsi="宋体" w:eastAsia="仿宋_GB2312" w:cs="宋体"/>
                <w:kern w:val="0"/>
                <w:sz w:val="24"/>
              </w:rPr>
            </w:pPr>
          </w:p>
        </w:tc>
        <w:tc>
          <w:tcPr>
            <w:tcW w:w="3281" w:type="dxa"/>
            <w:gridSpan w:val="2"/>
            <w:tcBorders>
              <w:top w:val="nil"/>
              <w:left w:val="nil"/>
              <w:bottom w:val="nil"/>
              <w:right w:val="nil"/>
            </w:tcBorders>
            <w:vAlign w:val="center"/>
          </w:tcPr>
          <w:p>
            <w:pPr>
              <w:widowControl/>
              <w:jc w:val="right"/>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405" w:hRule="atLeast"/>
        </w:trPr>
        <w:tc>
          <w:tcPr>
            <w:tcW w:w="4060"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54"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CellMar>
            <w:top w:w="0" w:type="dxa"/>
            <w:left w:w="108" w:type="dxa"/>
            <w:bottom w:w="0" w:type="dxa"/>
            <w:right w:w="108" w:type="dxa"/>
          </w:tblCellMar>
        </w:tblPrEx>
        <w:trPr>
          <w:trHeight w:val="465" w:hRule="atLeast"/>
        </w:trPr>
        <w:tc>
          <w:tcPr>
            <w:tcW w:w="1589"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47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60"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15"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7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CellMar>
            <w:top w:w="0" w:type="dxa"/>
            <w:left w:w="108" w:type="dxa"/>
            <w:bottom w:w="0" w:type="dxa"/>
            <w:right w:w="108" w:type="dxa"/>
          </w:tblCellMar>
        </w:tblPrEx>
        <w:trPr>
          <w:trHeight w:val="300" w:hRule="atLeast"/>
        </w:trPr>
        <w:tc>
          <w:tcPr>
            <w:tcW w:w="586"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47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6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815"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c>
          <w:tcPr>
            <w:tcW w:w="167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50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2471" w:type="dxa"/>
            <w:tcBorders>
              <w:top w:val="nil"/>
              <w:left w:val="nil"/>
              <w:bottom w:val="single" w:color="auto" w:sz="4" w:space="0"/>
              <w:right w:val="single" w:color="auto" w:sz="4" w:space="0"/>
            </w:tcBorders>
            <w:vAlign w:val="center"/>
          </w:tcPr>
          <w:p>
            <w:pPr>
              <w:jc w:val="left"/>
              <w:rPr>
                <w:rFonts w:ascii="仿宋_GB2312" w:hAnsi="宋体" w:eastAsia="仿宋_GB2312" w:cs="宋体"/>
                <w:sz w:val="18"/>
                <w:szCs w:val="18"/>
              </w:rPr>
            </w:pPr>
            <w:r>
              <w:rPr>
                <w:rFonts w:hint="eastAsia" w:ascii="仿宋_GB2312" w:eastAsia="仿宋_GB2312"/>
                <w:sz w:val="18"/>
                <w:szCs w:val="18"/>
              </w:rPr>
              <w:t>一般公共服务支出</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1440.33</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1187.72</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252.61</w:t>
            </w: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00"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503"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2471" w:type="dxa"/>
            <w:tcBorders>
              <w:top w:val="nil"/>
              <w:left w:val="nil"/>
              <w:bottom w:val="single" w:color="auto" w:sz="4" w:space="0"/>
              <w:right w:val="single" w:color="auto" w:sz="4" w:space="0"/>
            </w:tcBorders>
            <w:vAlign w:val="center"/>
          </w:tcPr>
          <w:p>
            <w:pPr>
              <w:jc w:val="left"/>
              <w:rPr>
                <w:rFonts w:ascii="仿宋_GB2312" w:hAnsi="宋体" w:eastAsia="仿宋_GB2312" w:cs="宋体"/>
                <w:sz w:val="18"/>
                <w:szCs w:val="18"/>
              </w:rPr>
            </w:pPr>
            <w:r>
              <w:rPr>
                <w:rFonts w:hint="eastAsia" w:ascii="仿宋_GB2312" w:eastAsia="仿宋_GB2312"/>
                <w:sz w:val="18"/>
                <w:szCs w:val="18"/>
              </w:rPr>
              <w:t>组织事务</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1440.33</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1187.72</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252.61</w:t>
            </w: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00"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503" w:type="dxa"/>
            <w:tcBorders>
              <w:top w:val="nil"/>
              <w:left w:val="nil"/>
              <w:bottom w:val="single" w:color="auto" w:sz="4" w:space="0"/>
              <w:right w:val="single" w:color="auto" w:sz="4" w:space="0"/>
            </w:tcBorders>
            <w:vAlign w:val="center"/>
          </w:tcPr>
          <w:p>
            <w:pPr>
              <w:ind w:right="100"/>
              <w:jc w:val="center"/>
              <w:rPr>
                <w:rFonts w:ascii="仿宋_GB2312" w:hAnsi="宋体" w:eastAsia="仿宋_GB2312" w:cs="宋体"/>
                <w:sz w:val="18"/>
                <w:szCs w:val="18"/>
              </w:rPr>
            </w:pPr>
            <w:r>
              <w:rPr>
                <w:rFonts w:hint="eastAsia" w:ascii="仿宋_GB2312" w:eastAsia="仿宋_GB2312"/>
                <w:sz w:val="18"/>
                <w:szCs w:val="18"/>
              </w:rPr>
              <w:t>01</w:t>
            </w:r>
          </w:p>
        </w:tc>
        <w:tc>
          <w:tcPr>
            <w:tcW w:w="2471" w:type="dxa"/>
            <w:tcBorders>
              <w:top w:val="nil"/>
              <w:left w:val="nil"/>
              <w:bottom w:val="single" w:color="auto" w:sz="4" w:space="0"/>
              <w:right w:val="single" w:color="auto" w:sz="4" w:space="0"/>
            </w:tcBorders>
            <w:vAlign w:val="center"/>
          </w:tcPr>
          <w:p>
            <w:pPr>
              <w:jc w:val="left"/>
              <w:rPr>
                <w:rFonts w:ascii="仿宋_GB2312" w:hAnsi="宋体" w:eastAsia="仿宋_GB2312" w:cs="宋体"/>
                <w:sz w:val="18"/>
                <w:szCs w:val="18"/>
              </w:rPr>
            </w:pPr>
            <w:r>
              <w:rPr>
                <w:rFonts w:hint="eastAsia" w:ascii="仿宋_GB2312" w:hAnsi="宋体" w:eastAsia="仿宋_GB2312" w:cs="宋体"/>
                <w:sz w:val="18"/>
                <w:szCs w:val="18"/>
              </w:rPr>
              <w:t>行政运行</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1029.22</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1029.22</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00"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50</w:t>
            </w: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事业运行</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158.5</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158.5</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201　</w:t>
            </w:r>
          </w:p>
        </w:tc>
        <w:tc>
          <w:tcPr>
            <w:tcW w:w="500"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32　</w:t>
            </w:r>
          </w:p>
        </w:tc>
        <w:tc>
          <w:tcPr>
            <w:tcW w:w="503" w:type="dxa"/>
            <w:tcBorders>
              <w:top w:val="nil"/>
              <w:left w:val="nil"/>
              <w:bottom w:val="single" w:color="auto" w:sz="4" w:space="0"/>
              <w:right w:val="single" w:color="auto" w:sz="4" w:space="0"/>
            </w:tcBorders>
            <w:vAlign w:val="center"/>
          </w:tcPr>
          <w:p>
            <w:pPr>
              <w:ind w:right="100"/>
              <w:jc w:val="center"/>
              <w:rPr>
                <w:rFonts w:ascii="仿宋_GB2312" w:hAnsi="宋体" w:eastAsia="仿宋_GB2312" w:cs="宋体"/>
                <w:sz w:val="18"/>
                <w:szCs w:val="18"/>
              </w:rPr>
            </w:pPr>
            <w:r>
              <w:rPr>
                <w:rFonts w:hint="eastAsia" w:ascii="仿宋_GB2312" w:eastAsia="仿宋_GB2312"/>
                <w:sz w:val="18"/>
                <w:szCs w:val="18"/>
              </w:rPr>
              <w:t>99</w:t>
            </w: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其他组织事务支出</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252.61</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r>
              <w:rPr>
                <w:rFonts w:hint="eastAsia" w:ascii="仿宋_GB2312" w:eastAsia="仿宋_GB2312"/>
                <w:sz w:val="18"/>
                <w:szCs w:val="18"/>
              </w:rPr>
              <w:t>252.61</w:t>
            </w: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社会保障和就业支出</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60.84</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60.84</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00"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　</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行政事业单位养老支出</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60.84</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60.84</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00"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　</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01</w:t>
            </w: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行政单位离退休</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7.76</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7.76</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208　</w:t>
            </w:r>
          </w:p>
        </w:tc>
        <w:tc>
          <w:tcPr>
            <w:tcW w:w="500" w:type="dxa"/>
            <w:tcBorders>
              <w:top w:val="nil"/>
              <w:left w:val="nil"/>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05</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05</w:t>
            </w: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机关事业基本养老保险缴费支出</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53.08</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53.08</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仿宋_GB2312" w:eastAsia="仿宋_GB2312"/>
                <w:sz w:val="18"/>
                <w:szCs w:val="18"/>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hAnsi="宋体" w:eastAsia="仿宋_GB2312" w:cs="宋体"/>
                <w:sz w:val="18"/>
                <w:szCs w:val="18"/>
              </w:rPr>
            </w:pPr>
            <w:r>
              <w:rPr>
                <w:rFonts w:hint="eastAsia" w:ascii="仿宋_GB2312" w:eastAsia="仿宋_GB2312"/>
                <w:sz w:val="18"/>
                <w:szCs w:val="18"/>
              </w:rPr>
              <w:t>210　</w:t>
            </w:r>
          </w:p>
        </w:tc>
        <w:tc>
          <w:tcPr>
            <w:tcW w:w="500" w:type="dxa"/>
            <w:tcBorders>
              <w:top w:val="nil"/>
              <w:left w:val="nil"/>
              <w:bottom w:val="single" w:color="auto" w:sz="4" w:space="0"/>
              <w:right w:val="single" w:color="auto" w:sz="4" w:space="0"/>
            </w:tcBorders>
            <w:vAlign w:val="center"/>
          </w:tcPr>
          <w:p>
            <w:pPr>
              <w:jc w:val="right"/>
              <w:rPr>
                <w:rFonts w:ascii="仿宋_GB2312" w:hAnsi="宋体" w:eastAsia="仿宋_GB2312" w:cs="宋体"/>
                <w:sz w:val="18"/>
                <w:szCs w:val="18"/>
              </w:rPr>
            </w:pPr>
            <w:r>
              <w:rPr>
                <w:rFonts w:hint="eastAsia" w:ascii="仿宋_GB2312" w:eastAsia="仿宋_GB2312"/>
                <w:sz w:val="18"/>
                <w:szCs w:val="18"/>
              </w:rPr>
              <w:t>　</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卫生健康</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40.14</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40.14</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00"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71"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行政事业单位医疗</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40.14</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40.14</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00"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01</w:t>
            </w:r>
          </w:p>
        </w:tc>
        <w:tc>
          <w:tcPr>
            <w:tcW w:w="2471"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行政单位医疗</w:t>
            </w:r>
          </w:p>
        </w:tc>
        <w:tc>
          <w:tcPr>
            <w:tcW w:w="1660"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15.27</w:t>
            </w:r>
          </w:p>
        </w:tc>
        <w:tc>
          <w:tcPr>
            <w:tcW w:w="1815"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15.27</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00"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02</w:t>
            </w: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事业单位医疗</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11.27</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11.27</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00"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03</w:t>
            </w:r>
          </w:p>
        </w:tc>
        <w:tc>
          <w:tcPr>
            <w:tcW w:w="2471"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公务员医疗补助</w:t>
            </w:r>
          </w:p>
        </w:tc>
        <w:tc>
          <w:tcPr>
            <w:tcW w:w="1660"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13.27</w:t>
            </w:r>
          </w:p>
        </w:tc>
        <w:tc>
          <w:tcPr>
            <w:tcW w:w="1815"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13.27</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210</w:t>
            </w:r>
          </w:p>
        </w:tc>
        <w:tc>
          <w:tcPr>
            <w:tcW w:w="500"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11</w:t>
            </w: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99</w:t>
            </w:r>
          </w:p>
        </w:tc>
        <w:tc>
          <w:tcPr>
            <w:tcW w:w="2471" w:type="dxa"/>
            <w:tcBorders>
              <w:top w:val="nil"/>
              <w:left w:val="nil"/>
              <w:bottom w:val="single" w:color="auto" w:sz="4" w:space="0"/>
              <w:right w:val="single" w:color="auto" w:sz="4" w:space="0"/>
            </w:tcBorders>
            <w:vAlign w:val="center"/>
          </w:tcPr>
          <w:p>
            <w:pPr>
              <w:rPr>
                <w:rFonts w:ascii="仿宋_GB2312" w:hAnsi="宋体" w:eastAsia="仿宋_GB2312" w:cs="宋体"/>
                <w:sz w:val="18"/>
                <w:szCs w:val="18"/>
              </w:rPr>
            </w:pPr>
            <w:r>
              <w:rPr>
                <w:rFonts w:hint="eastAsia" w:ascii="仿宋_GB2312" w:eastAsia="仿宋_GB2312"/>
                <w:sz w:val="18"/>
                <w:szCs w:val="18"/>
              </w:rPr>
              <w:t>其他行政事业单位医疗支出</w:t>
            </w:r>
          </w:p>
        </w:tc>
        <w:tc>
          <w:tcPr>
            <w:tcW w:w="1660"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0.33</w:t>
            </w:r>
          </w:p>
        </w:tc>
        <w:tc>
          <w:tcPr>
            <w:tcW w:w="1815"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sz w:val="18"/>
                <w:szCs w:val="18"/>
              </w:rPr>
            </w:pPr>
            <w:r>
              <w:rPr>
                <w:rFonts w:hint="eastAsia" w:ascii="仿宋_GB2312" w:eastAsia="仿宋_GB2312"/>
                <w:sz w:val="18"/>
                <w:szCs w:val="18"/>
              </w:rPr>
              <w:t>0.33</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500"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71"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住房保障支出</w:t>
            </w:r>
          </w:p>
        </w:tc>
        <w:tc>
          <w:tcPr>
            <w:tcW w:w="1660"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　44.27</w:t>
            </w:r>
          </w:p>
        </w:tc>
        <w:tc>
          <w:tcPr>
            <w:tcW w:w="1815"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　44.27</w:t>
            </w:r>
          </w:p>
        </w:tc>
        <w:tc>
          <w:tcPr>
            <w:tcW w:w="1679"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kern w:val="0"/>
                <w:sz w:val="22"/>
                <w:szCs w:val="22"/>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500" w:type="dxa"/>
            <w:tcBorders>
              <w:top w:val="nil"/>
              <w:left w:val="nil"/>
              <w:bottom w:val="single" w:color="auto" w:sz="4" w:space="0"/>
              <w:right w:val="single" w:color="auto" w:sz="4" w:space="0"/>
            </w:tcBorders>
            <w:vAlign w:val="center"/>
          </w:tcPr>
          <w:p>
            <w:pPr>
              <w:ind w:right="100"/>
              <w:jc w:val="center"/>
              <w:rPr>
                <w:rFonts w:ascii="仿宋_GB2312" w:eastAsia="仿宋_GB2312"/>
                <w:sz w:val="18"/>
                <w:szCs w:val="18"/>
              </w:rPr>
            </w:pPr>
            <w:r>
              <w:rPr>
                <w:rFonts w:hint="eastAsia" w:ascii="仿宋_GB2312" w:eastAsia="仿宋_GB2312"/>
                <w:sz w:val="18"/>
                <w:szCs w:val="18"/>
              </w:rPr>
              <w:t>02</w:t>
            </w: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71"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住房改革支出</w:t>
            </w:r>
          </w:p>
        </w:tc>
        <w:tc>
          <w:tcPr>
            <w:tcW w:w="1660"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　44.27</w:t>
            </w:r>
          </w:p>
        </w:tc>
        <w:tc>
          <w:tcPr>
            <w:tcW w:w="1815"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　44.27</w:t>
            </w:r>
          </w:p>
        </w:tc>
        <w:tc>
          <w:tcPr>
            <w:tcW w:w="167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r>
              <w:rPr>
                <w:rFonts w:hint="eastAsia" w:ascii="仿宋_GB2312" w:eastAsia="仿宋_GB2312"/>
                <w:sz w:val="18"/>
                <w:szCs w:val="18"/>
              </w:rPr>
              <w:t>221</w:t>
            </w:r>
          </w:p>
        </w:tc>
        <w:tc>
          <w:tcPr>
            <w:tcW w:w="500"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02</w:t>
            </w: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01</w:t>
            </w:r>
          </w:p>
        </w:tc>
        <w:tc>
          <w:tcPr>
            <w:tcW w:w="2471" w:type="dxa"/>
            <w:tcBorders>
              <w:top w:val="nil"/>
              <w:left w:val="nil"/>
              <w:bottom w:val="single" w:color="auto" w:sz="4" w:space="0"/>
              <w:right w:val="single" w:color="auto" w:sz="4" w:space="0"/>
            </w:tcBorders>
            <w:vAlign w:val="center"/>
          </w:tcPr>
          <w:p>
            <w:pPr>
              <w:rPr>
                <w:rFonts w:ascii="仿宋_GB2312" w:eastAsia="仿宋_GB2312"/>
                <w:sz w:val="18"/>
                <w:szCs w:val="18"/>
              </w:rPr>
            </w:pPr>
            <w:r>
              <w:rPr>
                <w:rFonts w:hint="eastAsia" w:ascii="仿宋_GB2312" w:eastAsia="仿宋_GB2312"/>
                <w:sz w:val="18"/>
                <w:szCs w:val="18"/>
              </w:rPr>
              <w:t>住房公积金</w:t>
            </w:r>
          </w:p>
        </w:tc>
        <w:tc>
          <w:tcPr>
            <w:tcW w:w="1660"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 xml:space="preserve">  44.27</w:t>
            </w:r>
          </w:p>
        </w:tc>
        <w:tc>
          <w:tcPr>
            <w:tcW w:w="1815" w:type="dxa"/>
            <w:gridSpan w:val="2"/>
            <w:tcBorders>
              <w:top w:val="nil"/>
              <w:left w:val="nil"/>
              <w:bottom w:val="single" w:color="auto" w:sz="4" w:space="0"/>
              <w:right w:val="single" w:color="auto" w:sz="4" w:space="0"/>
            </w:tcBorders>
            <w:vAlign w:val="center"/>
          </w:tcPr>
          <w:p>
            <w:pPr>
              <w:jc w:val="center"/>
              <w:rPr>
                <w:rFonts w:ascii="仿宋_GB2312" w:eastAsia="仿宋_GB2312"/>
                <w:sz w:val="18"/>
                <w:szCs w:val="18"/>
              </w:rPr>
            </w:pPr>
            <w:r>
              <w:rPr>
                <w:rFonts w:hint="eastAsia" w:ascii="仿宋_GB2312" w:eastAsia="仿宋_GB2312"/>
                <w:sz w:val="18"/>
                <w:szCs w:val="18"/>
              </w:rPr>
              <w:t xml:space="preserve">  44.27</w:t>
            </w:r>
          </w:p>
        </w:tc>
        <w:tc>
          <w:tcPr>
            <w:tcW w:w="167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p>
        </w:tc>
        <w:tc>
          <w:tcPr>
            <w:tcW w:w="500"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71"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1660"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815" w:type="dxa"/>
            <w:gridSpan w:val="2"/>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679"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450" w:hRule="atLeast"/>
        </w:trPr>
        <w:tc>
          <w:tcPr>
            <w:tcW w:w="586" w:type="dxa"/>
            <w:tcBorders>
              <w:top w:val="nil"/>
              <w:left w:val="single" w:color="auto" w:sz="4" w:space="0"/>
              <w:bottom w:val="single" w:color="auto" w:sz="4" w:space="0"/>
              <w:right w:val="single" w:color="auto" w:sz="4" w:space="0"/>
            </w:tcBorders>
            <w:vAlign w:val="center"/>
          </w:tcPr>
          <w:p>
            <w:pPr>
              <w:ind w:right="100"/>
              <w:jc w:val="right"/>
              <w:rPr>
                <w:rFonts w:ascii="仿宋_GB2312" w:eastAsia="仿宋_GB2312"/>
                <w:sz w:val="18"/>
                <w:szCs w:val="18"/>
              </w:rPr>
            </w:pPr>
          </w:p>
        </w:tc>
        <w:tc>
          <w:tcPr>
            <w:tcW w:w="500" w:type="dxa"/>
            <w:tcBorders>
              <w:top w:val="nil"/>
              <w:left w:val="nil"/>
              <w:bottom w:val="single" w:color="auto" w:sz="4" w:space="0"/>
              <w:right w:val="single" w:color="auto" w:sz="4" w:space="0"/>
            </w:tcBorders>
            <w:vAlign w:val="center"/>
          </w:tcPr>
          <w:p>
            <w:pPr>
              <w:rPr>
                <w:rFonts w:ascii="仿宋_GB2312" w:eastAsia="仿宋_GB2312"/>
                <w:sz w:val="18"/>
                <w:szCs w:val="18"/>
              </w:rPr>
            </w:pPr>
          </w:p>
        </w:tc>
        <w:tc>
          <w:tcPr>
            <w:tcW w:w="503" w:type="dxa"/>
            <w:tcBorders>
              <w:top w:val="nil"/>
              <w:left w:val="nil"/>
              <w:bottom w:val="single" w:color="auto" w:sz="4" w:space="0"/>
              <w:right w:val="single" w:color="auto" w:sz="4" w:space="0"/>
            </w:tcBorders>
            <w:vAlign w:val="center"/>
          </w:tcPr>
          <w:p>
            <w:pPr>
              <w:jc w:val="center"/>
              <w:rPr>
                <w:rFonts w:ascii="仿宋_GB2312" w:eastAsia="仿宋_GB2312"/>
                <w:sz w:val="18"/>
                <w:szCs w:val="18"/>
              </w:rPr>
            </w:pPr>
          </w:p>
        </w:tc>
        <w:tc>
          <w:tcPr>
            <w:tcW w:w="2471" w:type="dxa"/>
            <w:tcBorders>
              <w:top w:val="nil"/>
              <w:left w:val="nil"/>
              <w:bottom w:val="single" w:color="auto" w:sz="4" w:space="0"/>
              <w:right w:val="single" w:color="auto" w:sz="4" w:space="0"/>
            </w:tcBorders>
            <w:vAlign w:val="center"/>
          </w:tcPr>
          <w:p>
            <w:pPr>
              <w:rPr>
                <w:rFonts w:ascii="仿宋_GB2312" w:eastAsia="仿宋_GB2312"/>
                <w:b/>
                <w:bCs/>
                <w:sz w:val="18"/>
                <w:szCs w:val="18"/>
              </w:rPr>
            </w:pPr>
            <w:r>
              <w:rPr>
                <w:rFonts w:hint="eastAsia" w:ascii="仿宋_GB2312" w:eastAsia="仿宋_GB2312"/>
                <w:b/>
                <w:bCs/>
                <w:sz w:val="18"/>
                <w:szCs w:val="18"/>
              </w:rPr>
              <w:t>合计</w:t>
            </w:r>
          </w:p>
        </w:tc>
        <w:tc>
          <w:tcPr>
            <w:tcW w:w="1660" w:type="dxa"/>
            <w:gridSpan w:val="2"/>
            <w:tcBorders>
              <w:top w:val="nil"/>
              <w:left w:val="nil"/>
              <w:bottom w:val="single" w:color="auto" w:sz="4" w:space="0"/>
              <w:right w:val="single" w:color="auto" w:sz="4" w:space="0"/>
            </w:tcBorders>
            <w:vAlign w:val="center"/>
          </w:tcPr>
          <w:p>
            <w:pPr>
              <w:jc w:val="center"/>
              <w:rPr>
                <w:rFonts w:ascii="仿宋_GB2312" w:eastAsia="仿宋_GB2312"/>
                <w:b/>
                <w:bCs/>
                <w:sz w:val="18"/>
                <w:szCs w:val="18"/>
              </w:rPr>
            </w:pPr>
            <w:r>
              <w:rPr>
                <w:rFonts w:hint="eastAsia" w:ascii="仿宋_GB2312" w:eastAsia="仿宋_GB2312"/>
                <w:b/>
                <w:bCs/>
                <w:sz w:val="18"/>
                <w:szCs w:val="18"/>
              </w:rPr>
              <w:t>1585.58</w:t>
            </w:r>
          </w:p>
        </w:tc>
        <w:tc>
          <w:tcPr>
            <w:tcW w:w="1815" w:type="dxa"/>
            <w:gridSpan w:val="2"/>
            <w:tcBorders>
              <w:top w:val="nil"/>
              <w:left w:val="nil"/>
              <w:bottom w:val="single" w:color="auto" w:sz="4" w:space="0"/>
              <w:right w:val="single" w:color="auto" w:sz="4" w:space="0"/>
            </w:tcBorders>
            <w:vAlign w:val="center"/>
          </w:tcPr>
          <w:p>
            <w:pPr>
              <w:jc w:val="center"/>
              <w:rPr>
                <w:rFonts w:ascii="仿宋_GB2312" w:eastAsia="仿宋_GB2312"/>
                <w:b/>
                <w:bCs/>
                <w:sz w:val="18"/>
                <w:szCs w:val="18"/>
              </w:rPr>
            </w:pPr>
            <w:r>
              <w:rPr>
                <w:rFonts w:hint="eastAsia" w:ascii="仿宋_GB2312" w:eastAsia="仿宋_GB2312"/>
                <w:b/>
                <w:bCs/>
                <w:sz w:val="18"/>
                <w:szCs w:val="18"/>
              </w:rPr>
              <w:t>1332.97</w:t>
            </w:r>
          </w:p>
        </w:tc>
        <w:tc>
          <w:tcPr>
            <w:tcW w:w="1679" w:type="dxa"/>
            <w:tcBorders>
              <w:top w:val="nil"/>
              <w:left w:val="nil"/>
              <w:bottom w:val="single" w:color="auto" w:sz="4" w:space="0"/>
              <w:right w:val="single" w:color="auto" w:sz="4" w:space="0"/>
            </w:tcBorders>
            <w:vAlign w:val="center"/>
          </w:tcPr>
          <w:p>
            <w:pPr>
              <w:jc w:val="center"/>
              <w:rPr>
                <w:rFonts w:ascii="仿宋_GB2312" w:eastAsia="仿宋_GB2312"/>
                <w:b/>
                <w:bCs/>
                <w:sz w:val="18"/>
                <w:szCs w:val="18"/>
              </w:rPr>
            </w:pPr>
            <w:r>
              <w:rPr>
                <w:rFonts w:hint="eastAsia" w:ascii="仿宋_GB2312" w:eastAsia="仿宋_GB2312"/>
                <w:b/>
                <w:bCs/>
                <w:sz w:val="18"/>
                <w:szCs w:val="18"/>
              </w:rPr>
              <w:t>252.61</w:t>
            </w:r>
          </w:p>
        </w:tc>
      </w:tr>
    </w:tbl>
    <w:p>
      <w:pPr>
        <w:widowControl/>
        <w:jc w:val="left"/>
        <w:textAlignment w:val="bottom"/>
        <w:rPr>
          <w:rFonts w:ascii="宋体" w:hAnsi="宋体" w:cs="宋体"/>
          <w:color w:val="FF0000"/>
          <w:kern w:val="0"/>
          <w:sz w:val="20"/>
          <w:szCs w:val="20"/>
          <w:lang w:bidi="ar"/>
        </w:rPr>
      </w:pPr>
    </w:p>
    <w:p>
      <w:pPr>
        <w:pStyle w:val="2"/>
      </w:pPr>
    </w:p>
    <w:p>
      <w:pPr>
        <w:widowControl/>
        <w:jc w:val="left"/>
        <w:textAlignment w:val="bottom"/>
        <w:rPr>
          <w:rFonts w:ascii="宋体" w:hAnsi="宋体" w:cs="宋体"/>
          <w:color w:val="FF0000"/>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表6</w:t>
      </w:r>
    </w:p>
    <w:tbl>
      <w:tblPr>
        <w:tblStyle w:val="10"/>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中共呼图壁县委员会组织部</w:t>
            </w:r>
          </w:p>
        </w:tc>
        <w:tc>
          <w:tcPr>
            <w:tcW w:w="995" w:type="dxa"/>
            <w:tcBorders>
              <w:top w:val="nil"/>
              <w:left w:val="nil"/>
              <w:bottom w:val="nil"/>
              <w:right w:val="nil"/>
            </w:tcBorders>
            <w:vAlign w:val="center"/>
          </w:tcPr>
          <w:p>
            <w:pPr>
              <w:widowControl/>
              <w:jc w:val="left"/>
              <w:rPr>
                <w:rFonts w:ascii="仿宋_GB2312" w:hAnsi="宋体" w:eastAsia="仿宋_GB2312" w:cs="宋体"/>
                <w:kern w:val="0"/>
                <w:sz w:val="24"/>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工资福利支出</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563.43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563.43</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01</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基本工资</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126.59</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126.59</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02</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津贴补贴</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128.68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128.68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03</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奖金</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108.84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108.84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07</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绩效工资</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38.3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38.3</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08</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ascii="仿宋_GB2312" w:hAnsi="仿宋_GB2312" w:eastAsia="仿宋_GB2312" w:cs="仿宋_GB2312"/>
                <w:szCs w:val="21"/>
              </w:rPr>
              <w:t>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53.08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53.08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10</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ascii="仿宋_GB2312" w:hAnsi="仿宋_GB2312" w:eastAsia="仿宋_GB2312" w:cs="仿宋_GB2312"/>
                <w:szCs w:val="21"/>
              </w:rPr>
              <w:t>职工基本医疗保险缴费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26.54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26.54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11</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ascii="仿宋_GB2312" w:hAnsi="仿宋_GB2312" w:eastAsia="仿宋_GB2312" w:cs="仿宋_GB2312"/>
                <w:szCs w:val="21"/>
              </w:rPr>
              <w:t>公务员医疗补助缴费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13.27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13.27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12</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其他社会保障缴费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2.36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2.36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13</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住房公积金</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44.27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44.27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301</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99</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其他工资福利支出</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21.49</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21.49</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vAlign w:val="center"/>
          </w:tcPr>
          <w:p>
            <w:pPr>
              <w:widowControl/>
              <w:rPr>
                <w:rFonts w:ascii="仿宋_GB2312" w:hAnsi="仿宋_GB2312" w:eastAsia="仿宋_GB2312" w:cs="仿宋_GB2312"/>
                <w:szCs w:val="21"/>
              </w:rPr>
            </w:pPr>
          </w:p>
        </w:tc>
        <w:tc>
          <w:tcPr>
            <w:tcW w:w="2891"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szCs w:val="21"/>
              </w:rPr>
            </w:pPr>
            <w:r>
              <w:rPr>
                <w:rFonts w:ascii="仿宋_GB2312" w:hAnsi="仿宋_GB2312" w:eastAsia="仿宋_GB2312" w:cs="仿宋_GB2312"/>
                <w:szCs w:val="21"/>
              </w:rPr>
              <w:t>商品和服务支出</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25.87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25.87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vAlign w:val="center"/>
          </w:tcPr>
          <w:p>
            <w:pPr>
              <w:widowControl/>
              <w:rPr>
                <w:rFonts w:ascii="仿宋_GB2312" w:hAnsi="仿宋_GB2312" w:eastAsia="仿宋_GB2312" w:cs="仿宋_GB2312"/>
                <w:szCs w:val="21"/>
              </w:rPr>
            </w:pPr>
            <w:r>
              <w:rPr>
                <w:rFonts w:hint="eastAsia" w:ascii="仿宋_GB2312" w:hAnsi="仿宋_GB2312" w:eastAsia="仿宋_GB2312" w:cs="仿宋_GB2312"/>
                <w:szCs w:val="21"/>
              </w:rPr>
              <w:t>01</w:t>
            </w:r>
          </w:p>
        </w:tc>
        <w:tc>
          <w:tcPr>
            <w:tcW w:w="2891" w:type="dxa"/>
            <w:tcBorders>
              <w:top w:val="nil"/>
              <w:left w:val="nil"/>
              <w:bottom w:val="single" w:color="auto" w:sz="4" w:space="0"/>
              <w:right w:val="single" w:color="auto" w:sz="4" w:space="0"/>
            </w:tcBorders>
            <w:vAlign w:val="center"/>
          </w:tcPr>
          <w:p>
            <w:pPr>
              <w:widowControl/>
              <w:jc w:val="center"/>
              <w:rPr>
                <w:rFonts w:ascii="仿宋_GB2312" w:hAnsi="仿宋_GB2312" w:eastAsia="仿宋_GB2312" w:cs="仿宋_GB2312"/>
                <w:szCs w:val="21"/>
              </w:rPr>
            </w:pPr>
            <w:r>
              <w:rPr>
                <w:rFonts w:ascii="仿宋_GB2312" w:hAnsi="仿宋_GB2312" w:eastAsia="仿宋_GB2312" w:cs="仿宋_GB2312"/>
                <w:szCs w:val="21"/>
              </w:rPr>
              <w:t>办公费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2.8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vAlign w:val="center"/>
          </w:tcPr>
          <w:p>
            <w:pPr>
              <w:widowControl/>
              <w:rPr>
                <w:rFonts w:ascii="仿宋_GB2312" w:hAnsi="仿宋_GB2312" w:eastAsia="仿宋_GB2312" w:cs="仿宋_GB2312"/>
                <w:szCs w:val="21"/>
              </w:rPr>
            </w:pPr>
            <w:r>
              <w:rPr>
                <w:rFonts w:hint="eastAsia" w:ascii="仿宋_GB2312" w:hAnsi="仿宋_GB2312" w:eastAsia="仿宋_GB2312" w:cs="仿宋_GB2312"/>
                <w:szCs w:val="21"/>
              </w:rPr>
              <w:t>02</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印刷费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07</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邮电费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1.92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1.92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11</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差旅费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1.33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1.33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17</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公务接待费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0.2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28</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工会会费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6.42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6.42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31</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公务用车运行维护费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7.57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7.57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302</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39</w:t>
            </w:r>
          </w:p>
        </w:tc>
        <w:tc>
          <w:tcPr>
            <w:tcW w:w="2891" w:type="dxa"/>
            <w:tcBorders>
              <w:top w:val="nil"/>
              <w:left w:val="nil"/>
              <w:bottom w:val="single" w:color="auto" w:sz="4" w:space="0"/>
              <w:right w:val="single" w:color="auto" w:sz="4" w:space="0"/>
            </w:tcBorders>
          </w:tcPr>
          <w:p>
            <w:pPr>
              <w:widowControl/>
              <w:jc w:val="center"/>
              <w:textAlignment w:val="top"/>
              <w:rPr>
                <w:rFonts w:ascii="Calibri" w:hAnsi="Calibri" w:cs="Calibri"/>
                <w:color w:val="000000"/>
                <w:sz w:val="22"/>
                <w:szCs w:val="22"/>
              </w:rPr>
            </w:pPr>
            <w:r>
              <w:rPr>
                <w:rFonts w:ascii="仿宋_GB2312" w:hAnsi="仿宋_GB2312" w:eastAsia="仿宋_GB2312" w:cs="仿宋_GB2312"/>
                <w:szCs w:val="21"/>
              </w:rPr>
              <w:t>其他交通费用</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5.23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5.23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rPr>
                <w:rFonts w:ascii="仿宋_GB2312" w:hAnsi="仿宋_GB2312" w:eastAsia="仿宋_GB2312" w:cs="仿宋_GB2312"/>
                <w:szCs w:val="21"/>
              </w:rPr>
            </w:pPr>
            <w:r>
              <w:rPr>
                <w:rFonts w:hint="eastAsia" w:ascii="仿宋_GB2312" w:hAnsi="仿宋_GB2312" w:eastAsia="仿宋_GB2312" w:cs="仿宋_GB2312"/>
                <w:szCs w:val="21"/>
              </w:rPr>
              <w:t>303</w:t>
            </w:r>
          </w:p>
        </w:tc>
        <w:tc>
          <w:tcPr>
            <w:tcW w:w="577" w:type="dxa"/>
            <w:tcBorders>
              <w:top w:val="nil"/>
              <w:left w:val="nil"/>
              <w:bottom w:val="single" w:color="auto" w:sz="4" w:space="0"/>
              <w:right w:val="single" w:color="auto" w:sz="4" w:space="0"/>
            </w:tcBorders>
          </w:tcPr>
          <w:p>
            <w:pPr>
              <w:widowControl/>
              <w:rPr>
                <w:rFonts w:ascii="仿宋_GB2312" w:hAnsi="仿宋_GB2312" w:eastAsia="仿宋_GB2312" w:cs="仿宋_GB2312"/>
                <w:szCs w:val="21"/>
              </w:rPr>
            </w:pP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对个人和家庭的补助</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743.67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743.67</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303</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02</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退休费</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7.76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7.76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303</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05</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生活补助</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734.54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734.54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303</w:t>
            </w: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r>
              <w:rPr>
                <w:rFonts w:hint="eastAsia" w:ascii="仿宋_GB2312" w:hAnsi="仿宋_GB2312" w:eastAsia="仿宋_GB2312" w:cs="仿宋_GB2312"/>
                <w:szCs w:val="21"/>
              </w:rPr>
              <w:t>09</w:t>
            </w: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奖励金</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1.36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1.36</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tcPr>
          <w:p>
            <w:pPr>
              <w:widowControl/>
              <w:jc w:val="left"/>
              <w:rPr>
                <w:rFonts w:ascii="仿宋_GB2312" w:hAnsi="仿宋_GB2312" w:eastAsia="仿宋_GB2312" w:cs="仿宋_GB2312"/>
                <w:szCs w:val="21"/>
              </w:rPr>
            </w:pPr>
          </w:p>
        </w:tc>
        <w:tc>
          <w:tcPr>
            <w:tcW w:w="577" w:type="dxa"/>
            <w:tcBorders>
              <w:top w:val="nil"/>
              <w:left w:val="nil"/>
              <w:bottom w:val="single" w:color="auto" w:sz="4" w:space="0"/>
              <w:right w:val="single" w:color="auto" w:sz="4" w:space="0"/>
            </w:tcBorders>
          </w:tcPr>
          <w:p>
            <w:pPr>
              <w:widowControl/>
              <w:jc w:val="left"/>
              <w:rPr>
                <w:rFonts w:ascii="仿宋_GB2312" w:hAnsi="仿宋_GB2312" w:eastAsia="仿宋_GB2312" w:cs="仿宋_GB2312"/>
                <w:szCs w:val="21"/>
              </w:rPr>
            </w:pPr>
          </w:p>
        </w:tc>
        <w:tc>
          <w:tcPr>
            <w:tcW w:w="2891" w:type="dxa"/>
            <w:tcBorders>
              <w:top w:val="nil"/>
              <w:left w:val="nil"/>
              <w:bottom w:val="single" w:color="auto" w:sz="4" w:space="0"/>
              <w:right w:val="single" w:color="auto" w:sz="4" w:space="0"/>
            </w:tcBorders>
          </w:tcPr>
          <w:p>
            <w:pPr>
              <w:widowControl/>
              <w:jc w:val="center"/>
              <w:rPr>
                <w:rFonts w:ascii="仿宋_GB2312" w:hAnsi="仿宋_GB2312" w:eastAsia="仿宋_GB2312" w:cs="仿宋_GB2312"/>
                <w:b/>
                <w:bCs/>
                <w:szCs w:val="21"/>
              </w:rPr>
            </w:pPr>
            <w:r>
              <w:rPr>
                <w:rFonts w:hint="eastAsia" w:ascii="仿宋_GB2312" w:hAnsi="仿宋_GB2312" w:eastAsia="仿宋_GB2312" w:cs="仿宋_GB2312"/>
                <w:b/>
                <w:bCs/>
                <w:szCs w:val="21"/>
              </w:rPr>
              <w:t>合计</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1332.97</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1307.1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b/>
                <w:bCs/>
                <w:kern w:val="0"/>
                <w:sz w:val="20"/>
                <w:szCs w:val="20"/>
              </w:rPr>
            </w:pPr>
            <w:r>
              <w:rPr>
                <w:rFonts w:hint="eastAsia" w:ascii="宋体" w:hAnsi="宋体" w:cs="宋体"/>
                <w:b/>
                <w:bCs/>
                <w:kern w:val="0"/>
                <w:sz w:val="20"/>
                <w:szCs w:val="20"/>
              </w:rPr>
              <w:t>25.87</w:t>
            </w:r>
          </w:p>
        </w:tc>
      </w:tr>
    </w:tbl>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表7</w:t>
      </w:r>
    </w:p>
    <w:tbl>
      <w:tblPr>
        <w:tblStyle w:val="10"/>
        <w:tblW w:w="9540" w:type="dxa"/>
        <w:tblInd w:w="-360" w:type="dxa"/>
        <w:tblLayout w:type="fixed"/>
        <w:tblCellMar>
          <w:top w:w="0" w:type="dxa"/>
          <w:left w:w="108" w:type="dxa"/>
          <w:bottom w:w="0" w:type="dxa"/>
          <w:right w:w="108" w:type="dxa"/>
        </w:tblCellMar>
      </w:tblPr>
      <w:tblGrid>
        <w:gridCol w:w="10"/>
        <w:gridCol w:w="512"/>
        <w:gridCol w:w="424"/>
        <w:gridCol w:w="424"/>
        <w:gridCol w:w="833"/>
        <w:gridCol w:w="1242"/>
        <w:gridCol w:w="687"/>
        <w:gridCol w:w="164"/>
        <w:gridCol w:w="567"/>
        <w:gridCol w:w="850"/>
        <w:gridCol w:w="851"/>
        <w:gridCol w:w="425"/>
        <w:gridCol w:w="21"/>
        <w:gridCol w:w="396"/>
        <w:gridCol w:w="433"/>
        <w:gridCol w:w="421"/>
        <w:gridCol w:w="419"/>
        <w:gridCol w:w="419"/>
        <w:gridCol w:w="382"/>
        <w:gridCol w:w="60"/>
      </w:tblGrid>
      <w:tr>
        <w:tblPrEx>
          <w:tblCellMar>
            <w:top w:w="0" w:type="dxa"/>
            <w:left w:w="108" w:type="dxa"/>
            <w:bottom w:w="0" w:type="dxa"/>
            <w:right w:w="108" w:type="dxa"/>
          </w:tblCellMar>
        </w:tblPrEx>
        <w:trPr>
          <w:gridBefore w:val="1"/>
          <w:gridAfter w:val="1"/>
          <w:wBefore w:w="10" w:type="dxa"/>
          <w:wAfter w:w="60" w:type="dxa"/>
          <w:trHeight w:val="375" w:hRule="atLeast"/>
        </w:trPr>
        <w:tc>
          <w:tcPr>
            <w:tcW w:w="9470" w:type="dxa"/>
            <w:gridSpan w:val="18"/>
            <w:tcBorders>
              <w:top w:val="nil"/>
              <w:left w:val="nil"/>
              <w:bottom w:val="nil"/>
              <w:right w:val="nil"/>
            </w:tcBorders>
            <w:vAlign w:val="center"/>
          </w:tcPr>
          <w:p>
            <w:pPr>
              <w:widowControl/>
              <w:jc w:val="center"/>
              <w:rPr>
                <w:rFonts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CellMar>
            <w:top w:w="0" w:type="dxa"/>
            <w:left w:w="108" w:type="dxa"/>
            <w:bottom w:w="0" w:type="dxa"/>
            <w:right w:w="108" w:type="dxa"/>
          </w:tblCellMar>
        </w:tblPrEx>
        <w:trPr>
          <w:gridBefore w:val="1"/>
          <w:gridAfter w:val="1"/>
          <w:wBefore w:w="10" w:type="dxa"/>
          <w:wAfter w:w="60" w:type="dxa"/>
          <w:trHeight w:val="405" w:hRule="atLeast"/>
        </w:trPr>
        <w:tc>
          <w:tcPr>
            <w:tcW w:w="4122" w:type="dxa"/>
            <w:gridSpan w:val="6"/>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编制部门：</w:t>
            </w:r>
            <w:r>
              <w:rPr>
                <w:rFonts w:hint="eastAsia" w:ascii="仿宋_GB2312" w:hAnsi="宋体" w:eastAsia="仿宋_GB2312"/>
                <w:kern w:val="0"/>
                <w:sz w:val="24"/>
              </w:rPr>
              <w:t>中共呼图壁县委员会组织部</w:t>
            </w:r>
          </w:p>
        </w:tc>
        <w:tc>
          <w:tcPr>
            <w:tcW w:w="1581" w:type="dxa"/>
            <w:gridSpan w:val="3"/>
            <w:tcBorders>
              <w:top w:val="nil"/>
              <w:left w:val="nil"/>
              <w:bottom w:val="nil"/>
              <w:right w:val="nil"/>
            </w:tcBorders>
            <w:vAlign w:val="center"/>
          </w:tcPr>
          <w:p>
            <w:pPr>
              <w:widowControl/>
              <w:jc w:val="left"/>
              <w:rPr>
                <w:rFonts w:ascii="仿宋_GB2312" w:hAnsi="宋体" w:eastAsia="仿宋_GB2312" w:cs="宋体"/>
                <w:kern w:val="0"/>
                <w:sz w:val="24"/>
              </w:rPr>
            </w:pPr>
          </w:p>
        </w:tc>
        <w:tc>
          <w:tcPr>
            <w:tcW w:w="1297" w:type="dxa"/>
            <w:gridSpan w:val="3"/>
            <w:tcBorders>
              <w:top w:val="nil"/>
              <w:left w:val="nil"/>
              <w:bottom w:val="nil"/>
              <w:right w:val="nil"/>
            </w:tcBorders>
            <w:vAlign w:val="center"/>
          </w:tcPr>
          <w:p>
            <w:pPr>
              <w:widowControl/>
              <w:jc w:val="left"/>
              <w:rPr>
                <w:rFonts w:ascii="仿宋_GB2312" w:hAnsi="宋体" w:eastAsia="仿宋_GB2312" w:cs="宋体"/>
                <w:kern w:val="0"/>
                <w:sz w:val="24"/>
              </w:rPr>
            </w:pPr>
            <w:r>
              <w:rPr>
                <w:rFonts w:hint="eastAsia" w:ascii="仿宋_GB2312" w:hAnsi="宋体" w:eastAsia="仿宋_GB2312" w:cs="宋体"/>
                <w:kern w:val="0"/>
                <w:sz w:val="24"/>
              </w:rPr>
              <w:t xml:space="preserve">      </w:t>
            </w:r>
          </w:p>
        </w:tc>
        <w:tc>
          <w:tcPr>
            <w:tcW w:w="2470" w:type="dxa"/>
            <w:gridSpan w:val="6"/>
            <w:tcBorders>
              <w:top w:val="nil"/>
              <w:left w:val="nil"/>
              <w:bottom w:val="nil"/>
              <w:right w:val="nil"/>
            </w:tcBorders>
            <w:vAlign w:val="center"/>
          </w:tcPr>
          <w:p>
            <w:pPr>
              <w:widowControl/>
              <w:ind w:firstLine="960" w:firstLineChars="400"/>
              <w:rPr>
                <w:rFonts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70" w:type="dxa"/>
            <w:gridSpan w:val="4"/>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833"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名称</w:t>
            </w:r>
          </w:p>
        </w:tc>
        <w:tc>
          <w:tcPr>
            <w:tcW w:w="1242"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851"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567"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850"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851"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42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417"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433"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421"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419"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42" w:type="dxa"/>
            <w:gridSpan w:val="2"/>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22" w:type="dxa"/>
            <w:gridSpan w:val="2"/>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424"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424" w:type="dxa"/>
            <w:tcBorders>
              <w:bottom w:val="single" w:color="auto" w:sz="4" w:space="0"/>
            </w:tcBorders>
            <w:vAlign w:val="center"/>
          </w:tcPr>
          <w:p>
            <w:pPr>
              <w:widowControl/>
              <w:jc w:val="left"/>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833" w:type="dxa"/>
            <w:vMerge w:val="continue"/>
            <w:tcBorders>
              <w:bottom w:val="single" w:color="auto" w:sz="4" w:space="0"/>
            </w:tcBorders>
            <w:vAlign w:val="center"/>
          </w:tcPr>
          <w:p>
            <w:pPr>
              <w:widowControl/>
              <w:jc w:val="left"/>
              <w:outlineLvl w:val="1"/>
              <w:rPr>
                <w:rFonts w:ascii="仿宋_GB2312" w:hAnsi="宋体" w:eastAsia="仿宋_GB2312"/>
                <w:b/>
                <w:kern w:val="0"/>
                <w:sz w:val="20"/>
                <w:szCs w:val="20"/>
              </w:rPr>
            </w:pPr>
          </w:p>
        </w:tc>
        <w:tc>
          <w:tcPr>
            <w:tcW w:w="1242"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51"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567"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50"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851"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5"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7"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33"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21"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19" w:type="dxa"/>
            <w:vMerge w:val="continue"/>
            <w:tcBorders>
              <w:bottom w:val="single" w:color="auto" w:sz="4" w:space="0"/>
            </w:tcBorders>
          </w:tcPr>
          <w:p>
            <w:pPr>
              <w:widowControl/>
              <w:jc w:val="left"/>
              <w:outlineLvl w:val="1"/>
              <w:rPr>
                <w:rFonts w:ascii="仿宋_GB2312" w:hAnsi="宋体" w:eastAsia="仿宋_GB2312"/>
                <w:b/>
                <w:kern w:val="0"/>
                <w:sz w:val="20"/>
                <w:szCs w:val="20"/>
              </w:rPr>
            </w:pPr>
          </w:p>
        </w:tc>
        <w:tc>
          <w:tcPr>
            <w:tcW w:w="442" w:type="dxa"/>
            <w:gridSpan w:val="2"/>
            <w:vMerge w:val="continue"/>
            <w:tcBorders>
              <w:bottom w:val="single" w:color="auto" w:sz="4" w:space="0"/>
            </w:tcBorders>
          </w:tcPr>
          <w:p>
            <w:pPr>
              <w:widowControl/>
              <w:jc w:val="left"/>
              <w:outlineLvl w:val="1"/>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　</w:t>
            </w:r>
          </w:p>
        </w:tc>
        <w:tc>
          <w:tcPr>
            <w:tcW w:w="424" w:type="dxa"/>
          </w:tcPr>
          <w:p>
            <w:pPr>
              <w:widowControl/>
              <w:rPr>
                <w:rFonts w:ascii="仿宋_GB2312" w:hAnsi="仿宋_GB2312" w:eastAsia="仿宋_GB2312" w:cs="仿宋_GB2312"/>
                <w:sz w:val="18"/>
                <w:szCs w:val="18"/>
              </w:rPr>
            </w:pPr>
          </w:p>
        </w:tc>
        <w:tc>
          <w:tcPr>
            <w:tcW w:w="424" w:type="dxa"/>
          </w:tcPr>
          <w:p>
            <w:pPr>
              <w:widowControl/>
              <w:rPr>
                <w:rFonts w:ascii="仿宋_GB2312" w:hAnsi="仿宋_GB2312" w:eastAsia="仿宋_GB2312" w:cs="仿宋_GB2312"/>
                <w:sz w:val="18"/>
                <w:szCs w:val="18"/>
              </w:rPr>
            </w:pPr>
          </w:p>
        </w:tc>
        <w:tc>
          <w:tcPr>
            <w:tcW w:w="833" w:type="dxa"/>
          </w:tcPr>
          <w:p>
            <w:pPr>
              <w:widowControl/>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一般公共服务支出</w:t>
            </w:r>
          </w:p>
        </w:tc>
        <w:tc>
          <w:tcPr>
            <w:tcW w:w="1242" w:type="dxa"/>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252.61</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0.1</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242.19</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10.32</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32</w:t>
            </w:r>
          </w:p>
        </w:tc>
        <w:tc>
          <w:tcPr>
            <w:tcW w:w="424" w:type="dxa"/>
          </w:tcPr>
          <w:p>
            <w:pPr>
              <w:widowControl/>
              <w:rPr>
                <w:rFonts w:ascii="仿宋_GB2312" w:hAnsi="仿宋_GB2312" w:eastAsia="仿宋_GB2312" w:cs="仿宋_GB2312"/>
                <w:sz w:val="18"/>
                <w:szCs w:val="18"/>
              </w:rPr>
            </w:pPr>
          </w:p>
        </w:tc>
        <w:tc>
          <w:tcPr>
            <w:tcW w:w="833" w:type="dxa"/>
          </w:tcPr>
          <w:p>
            <w:pPr>
              <w:widowControl/>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组织事务</w:t>
            </w:r>
          </w:p>
        </w:tc>
        <w:tc>
          <w:tcPr>
            <w:tcW w:w="1242" w:type="dxa"/>
          </w:tcPr>
          <w:p>
            <w:pPr>
              <w:widowControl/>
              <w:jc w:val="left"/>
              <w:outlineLvl w:val="1"/>
              <w:rPr>
                <w:rFonts w:ascii="仿宋_GB2312" w:hAnsi="宋体" w:eastAsia="仿宋_GB2312"/>
                <w:kern w:val="0"/>
                <w:sz w:val="18"/>
                <w:szCs w:val="18"/>
              </w:rPr>
            </w:pPr>
            <w:r>
              <w:rPr>
                <w:rFonts w:hint="eastAsia" w:ascii="仿宋_GB2312" w:hAnsi="宋体" w:eastAsia="仿宋_GB2312"/>
                <w:kern w:val="0"/>
                <w:sz w:val="18"/>
                <w:szCs w:val="18"/>
              </w:rPr>
              <w:t>　　</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252.61</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0.1</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242.19</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10.32</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32　</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99　</w:t>
            </w:r>
          </w:p>
        </w:tc>
        <w:tc>
          <w:tcPr>
            <w:tcW w:w="8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其他组织事务支出</w:t>
            </w:r>
          </w:p>
        </w:tc>
        <w:tc>
          <w:tcPr>
            <w:tcW w:w="1242" w:type="dxa"/>
          </w:tcPr>
          <w:p>
            <w:pPr>
              <w:widowControl/>
              <w:jc w:val="left"/>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离休干部特需经费（2025年非定额)　</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0.1</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0.1　</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32　</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99　</w:t>
            </w:r>
          </w:p>
        </w:tc>
        <w:tc>
          <w:tcPr>
            <w:tcW w:w="833" w:type="dxa"/>
          </w:tcPr>
          <w:p>
            <w:pPr>
              <w:widowControl/>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其他组织事务支出</w:t>
            </w:r>
          </w:p>
        </w:tc>
        <w:tc>
          <w:tcPr>
            <w:tcW w:w="1242" w:type="dxa"/>
          </w:tcPr>
          <w:p>
            <w:pPr>
              <w:widowControl/>
              <w:jc w:val="left"/>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人才发展专项经费（2025年非定额）</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50.31</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50.31</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32　</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99　</w:t>
            </w:r>
          </w:p>
        </w:tc>
        <w:tc>
          <w:tcPr>
            <w:tcW w:w="833" w:type="dxa"/>
          </w:tcPr>
          <w:p>
            <w:pPr>
              <w:widowControl/>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其他组织事务支出　</w:t>
            </w:r>
          </w:p>
        </w:tc>
        <w:tc>
          <w:tcPr>
            <w:tcW w:w="1242" w:type="dxa"/>
          </w:tcPr>
          <w:p>
            <w:pPr>
              <w:widowControl/>
              <w:jc w:val="left"/>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2025年自治区援疆干部医疗费</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7.2</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7.2</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32　</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99　</w:t>
            </w:r>
          </w:p>
        </w:tc>
        <w:tc>
          <w:tcPr>
            <w:tcW w:w="833" w:type="dxa"/>
          </w:tcPr>
          <w:p>
            <w:pPr>
              <w:widowControl/>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其他组织事务支出　</w:t>
            </w:r>
          </w:p>
        </w:tc>
        <w:tc>
          <w:tcPr>
            <w:tcW w:w="1242" w:type="dxa"/>
          </w:tcPr>
          <w:p>
            <w:pPr>
              <w:widowControl/>
              <w:jc w:val="left"/>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老干部工作经费（2025年非定额）</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15</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11.88</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3.12</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32　</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99　</w:t>
            </w:r>
          </w:p>
        </w:tc>
        <w:tc>
          <w:tcPr>
            <w:tcW w:w="833" w:type="dxa"/>
          </w:tcPr>
          <w:p>
            <w:pPr>
              <w:widowControl/>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其他组织事务支出　</w:t>
            </w:r>
          </w:p>
        </w:tc>
        <w:tc>
          <w:tcPr>
            <w:tcW w:w="1242" w:type="dxa"/>
          </w:tcPr>
          <w:p>
            <w:pPr>
              <w:widowControl/>
              <w:jc w:val="left"/>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干部教育培训经费（2025年非定额）</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50</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50</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32　</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99　</w:t>
            </w:r>
          </w:p>
        </w:tc>
        <w:tc>
          <w:tcPr>
            <w:tcW w:w="833" w:type="dxa"/>
          </w:tcPr>
          <w:p>
            <w:pPr>
              <w:widowControl/>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其他组织事务支出　</w:t>
            </w:r>
          </w:p>
        </w:tc>
        <w:tc>
          <w:tcPr>
            <w:tcW w:w="1242" w:type="dxa"/>
          </w:tcPr>
          <w:p>
            <w:pPr>
              <w:widowControl/>
              <w:jc w:val="left"/>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“五个好”党支部示范点补助经费（2025年非定额）</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120</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120</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201</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32　</w:t>
            </w:r>
          </w:p>
        </w:tc>
        <w:tc>
          <w:tcPr>
            <w:tcW w:w="424"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99　</w:t>
            </w:r>
          </w:p>
        </w:tc>
        <w:tc>
          <w:tcPr>
            <w:tcW w:w="833" w:type="dxa"/>
          </w:tcPr>
          <w:p>
            <w:pPr>
              <w:widowControl/>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其他组织事务支出　</w:t>
            </w:r>
          </w:p>
        </w:tc>
        <w:tc>
          <w:tcPr>
            <w:tcW w:w="1242" w:type="dxa"/>
          </w:tcPr>
          <w:p>
            <w:pPr>
              <w:widowControl/>
              <w:jc w:val="left"/>
              <w:outlineLvl w:val="1"/>
              <w:rPr>
                <w:rFonts w:ascii="仿宋_GB2312" w:hAnsi="仿宋_GB2312" w:eastAsia="仿宋_GB2312" w:cs="仿宋_GB2312"/>
                <w:sz w:val="18"/>
                <w:szCs w:val="18"/>
              </w:rPr>
            </w:pPr>
            <w:r>
              <w:rPr>
                <w:rFonts w:hint="eastAsia" w:ascii="仿宋_GB2312" w:hAnsi="仿宋_GB2312" w:eastAsia="仿宋_GB2312" w:cs="仿宋_GB2312"/>
                <w:sz w:val="18"/>
                <w:szCs w:val="18"/>
              </w:rPr>
              <w:t>“呼必应”小程序维护及更新升级费（2025年非定额）</w:t>
            </w:r>
          </w:p>
        </w:tc>
        <w:tc>
          <w:tcPr>
            <w:tcW w:w="851"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10</w:t>
            </w:r>
          </w:p>
        </w:tc>
        <w:tc>
          <w:tcPr>
            <w:tcW w:w="567"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850"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10</w:t>
            </w:r>
          </w:p>
        </w:tc>
        <w:tc>
          <w:tcPr>
            <w:tcW w:w="851"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5"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17" w:type="dxa"/>
            <w:gridSpan w:val="2"/>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33" w:type="dxa"/>
          </w:tcPr>
          <w:p>
            <w:pPr>
              <w:widowControl/>
              <w:rPr>
                <w:rFonts w:ascii="仿宋_GB2312" w:hAnsi="仿宋_GB2312" w:eastAsia="仿宋_GB2312" w:cs="仿宋_GB2312"/>
                <w:sz w:val="18"/>
                <w:szCs w:val="18"/>
              </w:rPr>
            </w:pPr>
            <w:r>
              <w:rPr>
                <w:rFonts w:hint="eastAsia" w:ascii="仿宋_GB2312" w:hAnsi="仿宋_GB2312" w:eastAsia="仿宋_GB2312" w:cs="仿宋_GB2312"/>
                <w:sz w:val="18"/>
                <w:szCs w:val="18"/>
              </w:rPr>
              <w:t>　</w:t>
            </w:r>
          </w:p>
        </w:tc>
        <w:tc>
          <w:tcPr>
            <w:tcW w:w="421"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2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24"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24"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833" w:type="dxa"/>
          </w:tcPr>
          <w:p>
            <w:pPr>
              <w:widowControl/>
              <w:jc w:val="center"/>
              <w:rPr>
                <w:rFonts w:ascii="仿宋_GB2312" w:hAnsi="仿宋_GB2312" w:eastAsia="仿宋_GB2312" w:cs="仿宋_GB2312"/>
                <w:szCs w:val="21"/>
              </w:rPr>
            </w:pPr>
            <w:r>
              <w:rPr>
                <w:rFonts w:hint="eastAsia" w:ascii="仿宋_GB2312" w:hAnsi="仿宋_GB2312" w:eastAsia="仿宋_GB2312" w:cs="仿宋_GB2312"/>
                <w:szCs w:val="21"/>
              </w:rPr>
              <w:t>　</w:t>
            </w:r>
          </w:p>
        </w:tc>
        <w:tc>
          <w:tcPr>
            <w:tcW w:w="1242" w:type="dxa"/>
            <w:vAlign w:val="center"/>
          </w:tcPr>
          <w:p>
            <w:pPr>
              <w:widowControl/>
              <w:jc w:val="center"/>
              <w:outlineLvl w:val="1"/>
              <w:rPr>
                <w:rFonts w:ascii="仿宋_GB2312" w:hAnsi="宋体" w:eastAsia="仿宋_GB2312"/>
                <w:b/>
                <w:bCs/>
                <w:kern w:val="0"/>
                <w:sz w:val="32"/>
                <w:szCs w:val="32"/>
              </w:rPr>
            </w:pPr>
            <w:r>
              <w:rPr>
                <w:rFonts w:hint="eastAsia" w:ascii="仿宋_GB2312" w:hAnsi="宋体" w:eastAsia="仿宋_GB2312"/>
                <w:b/>
                <w:bCs/>
                <w:kern w:val="0"/>
                <w:sz w:val="20"/>
                <w:szCs w:val="20"/>
              </w:rPr>
              <w:t>合 计</w:t>
            </w:r>
          </w:p>
        </w:tc>
        <w:tc>
          <w:tcPr>
            <w:tcW w:w="851" w:type="dxa"/>
            <w:gridSpan w:val="2"/>
            <w:vAlign w:val="center"/>
          </w:tcPr>
          <w:p>
            <w:pPr>
              <w:widowControl/>
              <w:jc w:val="center"/>
              <w:rPr>
                <w:rFonts w:ascii="仿宋_GB2312" w:hAnsi="仿宋_GB2312" w:eastAsia="仿宋_GB2312" w:cs="仿宋_GB2312"/>
                <w:b/>
                <w:bCs/>
                <w:szCs w:val="21"/>
              </w:rPr>
            </w:pPr>
            <w:r>
              <w:rPr>
                <w:rFonts w:hint="eastAsia" w:ascii="仿宋_GB2312" w:hAnsi="仿宋_GB2312" w:eastAsia="仿宋_GB2312" w:cs="仿宋_GB2312"/>
                <w:b/>
                <w:bCs/>
                <w:szCs w:val="21"/>
              </w:rPr>
              <w:t>252.61</w:t>
            </w:r>
          </w:p>
        </w:tc>
        <w:tc>
          <w:tcPr>
            <w:tcW w:w="567" w:type="dxa"/>
            <w:vAlign w:val="center"/>
          </w:tcPr>
          <w:p>
            <w:pPr>
              <w:widowControl/>
              <w:jc w:val="center"/>
              <w:rPr>
                <w:rFonts w:ascii="仿宋_GB2312" w:hAnsi="仿宋_GB2312" w:eastAsia="仿宋_GB2312" w:cs="仿宋_GB2312"/>
                <w:b/>
                <w:bCs/>
                <w:szCs w:val="21"/>
              </w:rPr>
            </w:pPr>
            <w:r>
              <w:rPr>
                <w:rFonts w:hint="eastAsia" w:ascii="仿宋_GB2312" w:hAnsi="仿宋_GB2312" w:eastAsia="仿宋_GB2312" w:cs="仿宋_GB2312"/>
                <w:b/>
                <w:bCs/>
                <w:szCs w:val="21"/>
              </w:rPr>
              <w:t>0.1</w:t>
            </w:r>
          </w:p>
        </w:tc>
        <w:tc>
          <w:tcPr>
            <w:tcW w:w="850" w:type="dxa"/>
            <w:vAlign w:val="center"/>
          </w:tcPr>
          <w:p>
            <w:pPr>
              <w:widowControl/>
              <w:jc w:val="center"/>
              <w:rPr>
                <w:rFonts w:ascii="仿宋_GB2312" w:hAnsi="仿宋_GB2312" w:eastAsia="仿宋_GB2312" w:cs="仿宋_GB2312"/>
                <w:b/>
                <w:bCs/>
                <w:szCs w:val="21"/>
              </w:rPr>
            </w:pPr>
            <w:r>
              <w:rPr>
                <w:rFonts w:hint="eastAsia" w:ascii="仿宋_GB2312" w:hAnsi="仿宋_GB2312" w:eastAsia="仿宋_GB2312" w:cs="仿宋_GB2312"/>
                <w:b/>
                <w:bCs/>
                <w:szCs w:val="21"/>
              </w:rPr>
              <w:t>242.19</w:t>
            </w:r>
          </w:p>
        </w:tc>
        <w:tc>
          <w:tcPr>
            <w:tcW w:w="851" w:type="dxa"/>
            <w:vAlign w:val="center"/>
          </w:tcPr>
          <w:p>
            <w:pPr>
              <w:widowControl/>
              <w:jc w:val="center"/>
              <w:rPr>
                <w:rFonts w:ascii="仿宋_GB2312" w:hAnsi="仿宋_GB2312" w:eastAsia="仿宋_GB2312" w:cs="仿宋_GB2312"/>
                <w:b/>
                <w:bCs/>
                <w:szCs w:val="21"/>
              </w:rPr>
            </w:pPr>
            <w:r>
              <w:rPr>
                <w:rFonts w:hint="eastAsia" w:ascii="仿宋_GB2312" w:hAnsi="仿宋_GB2312" w:eastAsia="仿宋_GB2312" w:cs="仿宋_GB2312"/>
                <w:b/>
                <w:bCs/>
                <w:szCs w:val="21"/>
              </w:rPr>
              <w:t>10.32</w:t>
            </w:r>
          </w:p>
        </w:tc>
        <w:tc>
          <w:tcPr>
            <w:tcW w:w="425"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7"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33"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21" w:type="dxa"/>
          </w:tcPr>
          <w:p>
            <w:pPr>
              <w:widowControl/>
              <w:jc w:val="center"/>
              <w:rPr>
                <w:rFonts w:ascii="仿宋_GB2312" w:hAnsi="仿宋_GB2312" w:eastAsia="仿宋_GB2312" w:cs="仿宋_GB2312"/>
                <w:szCs w:val="21"/>
              </w:rPr>
            </w:pP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19" w:type="dxa"/>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c>
          <w:tcPr>
            <w:tcW w:w="442" w:type="dxa"/>
            <w:gridSpan w:val="2"/>
          </w:tcPr>
          <w:p>
            <w:pPr>
              <w:widowControl/>
              <w:rPr>
                <w:rFonts w:ascii="仿宋_GB2312" w:hAnsi="仿宋_GB2312" w:eastAsia="仿宋_GB2312" w:cs="仿宋_GB2312"/>
                <w:szCs w:val="21"/>
              </w:rPr>
            </w:pPr>
            <w:r>
              <w:rPr>
                <w:rFonts w:hint="eastAsia" w:ascii="仿宋_GB2312" w:hAnsi="仿宋_GB2312" w:eastAsia="仿宋_GB2312" w:cs="仿宋_GB2312"/>
                <w:szCs w:val="21"/>
              </w:rPr>
              <w:t>　</w:t>
            </w:r>
          </w:p>
        </w:tc>
      </w:tr>
    </w:tbl>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w:t>
      </w:r>
      <w:r>
        <w:rPr>
          <w:rFonts w:ascii="宋体" w:hAnsi="宋体" w:cs="宋体"/>
          <w:kern w:val="0"/>
          <w:sz w:val="20"/>
          <w:szCs w:val="20"/>
          <w:lang w:bidi="ar"/>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编制部门：中共呼图壁县委员会组织部                              单位：万元</w:t>
      </w:r>
    </w:p>
    <w:tbl>
      <w:tblPr>
        <w:tblStyle w:val="10"/>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中共呼图壁县委员会组织部2025 年没有使用政府性基金预算拨款安排的支出，政府性基金预算支出情况表为空表。</w:t>
      </w:r>
    </w:p>
    <w:p>
      <w:pPr>
        <w:pStyle w:val="2"/>
      </w:pPr>
    </w:p>
    <w:p>
      <w:pPr>
        <w:pStyle w:val="2"/>
      </w:pPr>
    </w:p>
    <w:p>
      <w:pPr>
        <w:pStyle w:val="2"/>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lang w:bidi="ar"/>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编制部门：中共呼图壁县委员会组织部                         单位：万元</w:t>
      </w:r>
    </w:p>
    <w:tbl>
      <w:tblPr>
        <w:tblStyle w:val="10"/>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p>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r>
        <w:rPr>
          <w:rFonts w:hint="eastAsia" w:ascii="仿宋_GB2312" w:hAnsi="宋体" w:eastAsia="仿宋_GB2312"/>
          <w:b/>
          <w:kern w:val="0"/>
          <w:sz w:val="28"/>
          <w:szCs w:val="32"/>
        </w:rPr>
        <w:t>备注：</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中共呼图壁县委员会组织部2025 年没有使用国有资本经营预算拨款安排的支出，国有资本经营预算支出情况表为空表。</w:t>
      </w:r>
    </w:p>
    <w:p>
      <w:pPr>
        <w:widowControl/>
        <w:jc w:val="left"/>
        <w:textAlignment w:val="bottom"/>
        <w:rPr>
          <w:rFonts w:ascii="仿宋_GB2312" w:hAnsi="宋体" w:eastAsia="仿宋_GB2312"/>
          <w:b/>
          <w:kern w:val="0"/>
          <w:sz w:val="28"/>
          <w:szCs w:val="32"/>
        </w:rPr>
      </w:pPr>
    </w:p>
    <w:p>
      <w:pPr>
        <w:pStyle w:val="2"/>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w:t>
      </w:r>
      <w:r>
        <w:rPr>
          <w:rFonts w:ascii="宋体" w:hAnsi="宋体" w:cs="宋体"/>
          <w:kern w:val="0"/>
          <w:sz w:val="20"/>
          <w:szCs w:val="20"/>
          <w:lang w:bidi="ar"/>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lang w:eastAsia="zh-Hans"/>
        </w:rPr>
        <w:t>财政拨款</w:t>
      </w:r>
      <w:r>
        <w:rPr>
          <w:rFonts w:hint="eastAsia" w:ascii="仿宋_GB2312" w:hAnsi="宋体" w:eastAsia="仿宋_GB2312"/>
          <w:b/>
          <w:kern w:val="0"/>
          <w:sz w:val="32"/>
          <w:szCs w:val="32"/>
        </w:rPr>
        <w:t>“三公”经费支出情况表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编制部门：中共呼图壁县委员会组织部                         单位：万元</w:t>
      </w:r>
    </w:p>
    <w:tbl>
      <w:tblPr>
        <w:tblStyle w:val="11"/>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合计</w:t>
            </w:r>
          </w:p>
        </w:tc>
        <w:tc>
          <w:tcPr>
            <w:tcW w:w="4530" w:type="dxa"/>
            <w:gridSpan w:val="3"/>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widowControl/>
              <w:outlineLvl w:val="1"/>
              <w:rPr>
                <w:rFonts w:ascii="仿宋_GB2312" w:hAnsi="宋体" w:eastAsia="仿宋_GB2312"/>
                <w:b/>
                <w:kern w:val="0"/>
                <w:sz w:val="28"/>
                <w:szCs w:val="32"/>
              </w:rPr>
            </w:pPr>
          </w:p>
        </w:tc>
        <w:tc>
          <w:tcPr>
            <w:tcW w:w="1215" w:type="dxa"/>
            <w:vMerge w:val="continue"/>
          </w:tcPr>
          <w:p>
            <w:pPr>
              <w:widowControl/>
              <w:outlineLvl w:val="1"/>
              <w:rPr>
                <w:rFonts w:ascii="仿宋_GB2312" w:hAnsi="宋体" w:eastAsia="仿宋_GB2312"/>
                <w:b/>
                <w:kern w:val="0"/>
                <w:sz w:val="28"/>
                <w:szCs w:val="32"/>
              </w:rPr>
            </w:pPr>
          </w:p>
        </w:tc>
        <w:tc>
          <w:tcPr>
            <w:tcW w:w="1314" w:type="dxa"/>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一般公共预算</w:t>
            </w:r>
          </w:p>
        </w:tc>
        <w:tc>
          <w:tcPr>
            <w:tcW w:w="1595"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tcPr>
          <w:p>
            <w:pPr>
              <w:widowControl/>
              <w:outlineLvl w:val="1"/>
              <w:rPr>
                <w:rFonts w:ascii="仿宋_GB2312" w:hAnsi="宋体" w:eastAsia="仿宋_GB2312"/>
                <w:b/>
                <w:bCs/>
                <w:kern w:val="0"/>
                <w:sz w:val="24"/>
              </w:rPr>
            </w:pPr>
            <w:r>
              <w:rPr>
                <w:rFonts w:hint="eastAsia" w:ascii="仿宋_GB2312" w:hAnsi="宋体" w:eastAsia="仿宋_GB2312"/>
                <w:b/>
                <w:bCs/>
                <w:kern w:val="0"/>
                <w:sz w:val="24"/>
              </w:rPr>
              <w:t>7.77</w:t>
            </w:r>
          </w:p>
        </w:tc>
        <w:tc>
          <w:tcPr>
            <w:tcW w:w="1314" w:type="dxa"/>
          </w:tcPr>
          <w:p>
            <w:pPr>
              <w:widowControl/>
              <w:outlineLvl w:val="1"/>
              <w:rPr>
                <w:rFonts w:ascii="仿宋_GB2312" w:hAnsi="宋体" w:eastAsia="仿宋_GB2312"/>
                <w:b/>
                <w:bCs/>
                <w:kern w:val="0"/>
                <w:sz w:val="24"/>
              </w:rPr>
            </w:pPr>
            <w:r>
              <w:rPr>
                <w:rFonts w:hint="eastAsia" w:ascii="仿宋_GB2312" w:hAnsi="宋体" w:eastAsia="仿宋_GB2312"/>
                <w:b/>
                <w:bCs/>
                <w:kern w:val="0"/>
                <w:sz w:val="24"/>
              </w:rPr>
              <w:t>7.77</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tcPr>
          <w:p>
            <w:pPr>
              <w:widowControl/>
              <w:outlineLvl w:val="1"/>
              <w:rPr>
                <w:rFonts w:ascii="仿宋_GB2312" w:hAnsi="宋体" w:eastAsia="仿宋_GB2312"/>
                <w:kern w:val="0"/>
                <w:sz w:val="24"/>
              </w:rPr>
            </w:pPr>
          </w:p>
        </w:tc>
        <w:tc>
          <w:tcPr>
            <w:tcW w:w="1314" w:type="dxa"/>
          </w:tcPr>
          <w:p>
            <w:pPr>
              <w:widowControl/>
              <w:outlineLvl w:val="1"/>
              <w:rPr>
                <w:rFonts w:ascii="仿宋_GB2312" w:hAnsi="宋体" w:eastAsia="仿宋_GB2312"/>
                <w:kern w:val="0"/>
                <w:sz w:val="24"/>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tcPr>
          <w:p>
            <w:pPr>
              <w:widowControl/>
              <w:outlineLvl w:val="1"/>
              <w:rPr>
                <w:rFonts w:ascii="仿宋_GB2312" w:hAnsi="宋体" w:eastAsia="仿宋_GB2312"/>
                <w:kern w:val="0"/>
                <w:sz w:val="24"/>
              </w:rPr>
            </w:pPr>
            <w:r>
              <w:rPr>
                <w:rFonts w:hint="eastAsia" w:ascii="仿宋_GB2312" w:hAnsi="宋体" w:eastAsia="仿宋_GB2312"/>
                <w:kern w:val="0"/>
                <w:sz w:val="24"/>
              </w:rPr>
              <w:t>0.2</w:t>
            </w:r>
          </w:p>
        </w:tc>
        <w:tc>
          <w:tcPr>
            <w:tcW w:w="1314" w:type="dxa"/>
          </w:tcPr>
          <w:p>
            <w:pPr>
              <w:widowControl/>
              <w:outlineLvl w:val="1"/>
              <w:rPr>
                <w:rFonts w:ascii="仿宋_GB2312" w:hAnsi="宋体" w:eastAsia="仿宋_GB2312"/>
                <w:kern w:val="0"/>
                <w:sz w:val="24"/>
              </w:rPr>
            </w:pPr>
            <w:r>
              <w:rPr>
                <w:rFonts w:hint="eastAsia" w:ascii="仿宋_GB2312" w:hAnsi="宋体" w:eastAsia="仿宋_GB2312"/>
                <w:kern w:val="0"/>
                <w:sz w:val="24"/>
              </w:rPr>
              <w:t>0.2</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tcPr>
          <w:p>
            <w:pPr>
              <w:widowControl/>
              <w:outlineLvl w:val="1"/>
              <w:rPr>
                <w:rFonts w:ascii="仿宋_GB2312" w:hAnsi="宋体" w:eastAsia="仿宋_GB2312"/>
                <w:kern w:val="0"/>
                <w:sz w:val="24"/>
              </w:rPr>
            </w:pPr>
            <w:r>
              <w:rPr>
                <w:rFonts w:hint="eastAsia" w:ascii="仿宋_GB2312" w:hAnsi="宋体" w:eastAsia="仿宋_GB2312"/>
                <w:kern w:val="0"/>
                <w:sz w:val="24"/>
              </w:rPr>
              <w:t>7.57</w:t>
            </w:r>
          </w:p>
        </w:tc>
        <w:tc>
          <w:tcPr>
            <w:tcW w:w="1314" w:type="dxa"/>
          </w:tcPr>
          <w:p>
            <w:pPr>
              <w:widowControl/>
              <w:outlineLvl w:val="1"/>
              <w:rPr>
                <w:rFonts w:ascii="仿宋_GB2312" w:hAnsi="宋体" w:eastAsia="仿宋_GB2312"/>
                <w:kern w:val="0"/>
                <w:sz w:val="24"/>
              </w:rPr>
            </w:pPr>
            <w:r>
              <w:rPr>
                <w:rFonts w:hint="eastAsia" w:ascii="仿宋_GB2312" w:hAnsi="宋体" w:eastAsia="仿宋_GB2312"/>
                <w:kern w:val="0"/>
                <w:sz w:val="24"/>
              </w:rPr>
              <w:t>7.57</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ind w:firstLine="281" w:firstLineChars="100"/>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tcPr>
          <w:p>
            <w:pPr>
              <w:widowControl/>
              <w:outlineLvl w:val="1"/>
              <w:rPr>
                <w:rFonts w:ascii="仿宋_GB2312" w:hAnsi="宋体" w:eastAsia="仿宋_GB2312"/>
                <w:b/>
                <w:kern w:val="0"/>
                <w:sz w:val="28"/>
                <w:szCs w:val="32"/>
              </w:rPr>
            </w:pPr>
          </w:p>
        </w:tc>
        <w:tc>
          <w:tcPr>
            <w:tcW w:w="1314" w:type="dxa"/>
          </w:tcPr>
          <w:p>
            <w:pPr>
              <w:widowControl/>
              <w:outlineLvl w:val="1"/>
              <w:rPr>
                <w:rFonts w:ascii="仿宋_GB2312" w:hAnsi="宋体" w:eastAsia="仿宋_GB2312"/>
                <w:b/>
                <w:kern w:val="0"/>
                <w:sz w:val="28"/>
                <w:szCs w:val="32"/>
              </w:rPr>
            </w:pP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 xml:space="preserve">     </w:t>
            </w:r>
            <w:r>
              <w:rPr>
                <w:rFonts w:ascii="仿宋_GB2312" w:hAnsi="宋体" w:eastAsia="仿宋_GB2312"/>
                <w:b/>
                <w:kern w:val="0"/>
                <w:sz w:val="28"/>
                <w:szCs w:val="32"/>
              </w:rPr>
              <w:t xml:space="preserve">  </w:t>
            </w:r>
            <w:r>
              <w:rPr>
                <w:rFonts w:hint="eastAsia" w:ascii="仿宋_GB2312" w:hAnsi="宋体" w:eastAsia="仿宋_GB2312"/>
                <w:b/>
                <w:kern w:val="0"/>
                <w:sz w:val="28"/>
                <w:szCs w:val="32"/>
              </w:rPr>
              <w:t xml:space="preserve"> 公务用车运行费</w:t>
            </w:r>
          </w:p>
        </w:tc>
        <w:tc>
          <w:tcPr>
            <w:tcW w:w="1215"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7.57</w:t>
            </w:r>
          </w:p>
        </w:tc>
        <w:tc>
          <w:tcPr>
            <w:tcW w:w="1314" w:type="dxa"/>
          </w:tcPr>
          <w:p>
            <w:pPr>
              <w:widowControl/>
              <w:outlineLvl w:val="1"/>
              <w:rPr>
                <w:rFonts w:ascii="仿宋_GB2312" w:hAnsi="宋体" w:eastAsia="仿宋_GB2312"/>
                <w:b/>
                <w:kern w:val="0"/>
                <w:sz w:val="28"/>
                <w:szCs w:val="32"/>
              </w:rPr>
            </w:pPr>
            <w:r>
              <w:rPr>
                <w:rFonts w:hint="eastAsia" w:ascii="仿宋_GB2312" w:hAnsi="宋体" w:eastAsia="仿宋_GB2312"/>
                <w:b/>
                <w:kern w:val="0"/>
                <w:sz w:val="28"/>
                <w:szCs w:val="32"/>
              </w:rPr>
              <w:t>7.57</w:t>
            </w:r>
          </w:p>
        </w:tc>
        <w:tc>
          <w:tcPr>
            <w:tcW w:w="1595" w:type="dxa"/>
          </w:tcPr>
          <w:p>
            <w:pPr>
              <w:widowControl/>
              <w:outlineLvl w:val="1"/>
              <w:rPr>
                <w:rFonts w:ascii="仿宋_GB2312" w:hAnsi="宋体" w:eastAsia="仿宋_GB2312"/>
                <w:b/>
                <w:kern w:val="0"/>
                <w:sz w:val="28"/>
                <w:szCs w:val="32"/>
              </w:rPr>
            </w:pPr>
          </w:p>
        </w:tc>
        <w:tc>
          <w:tcPr>
            <w:tcW w:w="1621" w:type="dxa"/>
          </w:tcPr>
          <w:p>
            <w:pPr>
              <w:widowControl/>
              <w:outlineLvl w:val="1"/>
              <w:rPr>
                <w:rFonts w:ascii="仿宋_GB2312" w:hAnsi="宋体" w:eastAsia="仿宋_GB2312"/>
                <w:b/>
                <w:kern w:val="0"/>
                <w:sz w:val="28"/>
                <w:szCs w:val="32"/>
              </w:rPr>
            </w:pPr>
          </w:p>
        </w:tc>
      </w:tr>
    </w:tbl>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spacing w:line="600" w:lineRule="exact"/>
        <w:ind w:left="640"/>
        <w:jc w:val="center"/>
        <w:rPr>
          <w:rFonts w:ascii="仿宋" w:hAnsi="仿宋" w:eastAsia="仿宋" w:cs="仿宋_GB2312"/>
          <w:bCs/>
          <w:kern w:val="0"/>
          <w:sz w:val="28"/>
          <w:szCs w:val="28"/>
        </w:rPr>
      </w:pPr>
    </w:p>
    <w:p>
      <w:pPr>
        <w:pStyle w:val="2"/>
      </w:pPr>
    </w:p>
    <w:p>
      <w:pPr>
        <w:pStyle w:val="2"/>
      </w:pPr>
    </w:p>
    <w:p>
      <w:pPr>
        <w:pStyle w:val="2"/>
      </w:pPr>
    </w:p>
    <w:p>
      <w:pPr>
        <w:spacing w:line="600" w:lineRule="exact"/>
        <w:rPr>
          <w:rFonts w:ascii="仿宋" w:hAnsi="仿宋" w:eastAsia="仿宋" w:cs="仿宋_GB2312"/>
          <w:bCs/>
          <w:kern w:val="0"/>
          <w:sz w:val="28"/>
          <w:szCs w:val="28"/>
        </w:r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lang w:bidi="ar"/>
        </w:rPr>
        <w:t>表</w:t>
      </w:r>
      <w:r>
        <w:rPr>
          <w:rFonts w:ascii="宋体" w:hAnsi="宋体" w:cs="宋体"/>
          <w:kern w:val="0"/>
          <w:sz w:val="20"/>
          <w:szCs w:val="20"/>
          <w:lang w:bidi="ar"/>
        </w:rPr>
        <w:t>1</w:t>
      </w:r>
      <w:r>
        <w:rPr>
          <w:rFonts w:hint="eastAsia" w:ascii="宋体" w:hAnsi="宋体" w:cs="宋体"/>
          <w:kern w:val="0"/>
          <w:sz w:val="20"/>
          <w:szCs w:val="20"/>
          <w:lang w:bidi="ar"/>
        </w:rPr>
        <w:t>1</w:t>
      </w:r>
    </w:p>
    <w:p>
      <w:pPr>
        <w:spacing w:line="600" w:lineRule="exact"/>
        <w:ind w:firstLine="2891" w:firstLineChars="900"/>
        <w:rPr>
          <w:rFonts w:ascii="仿宋_GB2312" w:hAnsi="宋体" w:eastAsia="仿宋_GB2312"/>
          <w:b/>
          <w:kern w:val="0"/>
          <w:sz w:val="32"/>
          <w:szCs w:val="32"/>
          <w:lang w:eastAsia="zh-Hans"/>
        </w:rPr>
      </w:pPr>
      <w:r>
        <w:rPr>
          <w:rFonts w:hint="eastAsia" w:ascii="仿宋_GB2312" w:hAnsi="宋体" w:eastAsia="仿宋_GB2312"/>
          <w:b/>
          <w:kern w:val="0"/>
          <w:sz w:val="32"/>
          <w:szCs w:val="32"/>
          <w:lang w:eastAsia="zh-Hans"/>
        </w:rPr>
        <w:t>上年结转</w:t>
      </w:r>
      <w:r>
        <w:rPr>
          <w:rFonts w:hint="eastAsia" w:ascii="仿宋_GB2312" w:hAnsi="宋体" w:eastAsia="仿宋_GB2312"/>
          <w:b/>
          <w:kern w:val="0"/>
          <w:sz w:val="32"/>
          <w:szCs w:val="32"/>
        </w:rPr>
        <w:t>结余</w:t>
      </w:r>
      <w:r>
        <w:rPr>
          <w:rFonts w:hint="eastAsia" w:ascii="仿宋_GB2312" w:hAnsi="宋体" w:eastAsia="仿宋_GB2312"/>
          <w:b/>
          <w:kern w:val="0"/>
          <w:sz w:val="32"/>
          <w:szCs w:val="32"/>
          <w:lang w:eastAsia="zh-Hans"/>
        </w:rPr>
        <w:t>情况明细表</w:t>
      </w:r>
    </w:p>
    <w:p>
      <w:pPr>
        <w:widowControl/>
        <w:rPr>
          <w:rFonts w:ascii="仿宋_GB2312" w:hAnsi="宋体" w:eastAsia="仿宋_GB2312"/>
          <w:b/>
          <w:kern w:val="0"/>
          <w:sz w:val="32"/>
          <w:szCs w:val="32"/>
          <w:lang w:eastAsia="zh-Hans"/>
        </w:rPr>
      </w:pPr>
      <w:r>
        <w:rPr>
          <w:rFonts w:hint="eastAsia" w:ascii="仿宋_GB2312" w:hAnsi="宋体" w:eastAsia="仿宋_GB2312"/>
          <w:kern w:val="0"/>
          <w:sz w:val="24"/>
        </w:rPr>
        <w:t>编制部门：中共呼图壁县委员会组织部                     单位：万元</w:t>
      </w:r>
    </w:p>
    <w:tbl>
      <w:tblPr>
        <w:tblStyle w:val="11"/>
        <w:tblpPr w:leftFromText="180" w:rightFromText="180" w:vertAnchor="text" w:horzAnchor="margin" w:tblpXSpec="center" w:tblpY="165"/>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3869"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小计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小计</w:t>
            </w:r>
          </w:p>
        </w:tc>
        <w:tc>
          <w:tcPr>
            <w:tcW w:w="1604" w:type="dxa"/>
            <w:gridSpan w:val="2"/>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kern w:val="0"/>
                <w:sz w:val="28"/>
                <w:szCs w:val="28"/>
              </w:rPr>
            </w:pPr>
          </w:p>
        </w:tc>
        <w:tc>
          <w:tcPr>
            <w:tcW w:w="850" w:type="dxa"/>
            <w:vMerge w:val="continue"/>
            <w:vAlign w:val="center"/>
          </w:tcPr>
          <w:p>
            <w:pPr>
              <w:spacing w:line="600" w:lineRule="exact"/>
              <w:jc w:val="center"/>
              <w:rPr>
                <w:rFonts w:ascii="仿宋" w:hAnsi="仿宋" w:eastAsia="仿宋" w:cs="仿宋_GB2312"/>
                <w:bCs/>
                <w:kern w:val="0"/>
                <w:sz w:val="28"/>
                <w:szCs w:val="28"/>
              </w:rPr>
            </w:pPr>
          </w:p>
        </w:tc>
        <w:tc>
          <w:tcPr>
            <w:tcW w:w="1054" w:type="dxa"/>
            <w:vMerge w:val="continue"/>
            <w:vAlign w:val="center"/>
          </w:tcPr>
          <w:p>
            <w:pPr>
              <w:spacing w:line="600" w:lineRule="exact"/>
              <w:jc w:val="center"/>
              <w:rPr>
                <w:rFonts w:ascii="仿宋" w:hAnsi="仿宋" w:eastAsia="仿宋" w:cs="仿宋_GB2312"/>
                <w:bCs/>
                <w:kern w:val="0"/>
                <w:sz w:val="28"/>
                <w:szCs w:val="28"/>
              </w:rPr>
            </w:pPr>
          </w:p>
        </w:tc>
        <w:tc>
          <w:tcPr>
            <w:tcW w:w="890"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14"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spacing w:line="600" w:lineRule="exact"/>
              <w:jc w:val="center"/>
              <w:rPr>
                <w:rFonts w:ascii="仿宋" w:hAnsi="仿宋" w:eastAsia="仿宋" w:cs="仿宋_GB2312"/>
                <w:bCs/>
                <w:kern w:val="0"/>
                <w:sz w:val="28"/>
                <w:szCs w:val="28"/>
              </w:rPr>
            </w:pPr>
          </w:p>
        </w:tc>
        <w:tc>
          <w:tcPr>
            <w:tcW w:w="797" w:type="dxa"/>
            <w:vMerge w:val="continue"/>
            <w:vAlign w:val="center"/>
          </w:tcPr>
          <w:p>
            <w:pPr>
              <w:spacing w:line="600" w:lineRule="exact"/>
              <w:jc w:val="center"/>
              <w:rPr>
                <w:rFonts w:ascii="仿宋" w:hAnsi="仿宋" w:eastAsia="仿宋" w:cs="仿宋_GB2312"/>
                <w:bCs/>
                <w:kern w:val="0"/>
                <w:sz w:val="28"/>
                <w:szCs w:val="28"/>
              </w:rPr>
            </w:pPr>
          </w:p>
        </w:tc>
        <w:tc>
          <w:tcPr>
            <w:tcW w:w="723"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881" w:type="dxa"/>
            <w:vAlign w:val="center"/>
          </w:tcPr>
          <w:p>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jc w:val="center"/>
              <w:rPr>
                <w:rFonts w:ascii="仿宋" w:hAnsi="仿宋" w:eastAsia="仿宋" w:cs="仿宋_GB2312"/>
                <w:bCs/>
                <w:kern w:val="0"/>
                <w:sz w:val="18"/>
                <w:szCs w:val="18"/>
              </w:rPr>
            </w:pPr>
            <w:r>
              <w:rPr>
                <w:rFonts w:hint="eastAsia" w:ascii="仿宋" w:hAnsi="仿宋" w:eastAsia="仿宋" w:cs="仿宋_GB2312"/>
                <w:bCs/>
                <w:kern w:val="0"/>
                <w:sz w:val="18"/>
                <w:szCs w:val="18"/>
              </w:rPr>
              <w:t>2024年度自治区援疆干部医疗费</w:t>
            </w:r>
          </w:p>
        </w:tc>
        <w:tc>
          <w:tcPr>
            <w:tcW w:w="850"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2.2</w:t>
            </w:r>
          </w:p>
        </w:tc>
        <w:tc>
          <w:tcPr>
            <w:tcW w:w="1054"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2.2</w:t>
            </w:r>
          </w:p>
        </w:tc>
        <w:tc>
          <w:tcPr>
            <w:tcW w:w="890" w:type="dxa"/>
            <w:vAlign w:val="center"/>
          </w:tcPr>
          <w:p>
            <w:pPr>
              <w:widowControl/>
              <w:spacing w:line="280" w:lineRule="exact"/>
              <w:jc w:val="center"/>
              <w:rPr>
                <w:rFonts w:ascii="仿宋_GB2312" w:hAnsi="宋体" w:eastAsia="仿宋_GB2312" w:cs="宋体"/>
                <w:b/>
                <w:bCs/>
                <w:kern w:val="0"/>
                <w:sz w:val="18"/>
                <w:szCs w:val="18"/>
              </w:rPr>
            </w:pPr>
          </w:p>
        </w:tc>
        <w:tc>
          <w:tcPr>
            <w:tcW w:w="714" w:type="dxa"/>
            <w:vAlign w:val="center"/>
          </w:tcPr>
          <w:p>
            <w:pPr>
              <w:widowControl/>
              <w:spacing w:line="280" w:lineRule="exact"/>
              <w:jc w:val="center"/>
              <w:rPr>
                <w:rFonts w:ascii="仿宋_GB2312" w:hAnsi="宋体" w:eastAsia="仿宋_GB2312" w:cs="宋体"/>
                <w:b/>
                <w:bCs/>
                <w:kern w:val="0"/>
                <w:sz w:val="18"/>
                <w:szCs w:val="18"/>
              </w:rPr>
            </w:pPr>
          </w:p>
        </w:tc>
        <w:tc>
          <w:tcPr>
            <w:tcW w:w="1211"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2.2</w:t>
            </w:r>
          </w:p>
        </w:tc>
        <w:tc>
          <w:tcPr>
            <w:tcW w:w="797" w:type="dxa"/>
            <w:vAlign w:val="center"/>
          </w:tcPr>
          <w:p>
            <w:pPr>
              <w:spacing w:line="600" w:lineRule="exact"/>
              <w:jc w:val="center"/>
              <w:rPr>
                <w:rFonts w:ascii="仿宋" w:hAnsi="仿宋" w:eastAsia="仿宋" w:cs="仿宋_GB2312"/>
                <w:bCs/>
                <w:kern w:val="0"/>
                <w:sz w:val="18"/>
                <w:szCs w:val="18"/>
              </w:rPr>
            </w:pPr>
          </w:p>
        </w:tc>
        <w:tc>
          <w:tcPr>
            <w:tcW w:w="723" w:type="dxa"/>
            <w:vAlign w:val="center"/>
          </w:tcPr>
          <w:p>
            <w:pPr>
              <w:spacing w:line="600" w:lineRule="exact"/>
              <w:jc w:val="center"/>
              <w:rPr>
                <w:rFonts w:ascii="仿宋" w:hAnsi="仿宋" w:eastAsia="仿宋" w:cs="仿宋_GB2312"/>
                <w:bCs/>
                <w:kern w:val="0"/>
                <w:sz w:val="18"/>
                <w:szCs w:val="18"/>
              </w:rPr>
            </w:pPr>
          </w:p>
        </w:tc>
        <w:tc>
          <w:tcPr>
            <w:tcW w:w="881" w:type="dxa"/>
            <w:vAlign w:val="center"/>
          </w:tcPr>
          <w:p>
            <w:pPr>
              <w:spacing w:line="600" w:lineRule="exact"/>
              <w:jc w:val="center"/>
              <w:rPr>
                <w:rFonts w:ascii="仿宋" w:hAnsi="仿宋" w:eastAsia="仿宋" w:cs="仿宋_GB2312"/>
                <w:bCs/>
                <w:kern w:val="0"/>
                <w:sz w:val="18"/>
                <w:szCs w:val="1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jc w:val="center"/>
              <w:rPr>
                <w:rFonts w:ascii="仿宋" w:hAnsi="仿宋" w:eastAsia="仿宋" w:cs="仿宋_GB2312"/>
                <w:bCs/>
                <w:kern w:val="0"/>
                <w:sz w:val="18"/>
                <w:szCs w:val="18"/>
              </w:rPr>
            </w:pPr>
            <w:r>
              <w:rPr>
                <w:rFonts w:hint="eastAsia" w:ascii="仿宋" w:hAnsi="仿宋" w:eastAsia="仿宋" w:cs="仿宋_GB2312"/>
                <w:bCs/>
                <w:kern w:val="0"/>
                <w:sz w:val="18"/>
                <w:szCs w:val="18"/>
              </w:rPr>
              <w:t>2024年为民办实事经费（税务局，环保局）</w:t>
            </w:r>
          </w:p>
        </w:tc>
        <w:tc>
          <w:tcPr>
            <w:tcW w:w="850"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30</w:t>
            </w:r>
          </w:p>
        </w:tc>
        <w:tc>
          <w:tcPr>
            <w:tcW w:w="1054"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30</w:t>
            </w:r>
          </w:p>
        </w:tc>
        <w:tc>
          <w:tcPr>
            <w:tcW w:w="890" w:type="dxa"/>
            <w:vAlign w:val="center"/>
          </w:tcPr>
          <w:p>
            <w:pPr>
              <w:widowControl/>
              <w:spacing w:line="280" w:lineRule="exact"/>
              <w:jc w:val="center"/>
              <w:rPr>
                <w:rFonts w:ascii="仿宋_GB2312" w:hAnsi="宋体" w:eastAsia="仿宋_GB2312" w:cs="宋体"/>
                <w:b/>
                <w:bCs/>
                <w:kern w:val="0"/>
                <w:sz w:val="18"/>
                <w:szCs w:val="18"/>
              </w:rPr>
            </w:pPr>
          </w:p>
        </w:tc>
        <w:tc>
          <w:tcPr>
            <w:tcW w:w="714" w:type="dxa"/>
            <w:vAlign w:val="center"/>
          </w:tcPr>
          <w:p>
            <w:pPr>
              <w:widowControl/>
              <w:spacing w:line="280" w:lineRule="exact"/>
              <w:jc w:val="center"/>
              <w:rPr>
                <w:rFonts w:ascii="仿宋_GB2312" w:hAnsi="宋体" w:eastAsia="仿宋_GB2312" w:cs="宋体"/>
                <w:b/>
                <w:bCs/>
                <w:kern w:val="0"/>
                <w:sz w:val="18"/>
                <w:szCs w:val="18"/>
              </w:rPr>
            </w:pPr>
          </w:p>
        </w:tc>
        <w:tc>
          <w:tcPr>
            <w:tcW w:w="1211"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30</w:t>
            </w:r>
          </w:p>
        </w:tc>
        <w:tc>
          <w:tcPr>
            <w:tcW w:w="797" w:type="dxa"/>
            <w:vAlign w:val="center"/>
          </w:tcPr>
          <w:p>
            <w:pPr>
              <w:spacing w:line="600" w:lineRule="exact"/>
              <w:jc w:val="center"/>
              <w:rPr>
                <w:rFonts w:ascii="仿宋" w:hAnsi="仿宋" w:eastAsia="仿宋" w:cs="仿宋_GB2312"/>
                <w:bCs/>
                <w:kern w:val="0"/>
                <w:sz w:val="18"/>
                <w:szCs w:val="18"/>
              </w:rPr>
            </w:pPr>
          </w:p>
        </w:tc>
        <w:tc>
          <w:tcPr>
            <w:tcW w:w="723" w:type="dxa"/>
            <w:vAlign w:val="center"/>
          </w:tcPr>
          <w:p>
            <w:pPr>
              <w:spacing w:line="600" w:lineRule="exact"/>
              <w:jc w:val="center"/>
              <w:rPr>
                <w:rFonts w:ascii="仿宋" w:hAnsi="仿宋" w:eastAsia="仿宋" w:cs="仿宋_GB2312"/>
                <w:bCs/>
                <w:kern w:val="0"/>
                <w:sz w:val="18"/>
                <w:szCs w:val="18"/>
              </w:rPr>
            </w:pPr>
          </w:p>
        </w:tc>
        <w:tc>
          <w:tcPr>
            <w:tcW w:w="881" w:type="dxa"/>
            <w:vAlign w:val="center"/>
          </w:tcPr>
          <w:p>
            <w:pPr>
              <w:spacing w:line="600" w:lineRule="exact"/>
              <w:jc w:val="center"/>
              <w:rPr>
                <w:rFonts w:ascii="仿宋" w:hAnsi="仿宋" w:eastAsia="仿宋" w:cs="仿宋_GB2312"/>
                <w:bCs/>
                <w:kern w:val="0"/>
                <w:sz w:val="18"/>
                <w:szCs w:val="1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jc w:val="center"/>
              <w:rPr>
                <w:rFonts w:ascii="仿宋" w:hAnsi="仿宋" w:eastAsia="仿宋" w:cs="仿宋_GB2312"/>
                <w:bCs/>
                <w:kern w:val="0"/>
                <w:sz w:val="18"/>
                <w:szCs w:val="18"/>
              </w:rPr>
            </w:pPr>
            <w:r>
              <w:rPr>
                <w:rFonts w:hint="eastAsia" w:ascii="仿宋" w:hAnsi="仿宋" w:eastAsia="仿宋" w:cs="仿宋_GB2312"/>
                <w:bCs/>
                <w:kern w:val="0"/>
                <w:sz w:val="18"/>
                <w:szCs w:val="18"/>
              </w:rPr>
              <w:t>2024年为民办实事经费</w:t>
            </w:r>
          </w:p>
        </w:tc>
        <w:tc>
          <w:tcPr>
            <w:tcW w:w="850"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5</w:t>
            </w:r>
          </w:p>
        </w:tc>
        <w:tc>
          <w:tcPr>
            <w:tcW w:w="1054"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5</w:t>
            </w:r>
          </w:p>
        </w:tc>
        <w:tc>
          <w:tcPr>
            <w:tcW w:w="890" w:type="dxa"/>
            <w:vAlign w:val="center"/>
          </w:tcPr>
          <w:p>
            <w:pPr>
              <w:widowControl/>
              <w:spacing w:line="280" w:lineRule="exact"/>
              <w:jc w:val="center"/>
              <w:rPr>
                <w:rFonts w:ascii="仿宋" w:hAnsi="仿宋" w:eastAsia="仿宋" w:cs="仿宋_GB2312"/>
                <w:bCs/>
                <w:kern w:val="0"/>
                <w:sz w:val="18"/>
                <w:szCs w:val="18"/>
              </w:rPr>
            </w:pPr>
          </w:p>
        </w:tc>
        <w:tc>
          <w:tcPr>
            <w:tcW w:w="714" w:type="dxa"/>
            <w:vAlign w:val="center"/>
          </w:tcPr>
          <w:p>
            <w:pPr>
              <w:widowControl/>
              <w:spacing w:line="280" w:lineRule="exact"/>
              <w:jc w:val="center"/>
              <w:rPr>
                <w:rFonts w:ascii="仿宋" w:hAnsi="仿宋" w:eastAsia="仿宋" w:cs="仿宋_GB2312"/>
                <w:bCs/>
                <w:kern w:val="0"/>
                <w:sz w:val="18"/>
                <w:szCs w:val="18"/>
              </w:rPr>
            </w:pPr>
          </w:p>
        </w:tc>
        <w:tc>
          <w:tcPr>
            <w:tcW w:w="1211"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5</w:t>
            </w:r>
          </w:p>
        </w:tc>
        <w:tc>
          <w:tcPr>
            <w:tcW w:w="797" w:type="dxa"/>
            <w:vAlign w:val="center"/>
          </w:tcPr>
          <w:p>
            <w:pPr>
              <w:spacing w:line="600" w:lineRule="exact"/>
              <w:jc w:val="center"/>
              <w:rPr>
                <w:rFonts w:ascii="仿宋" w:hAnsi="仿宋" w:eastAsia="仿宋" w:cs="仿宋_GB2312"/>
                <w:bCs/>
                <w:kern w:val="0"/>
                <w:sz w:val="28"/>
                <w:szCs w:val="28"/>
              </w:rPr>
            </w:pPr>
          </w:p>
        </w:tc>
        <w:tc>
          <w:tcPr>
            <w:tcW w:w="723" w:type="dxa"/>
            <w:vAlign w:val="center"/>
          </w:tcPr>
          <w:p>
            <w:pPr>
              <w:spacing w:line="600" w:lineRule="exact"/>
              <w:jc w:val="center"/>
              <w:rPr>
                <w:rFonts w:ascii="仿宋" w:hAnsi="仿宋" w:eastAsia="仿宋" w:cs="仿宋_GB2312"/>
                <w:bCs/>
                <w:kern w:val="0"/>
                <w:sz w:val="28"/>
                <w:szCs w:val="28"/>
              </w:rPr>
            </w:pPr>
          </w:p>
        </w:tc>
        <w:tc>
          <w:tcPr>
            <w:tcW w:w="881" w:type="dxa"/>
            <w:vAlign w:val="center"/>
          </w:tcPr>
          <w:p>
            <w:pPr>
              <w:spacing w:line="600" w:lineRule="exact"/>
              <w:jc w:val="center"/>
              <w:rPr>
                <w:rFonts w:ascii="仿宋" w:hAnsi="仿宋" w:eastAsia="仿宋" w:cs="仿宋_GB2312"/>
                <w:bCs/>
                <w:kern w:val="0"/>
                <w:sz w:val="28"/>
                <w:szCs w:val="28"/>
              </w:rPr>
            </w:pPr>
          </w:p>
        </w:tc>
        <w:tc>
          <w:tcPr>
            <w:tcW w:w="1211" w:type="dxa"/>
            <w:vAlign w:val="center"/>
          </w:tcPr>
          <w:p>
            <w:pPr>
              <w:spacing w:line="600" w:lineRule="exact"/>
              <w:jc w:val="center"/>
              <w:rPr>
                <w:rFonts w:ascii="仿宋" w:hAnsi="仿宋" w:eastAsia="仿宋" w:cs="仿宋_GB2312"/>
                <w:bCs/>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pStyle w:val="2"/>
              <w:rPr>
                <w:rFonts w:ascii="仿宋" w:hAnsi="仿宋" w:eastAsia="仿宋" w:cs="仿宋_GB2312"/>
                <w:bCs/>
                <w:kern w:val="0"/>
                <w:szCs w:val="18"/>
              </w:rPr>
            </w:pPr>
            <w:r>
              <w:rPr>
                <w:rFonts w:hint="eastAsia" w:ascii="仿宋" w:hAnsi="仿宋" w:eastAsia="仿宋" w:cs="仿宋_GB2312"/>
                <w:bCs/>
                <w:kern w:val="0"/>
                <w:szCs w:val="18"/>
              </w:rPr>
              <w:t>2024年第一批中央基建投资预算项目</w:t>
            </w:r>
          </w:p>
        </w:tc>
        <w:tc>
          <w:tcPr>
            <w:tcW w:w="850"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891.11</w:t>
            </w:r>
          </w:p>
        </w:tc>
        <w:tc>
          <w:tcPr>
            <w:tcW w:w="1054"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891.11</w:t>
            </w:r>
          </w:p>
        </w:tc>
        <w:tc>
          <w:tcPr>
            <w:tcW w:w="890" w:type="dxa"/>
            <w:vAlign w:val="center"/>
          </w:tcPr>
          <w:p>
            <w:pPr>
              <w:widowControl/>
              <w:spacing w:line="280" w:lineRule="exact"/>
              <w:jc w:val="center"/>
              <w:rPr>
                <w:rFonts w:ascii="仿宋" w:hAnsi="仿宋" w:eastAsia="仿宋" w:cs="仿宋_GB2312"/>
                <w:bCs/>
                <w:kern w:val="0"/>
                <w:sz w:val="18"/>
                <w:szCs w:val="18"/>
              </w:rPr>
            </w:pPr>
          </w:p>
        </w:tc>
        <w:tc>
          <w:tcPr>
            <w:tcW w:w="714" w:type="dxa"/>
            <w:vAlign w:val="center"/>
          </w:tcPr>
          <w:p>
            <w:pPr>
              <w:widowControl/>
              <w:spacing w:line="280" w:lineRule="exact"/>
              <w:jc w:val="center"/>
              <w:rPr>
                <w:rFonts w:ascii="仿宋" w:hAnsi="仿宋" w:eastAsia="仿宋" w:cs="仿宋_GB2312"/>
                <w:bCs/>
                <w:kern w:val="0"/>
                <w:sz w:val="18"/>
                <w:szCs w:val="18"/>
              </w:rPr>
            </w:pPr>
          </w:p>
        </w:tc>
        <w:tc>
          <w:tcPr>
            <w:tcW w:w="1211" w:type="dxa"/>
            <w:vAlign w:val="center"/>
          </w:tcPr>
          <w:p>
            <w:pPr>
              <w:spacing w:line="600" w:lineRule="exact"/>
              <w:jc w:val="center"/>
              <w:rPr>
                <w:rFonts w:ascii="仿宋" w:hAnsi="仿宋" w:eastAsia="仿宋" w:cs="仿宋_GB2312"/>
                <w:bCs/>
                <w:kern w:val="0"/>
                <w:sz w:val="18"/>
                <w:szCs w:val="18"/>
              </w:rPr>
            </w:pPr>
            <w:r>
              <w:rPr>
                <w:rFonts w:hint="eastAsia" w:ascii="仿宋" w:hAnsi="仿宋" w:eastAsia="仿宋" w:cs="仿宋_GB2312"/>
                <w:bCs/>
                <w:kern w:val="0"/>
                <w:sz w:val="18"/>
                <w:szCs w:val="18"/>
              </w:rPr>
              <w:t>891.11</w:t>
            </w:r>
          </w:p>
        </w:tc>
        <w:tc>
          <w:tcPr>
            <w:tcW w:w="797" w:type="dxa"/>
            <w:vAlign w:val="center"/>
          </w:tcPr>
          <w:p>
            <w:pPr>
              <w:spacing w:line="600" w:lineRule="exact"/>
              <w:jc w:val="center"/>
              <w:rPr>
                <w:rFonts w:ascii="仿宋" w:hAnsi="仿宋" w:eastAsia="仿宋" w:cs="仿宋_GB2312"/>
                <w:bCs/>
                <w:kern w:val="0"/>
                <w:sz w:val="18"/>
                <w:szCs w:val="18"/>
              </w:rPr>
            </w:pPr>
          </w:p>
        </w:tc>
        <w:tc>
          <w:tcPr>
            <w:tcW w:w="723" w:type="dxa"/>
            <w:vAlign w:val="center"/>
          </w:tcPr>
          <w:p>
            <w:pPr>
              <w:spacing w:line="600" w:lineRule="exact"/>
              <w:jc w:val="center"/>
              <w:rPr>
                <w:rFonts w:ascii="仿宋" w:hAnsi="仿宋" w:eastAsia="仿宋" w:cs="仿宋_GB2312"/>
                <w:bCs/>
                <w:kern w:val="0"/>
                <w:sz w:val="18"/>
                <w:szCs w:val="18"/>
              </w:rPr>
            </w:pPr>
          </w:p>
        </w:tc>
        <w:tc>
          <w:tcPr>
            <w:tcW w:w="881" w:type="dxa"/>
            <w:vAlign w:val="center"/>
          </w:tcPr>
          <w:p>
            <w:pPr>
              <w:spacing w:line="600" w:lineRule="exact"/>
              <w:jc w:val="center"/>
              <w:rPr>
                <w:rFonts w:ascii="仿宋" w:hAnsi="仿宋" w:eastAsia="仿宋" w:cs="仿宋_GB2312"/>
                <w:bCs/>
                <w:kern w:val="0"/>
                <w:sz w:val="18"/>
                <w:szCs w:val="18"/>
              </w:rPr>
            </w:pPr>
          </w:p>
        </w:tc>
        <w:tc>
          <w:tcPr>
            <w:tcW w:w="1211" w:type="dxa"/>
            <w:vAlign w:val="center"/>
          </w:tcPr>
          <w:p>
            <w:pPr>
              <w:spacing w:line="600" w:lineRule="exact"/>
              <w:jc w:val="center"/>
              <w:rPr>
                <w:rFonts w:ascii="仿宋" w:hAnsi="仿宋" w:eastAsia="仿宋" w:cs="仿宋_GB2312"/>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kern w:val="0"/>
                <w:sz w:val="18"/>
                <w:szCs w:val="18"/>
              </w:rPr>
            </w:pPr>
          </w:p>
        </w:tc>
        <w:tc>
          <w:tcPr>
            <w:tcW w:w="850" w:type="dxa"/>
            <w:vAlign w:val="center"/>
          </w:tcPr>
          <w:p>
            <w:pPr>
              <w:spacing w:line="600" w:lineRule="exact"/>
              <w:jc w:val="center"/>
              <w:rPr>
                <w:rFonts w:ascii="仿宋" w:hAnsi="仿宋" w:eastAsia="仿宋" w:cs="仿宋_GB2312"/>
                <w:b/>
                <w:bCs/>
                <w:kern w:val="0"/>
                <w:sz w:val="18"/>
                <w:szCs w:val="18"/>
              </w:rPr>
            </w:pPr>
            <w:r>
              <w:rPr>
                <w:rFonts w:hint="eastAsia" w:ascii="仿宋" w:hAnsi="仿宋" w:eastAsia="仿宋" w:cs="仿宋_GB2312"/>
                <w:b/>
                <w:bCs/>
                <w:kern w:val="0"/>
                <w:sz w:val="18"/>
                <w:szCs w:val="18"/>
              </w:rPr>
              <w:t>总计</w:t>
            </w:r>
          </w:p>
        </w:tc>
        <w:tc>
          <w:tcPr>
            <w:tcW w:w="1054" w:type="dxa"/>
            <w:vAlign w:val="center"/>
          </w:tcPr>
          <w:p>
            <w:pPr>
              <w:spacing w:line="600" w:lineRule="exact"/>
              <w:jc w:val="center"/>
              <w:rPr>
                <w:rFonts w:ascii="仿宋" w:hAnsi="仿宋" w:eastAsia="仿宋" w:cs="仿宋_GB2312"/>
                <w:b/>
                <w:bCs/>
                <w:kern w:val="0"/>
                <w:sz w:val="18"/>
                <w:szCs w:val="18"/>
              </w:rPr>
            </w:pPr>
            <w:r>
              <w:rPr>
                <w:rFonts w:hint="eastAsia" w:ascii="仿宋" w:hAnsi="仿宋" w:eastAsia="仿宋" w:cs="仿宋_GB2312"/>
                <w:b/>
                <w:bCs/>
                <w:kern w:val="0"/>
                <w:sz w:val="18"/>
                <w:szCs w:val="18"/>
              </w:rPr>
              <w:t>928.31</w:t>
            </w:r>
          </w:p>
        </w:tc>
        <w:tc>
          <w:tcPr>
            <w:tcW w:w="890" w:type="dxa"/>
            <w:vAlign w:val="center"/>
          </w:tcPr>
          <w:p>
            <w:pPr>
              <w:widowControl/>
              <w:spacing w:line="280" w:lineRule="exact"/>
              <w:jc w:val="center"/>
              <w:rPr>
                <w:rFonts w:ascii="仿宋" w:hAnsi="仿宋" w:eastAsia="仿宋" w:cs="仿宋_GB2312"/>
                <w:b/>
                <w:bCs/>
                <w:kern w:val="0"/>
                <w:sz w:val="18"/>
                <w:szCs w:val="18"/>
              </w:rPr>
            </w:pPr>
          </w:p>
        </w:tc>
        <w:tc>
          <w:tcPr>
            <w:tcW w:w="714" w:type="dxa"/>
            <w:vAlign w:val="center"/>
          </w:tcPr>
          <w:p>
            <w:pPr>
              <w:widowControl/>
              <w:spacing w:line="280" w:lineRule="exact"/>
              <w:jc w:val="center"/>
              <w:rPr>
                <w:rFonts w:ascii="仿宋" w:hAnsi="仿宋" w:eastAsia="仿宋" w:cs="仿宋_GB2312"/>
                <w:b/>
                <w:bCs/>
                <w:kern w:val="0"/>
                <w:sz w:val="18"/>
                <w:szCs w:val="18"/>
              </w:rPr>
            </w:pPr>
          </w:p>
        </w:tc>
        <w:tc>
          <w:tcPr>
            <w:tcW w:w="1211" w:type="dxa"/>
            <w:vAlign w:val="center"/>
          </w:tcPr>
          <w:p>
            <w:pPr>
              <w:spacing w:line="600" w:lineRule="exact"/>
              <w:jc w:val="center"/>
              <w:rPr>
                <w:rFonts w:ascii="仿宋" w:hAnsi="仿宋" w:eastAsia="仿宋" w:cs="仿宋_GB2312"/>
                <w:b/>
                <w:bCs/>
                <w:kern w:val="0"/>
                <w:sz w:val="18"/>
                <w:szCs w:val="18"/>
              </w:rPr>
            </w:pPr>
            <w:r>
              <w:rPr>
                <w:rFonts w:hint="eastAsia" w:ascii="仿宋" w:hAnsi="仿宋" w:eastAsia="仿宋" w:cs="仿宋_GB2312"/>
                <w:b/>
                <w:bCs/>
                <w:kern w:val="0"/>
                <w:sz w:val="18"/>
                <w:szCs w:val="18"/>
              </w:rPr>
              <w:t>928.31</w:t>
            </w:r>
          </w:p>
        </w:tc>
        <w:tc>
          <w:tcPr>
            <w:tcW w:w="797" w:type="dxa"/>
            <w:vAlign w:val="center"/>
          </w:tcPr>
          <w:p>
            <w:pPr>
              <w:spacing w:line="600" w:lineRule="exact"/>
              <w:jc w:val="center"/>
              <w:rPr>
                <w:rFonts w:ascii="仿宋" w:hAnsi="仿宋" w:eastAsia="仿宋" w:cs="仿宋_GB2312"/>
                <w:bCs/>
                <w:kern w:val="0"/>
                <w:sz w:val="18"/>
                <w:szCs w:val="18"/>
              </w:rPr>
            </w:pPr>
          </w:p>
        </w:tc>
        <w:tc>
          <w:tcPr>
            <w:tcW w:w="723" w:type="dxa"/>
            <w:vAlign w:val="center"/>
          </w:tcPr>
          <w:p>
            <w:pPr>
              <w:spacing w:line="600" w:lineRule="exact"/>
              <w:jc w:val="center"/>
              <w:rPr>
                <w:rFonts w:ascii="仿宋" w:hAnsi="仿宋" w:eastAsia="仿宋" w:cs="仿宋_GB2312"/>
                <w:bCs/>
                <w:kern w:val="0"/>
                <w:sz w:val="18"/>
                <w:szCs w:val="18"/>
              </w:rPr>
            </w:pPr>
          </w:p>
        </w:tc>
        <w:tc>
          <w:tcPr>
            <w:tcW w:w="881" w:type="dxa"/>
            <w:vAlign w:val="center"/>
          </w:tcPr>
          <w:p>
            <w:pPr>
              <w:spacing w:line="600" w:lineRule="exact"/>
              <w:jc w:val="center"/>
              <w:rPr>
                <w:rFonts w:ascii="仿宋" w:hAnsi="仿宋" w:eastAsia="仿宋" w:cs="仿宋_GB2312"/>
                <w:bCs/>
                <w:kern w:val="0"/>
                <w:sz w:val="18"/>
                <w:szCs w:val="18"/>
              </w:rPr>
            </w:pPr>
          </w:p>
        </w:tc>
        <w:tc>
          <w:tcPr>
            <w:tcW w:w="1211" w:type="dxa"/>
            <w:vAlign w:val="center"/>
          </w:tcPr>
          <w:p>
            <w:pPr>
              <w:spacing w:line="600" w:lineRule="exact"/>
              <w:jc w:val="center"/>
              <w:rPr>
                <w:rFonts w:ascii="仿宋" w:hAnsi="仿宋" w:eastAsia="仿宋" w:cs="仿宋_GB2312"/>
                <w:bCs/>
                <w:kern w:val="0"/>
                <w:sz w:val="18"/>
                <w:szCs w:val="18"/>
              </w:rPr>
            </w:pPr>
          </w:p>
        </w:tc>
      </w:tr>
    </w:tbl>
    <w:p>
      <w:pPr>
        <w:widowControl/>
        <w:outlineLvl w:val="1"/>
        <w:rPr>
          <w:rFonts w:ascii="仿宋_GB2312" w:hAnsi="宋体" w:eastAsia="仿宋_GB2312"/>
          <w:color w:val="FF0000"/>
          <w:kern w:val="0"/>
          <w:sz w:val="32"/>
          <w:szCs w:val="32"/>
        </w:rPr>
      </w:pPr>
    </w:p>
    <w:p>
      <w:pPr>
        <w:widowControl/>
        <w:spacing w:line="280" w:lineRule="exact"/>
        <w:jc w:val="left"/>
        <w:outlineLvl w:val="1"/>
        <w:rPr>
          <w:rFonts w:ascii="仿宋_GB2312" w:hAnsi="宋体" w:eastAsia="仿宋_GB2312"/>
          <w:color w:val="FF0000"/>
          <w:kern w:val="0"/>
          <w:sz w:val="32"/>
          <w:szCs w:val="32"/>
        </w:rPr>
      </w:pPr>
    </w:p>
    <w:p>
      <w:pPr>
        <w:widowControl/>
        <w:spacing w:line="280" w:lineRule="exact"/>
        <w:jc w:val="left"/>
        <w:outlineLvl w:val="1"/>
        <w:rPr>
          <w:rFonts w:ascii="仿宋_GB2312" w:hAnsi="宋体" w:eastAsia="仿宋_GB2312"/>
          <w:color w:val="FF0000"/>
          <w:kern w:val="0"/>
          <w:sz w:val="32"/>
          <w:szCs w:val="32"/>
        </w:rPr>
        <w:sectPr>
          <w:pgSz w:w="11906" w:h="16838"/>
          <w:pgMar w:top="2098" w:right="1531" w:bottom="1985" w:left="1531" w:header="851" w:footer="992" w:gutter="0"/>
          <w:pgNumType w:fmt="numberInDash"/>
          <w:cols w:space="720" w:num="1"/>
          <w:docGrid w:linePitch="312" w:charSpace="0"/>
        </w:sect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第三部分  2025年部门预算情况说明</w:t>
      </w:r>
    </w:p>
    <w:p>
      <w:pPr>
        <w:spacing w:line="600" w:lineRule="exact"/>
        <w:ind w:firstLine="640" w:firstLineChars="200"/>
        <w:rPr>
          <w:rFonts w:ascii="黑体" w:hAnsi="黑体" w:eastAsia="黑体"/>
          <w:kern w:val="0"/>
          <w:sz w:val="32"/>
          <w:szCs w:val="32"/>
        </w:rPr>
      </w:pPr>
    </w:p>
    <w:p>
      <w:pPr>
        <w:spacing w:line="60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一、关于中共呼图县委员会组织部2025年收支预算情况的总体说明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按照全口径预算的原则，中共呼图县委员会组织部2025年所有收入和支出均纳入部门预算管理。收支总预算3021.16万元。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eastAsia="zh-Hans"/>
        </w:rPr>
        <w:t>单位资金、财政拨款结转结余</w:t>
      </w:r>
      <w:r>
        <w:rPr>
          <w:rFonts w:hint="eastAsia" w:ascii="仿宋_GB2312" w:hAnsi="宋体" w:eastAsia="仿宋_GB2312" w:cs="宋体"/>
          <w:kern w:val="0"/>
          <w:sz w:val="32"/>
          <w:szCs w:val="32"/>
        </w:rPr>
        <w:t>等。</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支出预算包括：一般公共服务支出、社会保障和就业支出、卫生健康支出、节能环保支出、城乡社区支出、住房保障支出等。</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二、关于中共呼图县委员会组织部2025年收入预算情况说明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中共呼图县委员会组织部收入预算3021.16万元，其中：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1578.38</w:t>
      </w:r>
      <w:r>
        <w:rPr>
          <w:rFonts w:hint="eastAsia" w:ascii="仿宋_GB2312" w:hAnsi="宋体" w:eastAsia="仿宋_GB2312" w:cs="宋体"/>
          <w:kern w:val="0"/>
          <w:sz w:val="32"/>
          <w:szCs w:val="32"/>
        </w:rPr>
        <w:t>万元，占52.</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%，比上年预算增加1096.4万元，增长22</w:t>
      </w:r>
      <w:r>
        <w:rPr>
          <w:rFonts w:hint="eastAsia" w:ascii="仿宋_GB2312" w:hAnsi="宋体" w:eastAsia="仿宋_GB2312" w:cs="宋体"/>
          <w:kern w:val="0"/>
          <w:sz w:val="32"/>
          <w:szCs w:val="32"/>
          <w:lang w:val="en-US" w:eastAsia="zh-CN"/>
        </w:rPr>
        <w:t>7.48</w:t>
      </w:r>
      <w:r>
        <w:rPr>
          <w:rFonts w:hint="eastAsia" w:ascii="仿宋_GB2312" w:hAnsi="宋体" w:eastAsia="仿宋_GB2312" w:cs="宋体"/>
          <w:kern w:val="0"/>
          <w:sz w:val="32"/>
          <w:szCs w:val="32"/>
        </w:rPr>
        <w:t xml:space="preserve">%，主要原因是 2025年新增550名三老人员补助，机构合并后在职人员新增6人，新增离休干部遗属4人，退休人员增加11人，预算资金增加。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w:t>
      </w: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eastAsia="zh-Hans"/>
        </w:rPr>
        <w:t>安排的转移支付资金</w:t>
      </w:r>
      <w:r>
        <w:rPr>
          <w:rFonts w:hint="eastAsia" w:ascii="仿宋_GB2312" w:hAnsi="宋体" w:eastAsia="仿宋_GB2312" w:cs="宋体"/>
          <w:kern w:val="0"/>
          <w:sz w:val="32"/>
          <w:szCs w:val="32"/>
        </w:rPr>
        <w:t xml:space="preserve">7.2万元，占0.23%，比上年预算增加7.2万元，增长100 %，主要原因是自治区下达2025年援疆干部医疗费。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政府性基金预算0.00万元，占0.00%，比上年预算增加0.00万元，增长0.00%，主要原因是本单位本年度没有安排政府性基金预算资金。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上级政府性基金安排的转移支付资金</w:t>
      </w:r>
      <w:r>
        <w:rPr>
          <w:rFonts w:hint="eastAsia" w:ascii="仿宋_GB2312" w:hAnsi="宋体" w:eastAsia="仿宋_GB2312" w:cs="宋体"/>
          <w:kern w:val="0"/>
          <w:sz w:val="32"/>
          <w:szCs w:val="32"/>
        </w:rPr>
        <w:t>未安排。</w:t>
      </w:r>
    </w:p>
    <w:p>
      <w:pPr>
        <w:widowControl/>
        <w:spacing w:line="560" w:lineRule="exact"/>
        <w:ind w:firstLine="640" w:firstLineChars="200"/>
        <w:rPr>
          <w:rFonts w:ascii="仿宋_GB2312" w:hAnsi="宋体" w:eastAsia="仿宋_GB2312" w:cs="宋体"/>
          <w:kern w:val="0"/>
          <w:sz w:val="32"/>
          <w:szCs w:val="32"/>
          <w:lang w:eastAsia="zh-Hans"/>
        </w:rPr>
      </w:pPr>
      <w:r>
        <w:rPr>
          <w:rFonts w:hint="eastAsia" w:ascii="仿宋_GB2312" w:hAnsi="宋体" w:eastAsia="仿宋_GB2312" w:cs="宋体"/>
          <w:kern w:val="0"/>
          <w:sz w:val="32"/>
          <w:szCs w:val="32"/>
          <w:lang w:eastAsia="zh-Hans"/>
        </w:rPr>
        <w:t>国有资本经营预算0.00万元，占0.00%，比上年预算增加0.00万元，增长0.00%，主要原因是本单位本年度与上年度没有安排国有资本经营预算资金。</w:t>
      </w:r>
    </w:p>
    <w:p>
      <w:pPr>
        <w:pStyle w:val="2"/>
        <w:ind w:firstLine="640" w:firstLineChars="200"/>
        <w:rPr>
          <w:rFonts w:ascii="仿宋_GB2312" w:hAnsi="宋体" w:eastAsia="仿宋_GB2312" w:cs="宋体"/>
          <w:kern w:val="0"/>
          <w:sz w:val="32"/>
          <w:szCs w:val="32"/>
          <w:lang w:eastAsia="zh-Hans"/>
        </w:rPr>
      </w:pPr>
      <w:r>
        <w:rPr>
          <w:rFonts w:hint="eastAsia" w:ascii="仿宋_GB2312" w:hAnsi="宋体" w:eastAsia="仿宋_GB2312" w:cs="宋体"/>
          <w:kern w:val="0"/>
          <w:sz w:val="32"/>
          <w:szCs w:val="32"/>
          <w:lang w:eastAsia="zh-Hans"/>
        </w:rPr>
        <w:t>上级国有资本经营预算安排的转移支付资金未安排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rPr>
        <w:t>507.27万元，占16.79%，比上年预算增加154.14万元，增长43.65%，主要原因是机构合并后在职人员新增6人，个人部分社保缴费增加，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财政拨款结转</w:t>
      </w:r>
      <w:r>
        <w:rPr>
          <w:rFonts w:hint="eastAsia" w:ascii="仿宋_GB2312" w:hAnsi="宋体" w:eastAsia="仿宋_GB2312" w:cs="宋体"/>
          <w:kern w:val="0"/>
          <w:sz w:val="32"/>
          <w:szCs w:val="32"/>
        </w:rPr>
        <w:t>928.31万元，占30.73%，比上年预算增加916.08万元，增长7490</w:t>
      </w:r>
      <w:r>
        <w:rPr>
          <w:rFonts w:hint="eastAsia" w:ascii="仿宋_GB2312" w:hAnsi="宋体" w:eastAsia="仿宋_GB2312" w:cs="宋体"/>
          <w:kern w:val="0"/>
          <w:sz w:val="32"/>
          <w:szCs w:val="32"/>
          <w:lang w:val="en-US" w:eastAsia="zh-CN"/>
        </w:rPr>
        <w:t>.43</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2024年初无结转资金，2024年中下达一笔专项资金未支付完毕，</w:t>
      </w:r>
      <w:r>
        <w:rPr>
          <w:rFonts w:hint="eastAsia" w:ascii="仿宋_GB2312" w:hAnsi="宋体" w:eastAsia="仿宋_GB2312" w:cs="宋体"/>
          <w:kern w:val="0"/>
          <w:sz w:val="32"/>
          <w:szCs w:val="32"/>
        </w:rPr>
        <w:t>上级一般转移支付资金中第一批中央基建项目结转</w:t>
      </w:r>
      <w:r>
        <w:rPr>
          <w:rFonts w:hint="eastAsia" w:ascii="仿宋_GB2312" w:hAnsi="宋体" w:eastAsia="仿宋_GB2312" w:cs="宋体"/>
          <w:kern w:val="0"/>
          <w:sz w:val="32"/>
          <w:szCs w:val="32"/>
          <w:lang w:val="en-US" w:eastAsia="zh-CN"/>
        </w:rPr>
        <w:t>到2025年</w:t>
      </w:r>
      <w:r>
        <w:rPr>
          <w:rFonts w:hint="eastAsia" w:ascii="仿宋_GB2312" w:hAnsi="宋体" w:eastAsia="仿宋_GB2312" w:cs="宋体"/>
          <w:kern w:val="0"/>
          <w:sz w:val="32"/>
          <w:szCs w:val="32"/>
        </w:rPr>
        <w:t xml:space="preserve"> 。</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三、关于中共呼图县委员会组织部2025年支出预算情况说明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中共呼图县委员会组织部2025年支出预算3021.16万元，其中：</w:t>
      </w:r>
    </w:p>
    <w:p>
      <w:pPr>
        <w:spacing w:line="60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基本支出1840.24万元，占60.91%，比上年预算增加1041.77万元，增长130.47%，主要原因是2025年新增550名三老人员，机构合并后在职人员新增6人，新增离休干部遗属4人，退休人员增加11人，预算资金增加。</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项目支出1180.92万元，占39.09 %，比上年预算增加1124.85万元，增长2006.15%，主要原因是2024年上级一般转移支付资金中第一批中央基建项目有结转。</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四、关于中共呼图县委员会组织部2025年财政拨款收支预算情况的总体说明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中共呼图县委员会组织部2025年财政拨款收支总预算    1585.58万元。</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收入预算包括：一般公共预算拨款1585.58万元。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一般公共预算支出包括：一般公共服务支出1440.33万元，主要用于</w:t>
      </w:r>
      <w:r>
        <w:rPr>
          <w:rFonts w:hint="eastAsia" w:ascii="仿宋" w:hAnsi="仿宋" w:eastAsia="仿宋" w:cs="仿宋"/>
          <w:sz w:val="32"/>
          <w:szCs w:val="32"/>
        </w:rPr>
        <w:t>：</w:t>
      </w:r>
      <w:r>
        <w:rPr>
          <w:rFonts w:hint="eastAsia" w:ascii="仿宋_GB2312" w:hAnsi="仿宋_GB2312" w:eastAsia="仿宋_GB2312" w:cs="仿宋_GB2312"/>
          <w:sz w:val="32"/>
          <w:szCs w:val="32"/>
        </w:rPr>
        <w:t>人员经费及公用经费；</w:t>
      </w:r>
      <w:r>
        <w:rPr>
          <w:rFonts w:hint="eastAsia" w:ascii="仿宋" w:hAnsi="仿宋" w:eastAsia="仿宋" w:cs="仿宋"/>
          <w:sz w:val="32"/>
          <w:szCs w:val="32"/>
        </w:rPr>
        <w:t>社会保障和就业支出</w:t>
      </w:r>
      <w:r>
        <w:rPr>
          <w:rFonts w:hint="eastAsia" w:ascii="仿宋_GB2312" w:hAnsi="仿宋_GB2312" w:eastAsia="仿宋_GB2312" w:cs="仿宋_GB2312"/>
          <w:sz w:val="32"/>
          <w:szCs w:val="32"/>
        </w:rPr>
        <w:t>60.84万元，主要用于缴纳养老保险；卫生健康支出40.14万元，主要用于行政单位医疗，公务员医疗补助；住房保障支出44.27万元，主要用于住房公积金</w:t>
      </w:r>
      <w:r>
        <w:rPr>
          <w:rFonts w:hint="eastAsia" w:ascii="仿宋_GB2312" w:hAnsi="宋体" w:eastAsia="仿宋_GB2312" w:cs="宋体"/>
          <w:kern w:val="0"/>
          <w:sz w:val="32"/>
          <w:szCs w:val="32"/>
        </w:rPr>
        <w:t>。</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关于中共呼图县委员会组织部2025年一般公共预算当年拨款情况说明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中共呼图县委员会组织部2025年一般公共预算拨款合计  1585.58万元，其中：基本支出1332.97万元，比上年预算增加857.63万元，增长180.42%。主要原因是：</w:t>
      </w:r>
      <w:r>
        <w:rPr>
          <w:rFonts w:hint="eastAsia" w:ascii="仿宋_GB2312" w:hAnsi="宋体" w:eastAsia="仿宋_GB2312" w:cs="宋体"/>
          <w:kern w:val="0"/>
          <w:sz w:val="32"/>
          <w:szCs w:val="32"/>
        </w:rPr>
        <w:t>2025年新增550名三老人员，机构合并后在职人员新增6人，新增离休干部遗属4人，退休人员增加11人，预算资金增加</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项目支出252.61万元，比上年预算增加226.54万元，增长868.97%。主要原因是：2025年新增了“五个好”党支部示范点补助经费</w:t>
      </w:r>
      <w:r>
        <w:rPr>
          <w:rFonts w:hint="eastAsia" w:ascii="仿宋_GB2312" w:hAnsi="宋体" w:eastAsia="仿宋_GB2312" w:cs="宋体"/>
          <w:kern w:val="0"/>
          <w:sz w:val="32"/>
          <w:szCs w:val="32"/>
        </w:rPr>
        <w:t xml:space="preserve"> 、干部教育培训经费、人才发展专项经费老干部工作经费等项目预算</w:t>
      </w:r>
      <w:r>
        <w:rPr>
          <w:rFonts w:hint="eastAsia" w:ascii="仿宋_GB2312" w:hAnsi="仿宋_GB2312" w:eastAsia="仿宋_GB2312" w:cs="仿宋_GB2312"/>
          <w:kern w:val="0"/>
          <w:sz w:val="32"/>
          <w:szCs w:val="32"/>
        </w:rPr>
        <w:t>。</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sz w:val="32"/>
          <w:szCs w:val="32"/>
        </w:rPr>
        <w:t>1.一般公共服务（类）1440.33</w:t>
      </w:r>
      <w:r>
        <w:rPr>
          <w:rFonts w:hint="eastAsia" w:ascii="仿宋_GB2312" w:hAnsi="仿宋_GB2312" w:eastAsia="仿宋_GB2312" w:cs="仿宋_GB2312"/>
          <w:kern w:val="0"/>
          <w:sz w:val="32"/>
          <w:szCs w:val="32"/>
        </w:rPr>
        <w:t>万元，占90.84 %。</w:t>
      </w:r>
    </w:p>
    <w:p>
      <w:pPr>
        <w:spacing w:line="560" w:lineRule="exact"/>
        <w:ind w:firstLine="640" w:firstLineChars="200"/>
        <w:rPr>
          <w:rFonts w:ascii="仿宋_GB2312" w:eastAsia="仿宋_GB2312"/>
          <w:sz w:val="32"/>
          <w:szCs w:val="32"/>
        </w:rPr>
      </w:pPr>
      <w:r>
        <w:rPr>
          <w:rFonts w:hint="eastAsia" w:ascii="仿宋_GB2312" w:hAnsi="仿宋_GB2312" w:eastAsia="仿宋_GB2312" w:cs="仿宋_GB2312"/>
          <w:kern w:val="0"/>
          <w:sz w:val="32"/>
          <w:szCs w:val="32"/>
        </w:rPr>
        <w:t>2.</w:t>
      </w:r>
      <w:r>
        <w:rPr>
          <w:rFonts w:hint="eastAsia" w:ascii="仿宋_GB2312" w:eastAsia="仿宋_GB2312"/>
          <w:sz w:val="32"/>
          <w:szCs w:val="32"/>
        </w:rPr>
        <w:t>社会保障</w:t>
      </w:r>
      <w:r>
        <w:rPr>
          <w:rFonts w:hint="eastAsia" w:ascii="仿宋_GB2312" w:hAnsi="宋体" w:eastAsia="仿宋_GB2312" w:cs="宋体"/>
          <w:kern w:val="0"/>
          <w:sz w:val="32"/>
          <w:szCs w:val="32"/>
        </w:rPr>
        <w:t>和就业支出（类）60.84万元，占3.84%。</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3.卫生健康支出（类）40.14万元，占2.53%。</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4.住房保障支出（类）44.27万元，占2.79%。</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 一般公共服务（类）组织事务（款）行政运行（项）：2025年预算数为1029.22万元，比上年预算增加780.11万元，增长313.16%，主要原因是：2025年新增550名三老人员，机构合并后在职人员新增6人，新增离休干部遗属4人，退休人员增加11人，预算资金增加。</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2.一般公共服务（类）组织事务（款）事业运行（项）：2025年预算数为158.5万元，比上年预算增加38.33万元，增长31.9%，主要原因是：机构合并后事业在职人员新增3人，因此预算增加。</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3.一般公共服务（类）组织事务（款）其他组织事务支出（项）：2025年预算数为252.61万元，比上年预算增加226.54万元，增长868.97%，主要原因是：2025年新增了“五个好”党支部示范点补助经费 、干部教育培训经费、人才发展专项经费老干部工作经费等项目预算。</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 社会保障和就业支出（类）行政事业单位养老支出（款）行政单位离退休（项）：2025年预算数为7.76万元，比上年预算增加6.81万元，增长716.84％，主要原因是：机构合并后退休人员增加11人。</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社会保障和就业支出（类）行政事业单位养老支出（款）机关事业单位基本养老保险缴费支出（项）：2025年预算数为53.08万元，比上年预算增加10.55万元，增长24.81％，主要原因是：机构合并后在职人员新增6人，2025年缴费基数调整。</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卫生健康支出（类）行政事业单位医疗（款）行政单位医疗（项）：2025年预算数为15.27万元，比上年预算数减少6万元，下降28.21%，主要原因是上年事业人员医疗也列入此款项，2025年事业单位医疗单独列入预算。</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7、卫生健康支出（类）行政事业单位医疗（款）事业单位医疗（项）：2025年预算数为11.27万元，比上年预算数增加11.27万元，增长100%，主要原因是上年事业人员医疗未单独列入此款项。</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卫生健康支出（类）行政事业单位医疗（款）公务员医疗补助（项）：2025年预算数为13.27万元，比上年预算数增加7.42万元，增长126.84%，主要原因是机构合并后在职人员新增6人，社保医保基数调整，预算资金增加。。</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卫生健康支出（类）行政事业单位医疗（款）其他行政事业单位医疗支出（项）：2025年预算数为0.33万元，比上年预算数增加0.17万元，增长106.25%，主要原因是机构合并后在职人员新增6人，社保医保基数调整，预算资金增加。</w:t>
      </w:r>
    </w:p>
    <w:p>
      <w:pPr>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10.住房保障支出（类）住房改革支出（款）住房公积金（项）：2025年预算数为44.27万元，比上年预算数增加8.96万元，增长25.38%，主要原因是机构合并后在职人员新增6人，公积金基数调整。</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关于中共呼图县委员会组织部2025年一般公共预算基本支出情况说明</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中共呼图县委员会组织部2025年一般公共预算基本支出    1332.97万元， 其中：</w:t>
      </w:r>
    </w:p>
    <w:p>
      <w:pPr>
        <w:spacing w:line="600" w:lineRule="exact"/>
        <w:ind w:firstLine="616" w:firstLineChars="200"/>
        <w:rPr>
          <w:rFonts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人员经费1307.1万元，主要包括：基本工资、津贴补贴、奖金、伙食补助费、绩效工资、机关事业单位基本养老保险缴费、职业年金缴费、职工基本医疗保险缴费、公务员医疗补助缴费、其他社会保障缴费、住房公积金、医疗费、其他工资福利支出、退休费、生活补助、奖励金。</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公用经费25.87万元，主要包括：办公费、印刷费、邮电费、取暖费、差旅费、公务接待费、工会经费、公务用车运行维护费、其他交通费用等。</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关于中共呼图县委员会组织部2025年一般公共预算项目支出情况说明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1.项目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2025年度自治区援疆干部医疗费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根据昌吉州财政局《关于提前下达2024年度自治区援疆干部医疗费的通知》（昌州财行【2023】53号）文件要求，为保障援疆干部在我县工作和生活中，能更好带给我县优质的资源，在此期间，援疆干部购买药品以及就医体检等费用全部由我县承担，最大限度的保障援疆干部们的身心健康。根据文件下达预算资金，特制定本项目</w:t>
      </w:r>
    </w:p>
    <w:p>
      <w:pPr>
        <w:spacing w:line="600" w:lineRule="exact"/>
        <w:ind w:firstLine="640" w:firstLineChars="200"/>
        <w:rPr>
          <w:rFonts w:ascii="仿宋_GB2312" w:hAnsi="宋体" w:eastAsia="仿宋_GB2312" w:cs="宋体"/>
          <w:kern w:val="0"/>
          <w:sz w:val="32"/>
          <w:szCs w:val="32"/>
        </w:rPr>
      </w:pPr>
      <w:r>
        <w:rPr>
          <w:rFonts w:ascii="仿宋_GB2312" w:hAnsi="宋体" w:eastAsia="仿宋_GB2312" w:cs="宋体"/>
          <w:kern w:val="0"/>
          <w:sz w:val="32"/>
          <w:szCs w:val="32"/>
        </w:rPr>
        <w:t>预算安排规模</w:t>
      </w:r>
      <w:r>
        <w:rPr>
          <w:rFonts w:hint="eastAsia" w:ascii="仿宋_GB2312" w:hAnsi="宋体" w:eastAsia="仿宋_GB2312" w:cs="宋体"/>
          <w:kern w:val="0"/>
          <w:sz w:val="32"/>
          <w:szCs w:val="32"/>
        </w:rPr>
        <w:t>： 7.2万元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：用于2025年24名援疆干部支付医疗费，每人每年3000元标准</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2025.01.01-2025.12.31</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2.项目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“呼必应”小程序系统运行维护及更新升级费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《呼图壁县“民有所呼、我有所应“服务群众活动方案》</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 xml:space="preserve"> 10万元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：用于支付</w:t>
      </w:r>
      <w:r>
        <w:rPr>
          <w:rFonts w:hint="eastAsia" w:ascii="仿宋_GB2312" w:hAnsi="宋体" w:eastAsia="仿宋_GB2312" w:cs="宋体"/>
          <w:kern w:val="0"/>
          <w:sz w:val="32"/>
          <w:szCs w:val="32"/>
        </w:rPr>
        <w:t>“呼必应”小程序运行维护费2万元，更新升级</w:t>
      </w:r>
      <w:r>
        <w:rPr>
          <w:rFonts w:hint="eastAsia" w:ascii="仿宋_GB2312" w:hAnsi="宋体" w:eastAsia="仿宋_GB2312" w:cs="宋体"/>
          <w:kern w:val="0"/>
          <w:sz w:val="32"/>
          <w:szCs w:val="32"/>
          <w:lang w:val="en-US" w:eastAsia="zh-CN"/>
        </w:rPr>
        <w:t>费用</w:t>
      </w:r>
      <w:r>
        <w:rPr>
          <w:rFonts w:hint="eastAsia" w:ascii="仿宋_GB2312" w:hAnsi="宋体" w:eastAsia="仿宋_GB2312" w:cs="宋体"/>
          <w:kern w:val="0"/>
          <w:sz w:val="32"/>
          <w:szCs w:val="32"/>
        </w:rPr>
        <w:t>8万元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2025.01.01-2025.12.31</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3.项目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离休干部特需经费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昌州人社发【2017】20号、新人社发【2017】2号、人社部发【2016】116号：“离休干部特需经费标准，由原来每人每年500元调整为每人每年1000元。”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 xml:space="preserve"> 0.1万元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：离休干部特需经费每人每年0.1万元，</w:t>
      </w:r>
      <w:r>
        <w:rPr>
          <w:rFonts w:hint="eastAsia" w:ascii="仿宋_GB2312" w:hAnsi="宋体" w:eastAsia="仿宋_GB2312" w:cs="宋体"/>
          <w:kern w:val="0"/>
          <w:sz w:val="32"/>
          <w:szCs w:val="32"/>
        </w:rPr>
        <w:t>用于解决离休干部的特殊困难和必要的活动经费开支</w:t>
      </w:r>
      <w:r>
        <w:rPr>
          <w:rFonts w:hint="eastAsia" w:ascii="仿宋_GB2312" w:hAnsi="黑体" w:eastAsia="仿宋_GB2312"/>
          <w:sz w:val="32"/>
          <w:szCs w:val="32"/>
        </w:rPr>
        <w:t>。</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2025.01.01-2025.12.31</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老干部工作经费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1.新党组通字【2014】11号，呼党财【2013】2号：“1.离休干部的活动费标准，由原来每人每年400元调整为每人每年700元。2.退休干部的活动费标准，由原来每人每年300元调整为每人每年600元。”2.昌州党办发[2016]89号：积极为关心下一代工作创造必要条件。各单位要对关工委驻会的老同志给予一定补助。各级关工经费要纳入同级财政预算，并建立合理的增长机制，县市关工委每年经费不低于5万元，县级以下关工组织每年也要有一定的经费保证，要保障工作用车。3.呼党财【2013】2号：“同意将老年大学、老干部党校、关工委经费由部门预算5万元提高至13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15万元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：老干部工作经费用于节日慰问3.12万元，</w:t>
      </w:r>
      <w:r>
        <w:rPr>
          <w:rFonts w:hint="eastAsia" w:ascii="仿宋_GB2312" w:hAnsi="宋体" w:eastAsia="仿宋_GB2312" w:cs="宋体"/>
          <w:kern w:val="0"/>
          <w:sz w:val="32"/>
          <w:szCs w:val="32"/>
        </w:rPr>
        <w:t>开展文体活动</w:t>
      </w:r>
      <w:r>
        <w:rPr>
          <w:rFonts w:hint="eastAsia" w:ascii="仿宋_GB2312" w:hAnsi="宋体" w:eastAsia="仿宋_GB2312" w:cs="宋体"/>
          <w:kern w:val="0"/>
          <w:sz w:val="32"/>
          <w:szCs w:val="32"/>
          <w:lang w:val="en-US" w:eastAsia="zh-CN"/>
        </w:rPr>
        <w:t>2万元</w:t>
      </w:r>
      <w:r>
        <w:rPr>
          <w:rFonts w:hint="eastAsia" w:ascii="仿宋_GB2312" w:hAnsi="宋体" w:eastAsia="仿宋_GB2312" w:cs="宋体"/>
          <w:kern w:val="0"/>
          <w:sz w:val="32"/>
          <w:szCs w:val="32"/>
        </w:rPr>
        <w:t>，老干部订阅学习资料</w:t>
      </w:r>
      <w:r>
        <w:rPr>
          <w:rFonts w:hint="eastAsia" w:ascii="仿宋_GB2312" w:hAnsi="宋体" w:eastAsia="仿宋_GB2312" w:cs="宋体"/>
          <w:kern w:val="0"/>
          <w:sz w:val="32"/>
          <w:szCs w:val="32"/>
          <w:lang w:val="en-US" w:eastAsia="zh-CN"/>
        </w:rPr>
        <w:t>费用1万元</w:t>
      </w:r>
      <w:r>
        <w:rPr>
          <w:rFonts w:hint="eastAsia" w:ascii="仿宋_GB2312" w:hAnsi="宋体" w:eastAsia="仿宋_GB2312" w:cs="宋体"/>
          <w:kern w:val="0"/>
          <w:sz w:val="32"/>
          <w:szCs w:val="32"/>
        </w:rPr>
        <w:t>，召开茶话会</w:t>
      </w:r>
      <w:r>
        <w:rPr>
          <w:rFonts w:hint="eastAsia" w:ascii="仿宋_GB2312" w:hAnsi="宋体" w:eastAsia="仿宋_GB2312" w:cs="宋体"/>
          <w:kern w:val="0"/>
          <w:sz w:val="32"/>
          <w:szCs w:val="32"/>
          <w:lang w:val="en-US" w:eastAsia="zh-CN"/>
        </w:rPr>
        <w:t>1万元，</w:t>
      </w:r>
      <w:r>
        <w:rPr>
          <w:rFonts w:hint="eastAsia" w:ascii="仿宋_GB2312" w:hAnsi="宋体" w:eastAsia="仿宋_GB2312" w:cs="宋体"/>
          <w:kern w:val="0"/>
          <w:sz w:val="32"/>
          <w:szCs w:val="32"/>
        </w:rPr>
        <w:t>老年大学水电费</w:t>
      </w:r>
      <w:r>
        <w:rPr>
          <w:rFonts w:hint="eastAsia" w:ascii="仿宋_GB2312" w:hAnsi="宋体" w:eastAsia="仿宋_GB2312" w:cs="宋体"/>
          <w:kern w:val="0"/>
          <w:sz w:val="32"/>
          <w:szCs w:val="32"/>
          <w:lang w:val="en-US" w:eastAsia="zh-CN"/>
        </w:rPr>
        <w:t>2万元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聘用老师劳务费</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.88万元</w:t>
      </w:r>
      <w:r>
        <w:rPr>
          <w:rFonts w:hint="eastAsia" w:ascii="仿宋_GB2312" w:hAnsi="黑体" w:eastAsia="仿宋_GB2312"/>
          <w:sz w:val="32"/>
          <w:szCs w:val="32"/>
        </w:rPr>
        <w:t>，合计15万元。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2025.01.01-2025.12.31</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5.项目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人才发展专项经费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《新疆维吾尔自治区人才发展专项资金管理办法（试行）》（新财行【2012】295号）自治区各级财政部门每年按照不少于上年度财政一般预算收入的0.5%提取人才发展专项资金并按1%的比例逐年递增。</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 xml:space="preserve"> 50.31万元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用于支付北苑小区空置的人才公寓暖气费3.15万元，人才公寓租金34.56万元，支付新引进研究生入职体检费0.6万元，打造县级人才工作室及县级重点人才项目12万元</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2025.01.01-2025.12.31</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6、项目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“五个好”党支部示范点补助经费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创建“五个好”标准化规范化党支部、建设“四个合格”党员队伍基本标准和工作程序〔2022〕-1号：对评为“五个好”的党支部，采取各级留存党费划拨、同级财政支持的办法，实行以奖代补，给予5000元至1万元活动经费补助；自治区、地州市、县市区级“五个好”党支部示范点，一次性分别给予5万元、3万元、2万元活动经费补助。</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 xml:space="preserve"> 120万元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每个示范点给予2万元活动经费补助</w:t>
      </w:r>
      <w:r>
        <w:rPr>
          <w:rFonts w:ascii="仿宋_GB2312" w:hAnsi="黑体" w:eastAsia="仿宋_GB2312"/>
          <w:sz w:val="32"/>
          <w:szCs w:val="32"/>
        </w:rPr>
        <w:t>资金</w:t>
      </w:r>
      <w:r>
        <w:rPr>
          <w:rFonts w:hint="eastAsia" w:ascii="仿宋_GB2312" w:hAnsi="黑体" w:eastAsia="仿宋_GB2312"/>
          <w:sz w:val="32"/>
          <w:szCs w:val="32"/>
        </w:rPr>
        <w:t>，预计补助示范点数量60个，合计120万元</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2025.01.01-2025.12.31</w:t>
      </w:r>
    </w:p>
    <w:p>
      <w:pPr>
        <w:spacing w:line="600" w:lineRule="exact"/>
        <w:ind w:firstLine="640" w:firstLineChars="200"/>
        <w:rPr>
          <w:rFonts w:ascii="仿宋_GB2312" w:hAnsi="宋体" w:eastAsia="仿宋_GB2312" w:cs="宋体"/>
          <w:kern w:val="0"/>
          <w:sz w:val="32"/>
          <w:szCs w:val="32"/>
        </w:rPr>
      </w:pPr>
      <w:r>
        <w:rPr>
          <w:rFonts w:hint="eastAsia" w:ascii="仿宋_GB2312" w:hAnsi="黑体" w:eastAsia="仿宋_GB2312"/>
          <w:sz w:val="32"/>
          <w:szCs w:val="32"/>
        </w:rPr>
        <w:t>7、项目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干部教育培训经费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2023年发布《干部教育培训工作条例》：第四十六条，干部教育培训经费列入各级政府年度财政预算，保证干部教育培训工作需要。</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rPr>
        <w:t xml:space="preserve"> 50万元</w:t>
      </w:r>
    </w:p>
    <w:p>
      <w:pPr>
        <w:spacing w:line="60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：中共呼图壁县委员会组织部</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用于村“两委”干部培训班20万、村级后备力量培训班10万元、各领域党员县级示范培训班20万元。</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2025.01.01-2025.12.31</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八</w:t>
      </w:r>
      <w:r>
        <w:rPr>
          <w:rFonts w:hint="eastAsia" w:ascii="楷体_GB2312" w:hAnsi="楷体_GB2312" w:eastAsia="楷体_GB2312" w:cs="楷体_GB2312"/>
          <w:b/>
          <w:bCs/>
          <w:kern w:val="0"/>
          <w:sz w:val="32"/>
          <w:szCs w:val="32"/>
        </w:rPr>
        <w:t>、关于中共呼图县委员会组织部2025年政府性基金预算拨款情况说明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中共呼图县委员会组织部2025年没有使用政府性基金预算拨款安排的支出，政府性基金预算支出情况表为空表。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九、</w:t>
      </w:r>
      <w:r>
        <w:rPr>
          <w:rFonts w:hint="eastAsia" w:ascii="楷体_GB2312" w:hAnsi="楷体_GB2312" w:eastAsia="楷体_GB2312" w:cs="楷体_GB2312"/>
          <w:b/>
          <w:bCs/>
          <w:kern w:val="0"/>
          <w:sz w:val="32"/>
          <w:szCs w:val="32"/>
        </w:rPr>
        <w:t>关于中共呼图县委员会组织部2025年国有资本经营预算拨款情况说明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中共呼图县委员会组织部2025年没有使用国有资本经营预算拨款安排的支出，国有资本经营预算支出情况表为空表。</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、关于中共呼图县委员会组织部2025年</w:t>
      </w:r>
      <w:r>
        <w:rPr>
          <w:rFonts w:hint="eastAsia" w:ascii="楷体_GB2312" w:hAnsi="楷体_GB2312" w:eastAsia="楷体_GB2312" w:cs="楷体_GB2312"/>
          <w:b/>
          <w:bCs/>
          <w:kern w:val="0"/>
          <w:sz w:val="32"/>
          <w:szCs w:val="32"/>
          <w:lang w:eastAsia="zh-Hans"/>
        </w:rPr>
        <w:t>财政拨款</w:t>
      </w:r>
      <w:r>
        <w:rPr>
          <w:rFonts w:hint="eastAsia" w:ascii="楷体_GB2312" w:hAnsi="楷体_GB2312" w:eastAsia="楷体_GB2312" w:cs="楷体_GB2312"/>
          <w:b/>
          <w:bCs/>
          <w:kern w:val="0"/>
          <w:sz w:val="32"/>
          <w:szCs w:val="32"/>
        </w:rPr>
        <w:t>“三公”经费预算情况说明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中共呼图县委员会组织部2025年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“三公”经费数为7.77万元，其中：因公出国（境）费0万元，公务用车购置费0万元，公务用车运行费7.57万元，公务接待费0.2万元。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中共呼图县委员会组织部2025年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“三公”经费比上年预算增加1.19万元，增长18.0</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 xml:space="preserve"> %，其中：因公出国（境）费0万元，主要原因是2024年、2025均未安排因公出国（境）费预算；公务用车购置费0万元，主要原因是2024年、2025年均未安排公务用车购置费预算；公务用车运行费增加1.77 万元，增长30.52%，主要原因是2024年7月机构合并，老干部局、关工委车辆2025年预算列入组织部</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公务车辆较2024年增加</w:t>
      </w:r>
      <w:r>
        <w:rPr>
          <w:rFonts w:hint="eastAsia" w:ascii="仿宋_GB2312" w:hAnsi="宋体" w:eastAsia="仿宋_GB2312" w:cs="宋体"/>
          <w:kern w:val="0"/>
          <w:sz w:val="32"/>
          <w:szCs w:val="32"/>
        </w:rPr>
        <w:t>；公务接待费减少0.58万元，下降74.36%，主要原因是2025年减少公务接待开支。</w:t>
      </w:r>
    </w:p>
    <w:p>
      <w:pPr>
        <w:spacing w:line="600" w:lineRule="exact"/>
        <w:ind w:firstLine="643" w:firstLineChars="200"/>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一、关于中共呼图县委员会组织部2025年上年结转结余预算情况说明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中共呼图县委员会组织部2025年上年结转结余928.31万元，包括：财政拨款928.31万元，非财政拨款0万元，其中：</w:t>
      </w:r>
    </w:p>
    <w:p>
      <w:pPr>
        <w:spacing w:line="560" w:lineRule="exact"/>
        <w:ind w:firstLine="640" w:firstLineChars="200"/>
        <w:rPr>
          <w:rFonts w:ascii="仿宋_GB2312" w:hAnsi="黑体" w:eastAsia="仿宋_GB2312"/>
          <w:sz w:val="32"/>
          <w:szCs w:val="32"/>
        </w:rPr>
      </w:pPr>
      <w:r>
        <w:rPr>
          <w:rFonts w:hint="eastAsia" w:ascii="仿宋_GB2312" w:hAnsi="仿宋_GB2312" w:eastAsia="仿宋_GB2312" w:cs="仿宋_GB2312"/>
          <w:kern w:val="0"/>
          <w:sz w:val="32"/>
          <w:szCs w:val="32"/>
        </w:rPr>
        <w:t>1.</w:t>
      </w:r>
      <w:r>
        <w:rPr>
          <w:rFonts w:hint="eastAsia" w:ascii="仿宋_GB2312" w:hAnsi="宋体" w:eastAsia="仿宋_GB2312" w:cs="宋体"/>
          <w:kern w:val="0"/>
          <w:sz w:val="32"/>
          <w:szCs w:val="32"/>
        </w:rPr>
        <w:t xml:space="preserve"> 2024年为民办实事经费35万元</w:t>
      </w:r>
      <w:r>
        <w:rPr>
          <w:rFonts w:hint="eastAsia" w:ascii="仿宋_GB2312" w:hAnsi="仿宋_GB2312" w:eastAsia="仿宋_GB2312" w:cs="仿宋_GB2312"/>
          <w:kern w:val="0"/>
          <w:sz w:val="32"/>
          <w:szCs w:val="32"/>
        </w:rPr>
        <w:t>，主要用于：</w:t>
      </w:r>
      <w:r>
        <w:rPr>
          <w:rFonts w:hint="eastAsia" w:ascii="仿宋_GB2312" w:hAnsi="宋体" w:eastAsia="仿宋_GB2312" w:cs="宋体"/>
          <w:kern w:val="0"/>
          <w:sz w:val="32"/>
          <w:szCs w:val="32"/>
        </w:rPr>
        <w:t>支付2024年为民办实事经费35万元（25%用于访贫问苦、50%用于困难群众房屋修缮、25%用于补充村级组织工作经费</w:t>
      </w:r>
      <w:r>
        <w:rPr>
          <w:rFonts w:hint="eastAsia" w:ascii="仿宋_GB2312" w:hAnsi="仿宋_GB2312" w:eastAsia="仿宋_GB2312" w:cs="仿宋_GB2312"/>
          <w:kern w:val="0"/>
          <w:sz w:val="32"/>
          <w:szCs w:val="32"/>
        </w:rPr>
        <w:t>。</w:t>
      </w:r>
    </w:p>
    <w:p>
      <w:pPr>
        <w:spacing w:line="600" w:lineRule="exact"/>
        <w:ind w:firstLine="640" w:firstLineChars="200"/>
        <w:rPr>
          <w:rFonts w:ascii="仿宋_GB2312" w:hAnsi="黑体" w:eastAsia="仿宋_GB2312"/>
          <w:sz w:val="32"/>
          <w:szCs w:val="32"/>
        </w:rPr>
      </w:pPr>
      <w:r>
        <w:rPr>
          <w:rFonts w:hint="eastAsia" w:ascii="仿宋_GB2312" w:hAnsi="仿宋_GB2312" w:eastAsia="仿宋_GB2312" w:cs="仿宋_GB2312"/>
          <w:sz w:val="32"/>
          <w:szCs w:val="32"/>
        </w:rPr>
        <w:t>2.</w:t>
      </w:r>
      <w:r>
        <w:rPr>
          <w:rFonts w:hint="eastAsia" w:ascii="仿宋_GB2312" w:hAnsi="黑体" w:eastAsia="仿宋_GB2312"/>
          <w:sz w:val="32"/>
          <w:szCs w:val="32"/>
        </w:rPr>
        <w:t xml:space="preserve"> 2024年援疆干部医疗费2.2万元，主要用于支付2024年援疆干部按标准未支付医疗费。</w:t>
      </w:r>
    </w:p>
    <w:p>
      <w:pPr>
        <w:spacing w:line="560" w:lineRule="exact"/>
        <w:ind w:firstLine="640" w:firstLineChars="200"/>
        <w:rPr>
          <w:rFonts w:ascii="仿宋_GB2312" w:hAnsi="黑体" w:eastAsia="仿宋_GB2312"/>
          <w:sz w:val="32"/>
          <w:szCs w:val="32"/>
        </w:rPr>
      </w:pPr>
      <w:r>
        <w:rPr>
          <w:rFonts w:hint="eastAsia" w:ascii="仿宋_GB2312" w:hAnsi="仿宋_GB2312" w:eastAsia="仿宋_GB2312" w:cs="仿宋_GB2312"/>
          <w:sz w:val="32"/>
          <w:szCs w:val="32"/>
        </w:rPr>
        <w:t>3.2024年第一批中央基建投资预算项目891.11万元，主要用于：</w:t>
      </w:r>
      <w:r>
        <w:rPr>
          <w:rFonts w:hint="eastAsia" w:ascii="仿宋_GB2312" w:hAnsi="宋体" w:eastAsia="仿宋_GB2312" w:cs="宋体"/>
          <w:kern w:val="0"/>
          <w:sz w:val="32"/>
          <w:szCs w:val="32"/>
        </w:rPr>
        <w:t>2024年第一批中央基建投资预算项目资金支付，共计4个工程项目，分别为：2024年“五小”工程建设项目、2024年村级组织活动场所建设项目、2024年乡镇干部周转宿 舍建设项目、2024年社区综合服务设施建设项目</w:t>
      </w:r>
      <w:r>
        <w:rPr>
          <w:rFonts w:hint="eastAsia" w:ascii="仿宋_GB2312" w:hAnsi="黑体" w:eastAsia="仿宋_GB2312"/>
          <w:sz w:val="32"/>
          <w:szCs w:val="32"/>
        </w:rPr>
        <w:t>。</w:t>
      </w:r>
    </w:p>
    <w:p>
      <w:pPr>
        <w:spacing w:line="60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二、其他重要事项的情况说明</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rPr>
        <w:t>（一）单位运行经费情况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县委员会组织部2025年的机关运行经费财政拨款预算25.87万元，比上年预算增加6.03万元，增长30.39 %。主要原因是2024年7月机构改革，老干部局、机关工委合并入组织部，人员、车辆均增加，因此2025年机关运行费增加。</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2025年，中共呼图壁县委员会组织部政府采购预算39万元，其中：政府采购货物预算4.8万元，政府采购工程预算0万元，政府采购服务预算34.2万元。</w:t>
      </w:r>
    </w:p>
    <w:p>
      <w:pPr>
        <w:spacing w:line="600" w:lineRule="exact"/>
        <w:ind w:firstLine="640" w:firstLineChars="200"/>
        <w:rPr>
          <w:rFonts w:ascii="仿宋_GB2312" w:hAnsi="仿宋_GB2312" w:eastAsia="仿宋_GB2312" w:cs="仿宋_GB2312"/>
          <w:sz w:val="32"/>
        </w:rPr>
      </w:pPr>
      <w:r>
        <w:rPr>
          <w:rFonts w:hint="eastAsia" w:ascii="仿宋_GB2312" w:hAnsi="仿宋_GB2312" w:eastAsia="仿宋_GB2312" w:cs="仿宋_GB2312"/>
          <w:kern w:val="0"/>
          <w:sz w:val="32"/>
          <w:szCs w:val="32"/>
        </w:rPr>
        <w:t>2025年，中共呼图壁县委员会组织部</w:t>
      </w:r>
      <w:r>
        <w:rPr>
          <w:rFonts w:hint="eastAsia" w:ascii="仿宋_GB2312" w:hAnsi="仿宋_GB2312" w:eastAsia="仿宋_GB2312" w:cs="仿宋_GB2312"/>
          <w:sz w:val="32"/>
        </w:rPr>
        <w:t>面向中小企业预留政府采购项目预算金额29.7万元，小微企业预留政府采购项目预算金额29.7万元。</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截至2024年底，中共呼图壁县委员会组织部占用使用国有资产总体情况为：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1.房屋500平方米，价值45.9万元。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2.车辆7辆，价值79.76万元；其中：一般公务用车7辆，价值 79.76万元；执法执勤用车0辆，价值0万元；其他车辆0辆，价值0万元。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3.办公家具价值65.72万元。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4.其他资产价值255.1万元。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部门价值50万元以上大型设备 0 台，部门价值100万元以上大型设备 0 台。</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2025年部门预算未安排购置车辆经费，安排购置50万元以上大型设备 0 台，单位价值100万元以上大型设备 0 台。</w:t>
      </w:r>
    </w:p>
    <w:p>
      <w:pPr>
        <w:spacing w:line="600" w:lineRule="exact"/>
        <w:ind w:firstLine="643" w:firstLineChars="200"/>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lang w:eastAsia="zh-Hans"/>
        </w:rPr>
        <w:t>（四）</w:t>
      </w:r>
      <w:r>
        <w:rPr>
          <w:rFonts w:hint="eastAsia" w:ascii="仿宋_GB2312" w:hAnsi="仿宋_GB2312" w:eastAsia="仿宋_GB2312" w:cs="仿宋_GB2312"/>
          <w:b/>
          <w:kern w:val="0"/>
          <w:sz w:val="32"/>
          <w:szCs w:val="32"/>
        </w:rPr>
        <w:t>预算绩效情况</w:t>
      </w:r>
    </w:p>
    <w:p>
      <w:pPr>
        <w:spacing w:line="600" w:lineRule="exact"/>
        <w:ind w:firstLine="640" w:firstLineChars="200"/>
        <w:rPr>
          <w:rFonts w:ascii="仿宋_GB2312" w:hAnsi="仿宋_GB2312" w:eastAsia="仿宋_GB2312" w:cs="仿宋_GB2312"/>
          <w:kern w:val="0"/>
          <w:sz w:val="32"/>
          <w:szCs w:val="32"/>
        </w:rPr>
      </w:pPr>
      <w:bookmarkStart w:id="0" w:name="OLE_LINK1"/>
      <w:r>
        <w:rPr>
          <w:rFonts w:eastAsia="仿宋_GB2312"/>
          <w:kern w:val="0"/>
          <w:sz w:val="32"/>
          <w:szCs w:val="32"/>
        </w:rPr>
        <w:t>2025</w:t>
      </w:r>
      <w:r>
        <w:rPr>
          <w:rFonts w:hint="eastAsia" w:ascii="仿宋_GB2312" w:hAnsi="仿宋_GB2312" w:eastAsia="仿宋_GB2312" w:cs="仿宋_GB2312"/>
          <w:kern w:val="0"/>
          <w:sz w:val="32"/>
          <w:szCs w:val="32"/>
        </w:rPr>
        <w:t>年，本部门预算绩效管理整体预算绩效目标1个，涉及预算金额3021.16万元；当年预算安排项目共7个，其中:</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项目涉及预算金额252.61万元；</w:t>
      </w:r>
      <w:r>
        <w:rPr>
          <w:rFonts w:hint="eastAsia" w:ascii="仿宋_GB2312" w:hAnsi="仿宋_GB2312" w:eastAsia="仿宋_GB2312" w:cs="仿宋_GB2312"/>
          <w:kern w:val="0"/>
          <w:sz w:val="32"/>
          <w:szCs w:val="32"/>
          <w:lang w:eastAsia="zh-Hans"/>
        </w:rPr>
        <w:t>非财政拨款项目</w:t>
      </w:r>
      <w:r>
        <w:rPr>
          <w:rFonts w:hint="eastAsia" w:ascii="仿宋_GB2312" w:hAnsi="仿宋_GB2312" w:eastAsia="仿宋_GB2312" w:cs="仿宋_GB2312"/>
          <w:kern w:val="0"/>
          <w:sz w:val="32"/>
          <w:szCs w:val="32"/>
        </w:rPr>
        <w:t xml:space="preserve">涉及预算金额0万元。具体情况见下表：  </w:t>
      </w:r>
    </w:p>
    <w:p>
      <w:pPr>
        <w:spacing w:line="560" w:lineRule="exact"/>
        <w:jc w:val="center"/>
        <w:rPr>
          <w:rFonts w:ascii="仿宋_GB2312" w:hAnsi="宋体" w:eastAsia="仿宋_GB2312" w:cs="仿宋_GB2312"/>
          <w:b/>
          <w:color w:val="000000"/>
          <w:kern w:val="0"/>
          <w:sz w:val="32"/>
          <w:szCs w:val="32"/>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pStyle w:val="2"/>
        <w:rPr>
          <w:lang w:bidi="ar"/>
        </w:rPr>
      </w:pPr>
    </w:p>
    <w:p>
      <w:pPr>
        <w:spacing w:line="560" w:lineRule="exact"/>
        <w:jc w:val="center"/>
        <w:rPr>
          <w:rFonts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p>
      <w:pPr>
        <w:jc w:val="center"/>
        <w:rPr>
          <w:rFonts w:ascii="宋体" w:hAnsi="宋体" w:cs="宋体"/>
          <w:color w:val="000000"/>
          <w:sz w:val="22"/>
          <w:szCs w:val="22"/>
          <w:lang w:eastAsia="zh-Hans"/>
        </w:rPr>
      </w:pPr>
      <w:r>
        <w:rPr>
          <w:rFonts w:hint="eastAsia" w:ascii="宋体" w:hAnsi="宋体" w:cs="宋体"/>
          <w:color w:val="000000"/>
          <w:sz w:val="22"/>
          <w:szCs w:val="22"/>
          <w:lang w:eastAsia="zh-Hans"/>
        </w:rPr>
        <w:t xml:space="preserve"> (2025年)</w:t>
      </w:r>
    </w:p>
    <w:bookmarkEnd w:id="0"/>
    <w:tbl>
      <w:tblPr>
        <w:tblStyle w:val="10"/>
        <w:tblW w:w="8804" w:type="dxa"/>
        <w:tblInd w:w="93" w:type="dxa"/>
        <w:tblLayout w:type="autofit"/>
        <w:tblCellMar>
          <w:top w:w="0" w:type="dxa"/>
          <w:left w:w="108" w:type="dxa"/>
          <w:bottom w:w="0" w:type="dxa"/>
          <w:right w:w="108" w:type="dxa"/>
        </w:tblCellMar>
      </w:tblPr>
      <w:tblGrid>
        <w:gridCol w:w="1080"/>
        <w:gridCol w:w="878"/>
        <w:gridCol w:w="1315"/>
        <w:gridCol w:w="1600"/>
        <w:gridCol w:w="940"/>
        <w:gridCol w:w="1865"/>
        <w:gridCol w:w="1126"/>
      </w:tblGrid>
      <w:tr>
        <w:tblPrEx>
          <w:tblCellMar>
            <w:top w:w="0" w:type="dxa"/>
            <w:left w:w="108" w:type="dxa"/>
            <w:bottom w:w="0" w:type="dxa"/>
            <w:right w:w="108" w:type="dxa"/>
          </w:tblCellMar>
        </w:tblPrEx>
        <w:trPr>
          <w:trHeight w:val="555" w:hRule="atLeast"/>
        </w:trPr>
        <w:tc>
          <w:tcPr>
            <w:tcW w:w="195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部门（单位）名称（盖章）</w:t>
            </w:r>
          </w:p>
        </w:tc>
        <w:tc>
          <w:tcPr>
            <w:tcW w:w="6846"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中共呼图壁县委员会组织部</w:t>
            </w:r>
          </w:p>
        </w:tc>
      </w:tr>
      <w:tr>
        <w:tblPrEx>
          <w:tblCellMar>
            <w:top w:w="0" w:type="dxa"/>
            <w:left w:w="108" w:type="dxa"/>
            <w:bottom w:w="0" w:type="dxa"/>
            <w:right w:w="108" w:type="dxa"/>
          </w:tblCellMar>
        </w:tblPrEx>
        <w:trPr>
          <w:trHeight w:val="675" w:hRule="atLeast"/>
        </w:trPr>
        <w:tc>
          <w:tcPr>
            <w:tcW w:w="195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部门（单位）联系人</w:t>
            </w:r>
          </w:p>
        </w:tc>
        <w:tc>
          <w:tcPr>
            <w:tcW w:w="29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王钫</w:t>
            </w:r>
          </w:p>
        </w:tc>
        <w:tc>
          <w:tcPr>
            <w:tcW w:w="94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联系电话：</w:t>
            </w:r>
          </w:p>
        </w:tc>
        <w:tc>
          <w:tcPr>
            <w:tcW w:w="2991"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13899683030</w:t>
            </w:r>
          </w:p>
        </w:tc>
      </w:tr>
      <w:tr>
        <w:tblPrEx>
          <w:tblCellMar>
            <w:top w:w="0" w:type="dxa"/>
            <w:left w:w="108" w:type="dxa"/>
            <w:bottom w:w="0" w:type="dxa"/>
            <w:right w:w="108" w:type="dxa"/>
          </w:tblCellMar>
        </w:tblPrEx>
        <w:trPr>
          <w:trHeight w:val="2567" w:hRule="atLeast"/>
        </w:trPr>
        <w:tc>
          <w:tcPr>
            <w:tcW w:w="4873"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年度绩效目标</w:t>
            </w:r>
          </w:p>
        </w:tc>
        <w:tc>
          <w:tcPr>
            <w:tcW w:w="3931"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加强党员和党组织、干部队伍、公务员队伍建设，做好离退休干部管理服务工作，推进组织系统信息化建设工作，加大少数民族千部交流任职工作力度，确定一批专业型空缺岗位鼓励干部公开竞聘上岗。加大年轻干部培养力度，常态化开展年轻千部“大比武”活动，继续选派10名左右优秀年轻干部到乡镇、村(社区)、信访、招商等一线挂职锻炼。健全完善巡察审计整改监督工作机制；深化校企合作，完善“订单式人才培养模式，选派 200名教育、医疗等各领域专技人才到内地高校深造进修、援疆省市考察交流，加强与疆内外高校和科研机构合作交流。</w:t>
            </w:r>
          </w:p>
        </w:tc>
      </w:tr>
      <w:tr>
        <w:tblPrEx>
          <w:tblCellMar>
            <w:top w:w="0" w:type="dxa"/>
            <w:left w:w="108" w:type="dxa"/>
            <w:bottom w:w="0" w:type="dxa"/>
            <w:right w:w="108" w:type="dxa"/>
          </w:tblCellMar>
        </w:tblPrEx>
        <w:trPr>
          <w:trHeight w:val="270" w:hRule="atLeast"/>
        </w:trPr>
        <w:tc>
          <w:tcPr>
            <w:tcW w:w="1958"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年度预算（万元）</w:t>
            </w:r>
          </w:p>
        </w:tc>
        <w:tc>
          <w:tcPr>
            <w:tcW w:w="6846"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资金来源</w:t>
            </w:r>
          </w:p>
        </w:tc>
      </w:tr>
      <w:tr>
        <w:tblPrEx>
          <w:tblCellMar>
            <w:top w:w="0" w:type="dxa"/>
            <w:left w:w="108" w:type="dxa"/>
            <w:bottom w:w="0" w:type="dxa"/>
            <w:right w:w="108" w:type="dxa"/>
          </w:tblCellMar>
        </w:tblPrEx>
        <w:trPr>
          <w:trHeight w:val="270" w:hRule="atLeast"/>
        </w:trPr>
        <w:tc>
          <w:tcPr>
            <w:tcW w:w="195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vMerge w:val="restar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财政资金（万元）</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上级资金</w:t>
            </w:r>
          </w:p>
        </w:tc>
        <w:tc>
          <w:tcPr>
            <w:tcW w:w="393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7.2</w:t>
            </w:r>
          </w:p>
        </w:tc>
      </w:tr>
      <w:tr>
        <w:tblPrEx>
          <w:tblCellMar>
            <w:top w:w="0" w:type="dxa"/>
            <w:left w:w="108" w:type="dxa"/>
            <w:bottom w:w="0" w:type="dxa"/>
            <w:right w:w="108" w:type="dxa"/>
          </w:tblCellMar>
        </w:tblPrEx>
        <w:trPr>
          <w:trHeight w:val="270" w:hRule="atLeast"/>
        </w:trPr>
        <w:tc>
          <w:tcPr>
            <w:tcW w:w="195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本级资金</w:t>
            </w:r>
          </w:p>
        </w:tc>
        <w:tc>
          <w:tcPr>
            <w:tcW w:w="3931" w:type="dxa"/>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2506.69</w:t>
            </w:r>
          </w:p>
        </w:tc>
      </w:tr>
      <w:tr>
        <w:tblPrEx>
          <w:tblCellMar>
            <w:top w:w="0" w:type="dxa"/>
            <w:left w:w="108" w:type="dxa"/>
            <w:bottom w:w="0" w:type="dxa"/>
            <w:right w:w="108" w:type="dxa"/>
          </w:tblCellMar>
        </w:tblPrEx>
        <w:trPr>
          <w:trHeight w:val="270" w:hRule="atLeast"/>
        </w:trPr>
        <w:tc>
          <w:tcPr>
            <w:tcW w:w="195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其他资金（万元）</w:t>
            </w:r>
          </w:p>
        </w:tc>
        <w:tc>
          <w:tcPr>
            <w:tcW w:w="1600"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其他</w:t>
            </w:r>
          </w:p>
        </w:tc>
        <w:tc>
          <w:tcPr>
            <w:tcW w:w="393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507.27</w:t>
            </w:r>
          </w:p>
        </w:tc>
      </w:tr>
      <w:tr>
        <w:tblPrEx>
          <w:tblCellMar>
            <w:top w:w="0" w:type="dxa"/>
            <w:left w:w="108" w:type="dxa"/>
            <w:bottom w:w="0" w:type="dxa"/>
            <w:right w:w="108" w:type="dxa"/>
          </w:tblCellMar>
        </w:tblPrEx>
        <w:trPr>
          <w:trHeight w:val="270" w:hRule="atLeast"/>
        </w:trPr>
        <w:tc>
          <w:tcPr>
            <w:tcW w:w="195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2915"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合计：</w:t>
            </w:r>
          </w:p>
        </w:tc>
        <w:tc>
          <w:tcPr>
            <w:tcW w:w="3931"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3021.16</w:t>
            </w:r>
          </w:p>
        </w:tc>
      </w:tr>
      <w:tr>
        <w:tblPrEx>
          <w:tblCellMar>
            <w:top w:w="0" w:type="dxa"/>
            <w:left w:w="108" w:type="dxa"/>
            <w:bottom w:w="0" w:type="dxa"/>
            <w:right w:w="108" w:type="dxa"/>
          </w:tblCellMar>
        </w:tblPrEx>
        <w:trPr>
          <w:trHeight w:val="42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　</w:t>
            </w:r>
          </w:p>
        </w:tc>
        <w:tc>
          <w:tcPr>
            <w:tcW w:w="87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一级指标</w:t>
            </w:r>
          </w:p>
        </w:tc>
        <w:tc>
          <w:tcPr>
            <w:tcW w:w="13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二级指标</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三级指标</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指标值</w:t>
            </w:r>
          </w:p>
        </w:tc>
        <w:tc>
          <w:tcPr>
            <w:tcW w:w="18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指标值设定依据</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分值权重</w:t>
            </w:r>
          </w:p>
        </w:tc>
      </w:tr>
      <w:tr>
        <w:tblPrEx>
          <w:tblCellMar>
            <w:top w:w="0" w:type="dxa"/>
            <w:left w:w="108" w:type="dxa"/>
            <w:bottom w:w="0" w:type="dxa"/>
            <w:right w:w="108" w:type="dxa"/>
          </w:tblCellMar>
        </w:tblPrEx>
        <w:trPr>
          <w:trHeight w:val="6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年度绩效指标</w:t>
            </w:r>
          </w:p>
        </w:tc>
        <w:tc>
          <w:tcPr>
            <w:tcW w:w="87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履职效能</w:t>
            </w:r>
          </w:p>
        </w:tc>
        <w:tc>
          <w:tcPr>
            <w:tcW w:w="13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数量指标</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建设县级“五个好”党支部示范点</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=50个</w:t>
            </w:r>
          </w:p>
        </w:tc>
        <w:tc>
          <w:tcPr>
            <w:tcW w:w="18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呼图壁县委组织部 2024 年组织工作总结及2025年工作思路</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10</w:t>
            </w:r>
          </w:p>
        </w:tc>
      </w:tr>
      <w:tr>
        <w:tblPrEx>
          <w:tblCellMar>
            <w:top w:w="0" w:type="dxa"/>
            <w:left w:w="108" w:type="dxa"/>
            <w:bottom w:w="0" w:type="dxa"/>
            <w:right w:w="108" w:type="dxa"/>
          </w:tblCellMar>
        </w:tblPrEx>
        <w:trPr>
          <w:trHeight w:val="6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年度绩效指标</w:t>
            </w:r>
          </w:p>
        </w:tc>
        <w:tc>
          <w:tcPr>
            <w:tcW w:w="8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培育“石榴籽服务站”数量</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=6个</w:t>
            </w:r>
          </w:p>
        </w:tc>
        <w:tc>
          <w:tcPr>
            <w:tcW w:w="18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呼图壁县委组织部 2024 年组织工作总结及2025年工作思路</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10</w:t>
            </w:r>
          </w:p>
        </w:tc>
      </w:tr>
      <w:tr>
        <w:tblPrEx>
          <w:tblCellMar>
            <w:top w:w="0" w:type="dxa"/>
            <w:left w:w="108" w:type="dxa"/>
            <w:bottom w:w="0" w:type="dxa"/>
            <w:right w:w="108" w:type="dxa"/>
          </w:tblCellMar>
        </w:tblPrEx>
        <w:trPr>
          <w:trHeight w:val="6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年度绩效指标</w:t>
            </w:r>
          </w:p>
        </w:tc>
        <w:tc>
          <w:tcPr>
            <w:tcW w:w="8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赴疆外培训人数</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&gt;=200人</w:t>
            </w:r>
          </w:p>
        </w:tc>
        <w:tc>
          <w:tcPr>
            <w:tcW w:w="18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呼图壁县委组织部 2024 年组织工作总结及2025年工作思路</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10</w:t>
            </w:r>
          </w:p>
        </w:tc>
      </w:tr>
      <w:tr>
        <w:tblPrEx>
          <w:tblCellMar>
            <w:top w:w="0" w:type="dxa"/>
            <w:left w:w="108" w:type="dxa"/>
            <w:bottom w:w="0" w:type="dxa"/>
            <w:right w:w="108" w:type="dxa"/>
          </w:tblCellMar>
        </w:tblPrEx>
        <w:trPr>
          <w:trHeight w:val="6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年度绩效指标</w:t>
            </w:r>
          </w:p>
        </w:tc>
        <w:tc>
          <w:tcPr>
            <w:tcW w:w="8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全年柔性引进各领域专业人才数量</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&gt;=50个</w:t>
            </w:r>
          </w:p>
        </w:tc>
        <w:tc>
          <w:tcPr>
            <w:tcW w:w="18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呼图壁县委组织部 2024 年组织工作总结及025年工作思路</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10</w:t>
            </w:r>
          </w:p>
        </w:tc>
      </w:tr>
      <w:tr>
        <w:tblPrEx>
          <w:tblCellMar>
            <w:top w:w="0" w:type="dxa"/>
            <w:left w:w="108" w:type="dxa"/>
            <w:bottom w:w="0" w:type="dxa"/>
            <w:right w:w="108" w:type="dxa"/>
          </w:tblCellMar>
        </w:tblPrEx>
        <w:trPr>
          <w:trHeight w:val="6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年度绩效指标</w:t>
            </w:r>
          </w:p>
        </w:tc>
        <w:tc>
          <w:tcPr>
            <w:tcW w:w="8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公务员招录人数</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&gt;=40人</w:t>
            </w:r>
          </w:p>
        </w:tc>
        <w:tc>
          <w:tcPr>
            <w:tcW w:w="18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呼图壁县委组织部 2024 年组织工作总结及2025年工作思路</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10</w:t>
            </w:r>
          </w:p>
        </w:tc>
      </w:tr>
      <w:tr>
        <w:tblPrEx>
          <w:tblCellMar>
            <w:top w:w="0" w:type="dxa"/>
            <w:left w:w="108" w:type="dxa"/>
            <w:bottom w:w="0" w:type="dxa"/>
            <w:right w:w="108" w:type="dxa"/>
          </w:tblCellMar>
        </w:tblPrEx>
        <w:trPr>
          <w:trHeight w:val="6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年度绩效指标</w:t>
            </w:r>
          </w:p>
        </w:tc>
        <w:tc>
          <w:tcPr>
            <w:tcW w:w="8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质量指标</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干部人才培训覆盖率</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&gt;=95%</w:t>
            </w:r>
          </w:p>
        </w:tc>
        <w:tc>
          <w:tcPr>
            <w:tcW w:w="18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呼图壁县委组织部 2024 年组织工作总结及2025年工作思路</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20</w:t>
            </w:r>
          </w:p>
        </w:tc>
      </w:tr>
      <w:tr>
        <w:tblPrEx>
          <w:tblCellMar>
            <w:top w:w="0" w:type="dxa"/>
            <w:left w:w="108" w:type="dxa"/>
            <w:bottom w:w="0" w:type="dxa"/>
            <w:right w:w="108" w:type="dxa"/>
          </w:tblCellMar>
        </w:tblPrEx>
        <w:trPr>
          <w:trHeight w:val="6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年度绩效指标</w:t>
            </w:r>
          </w:p>
        </w:tc>
        <w:tc>
          <w:tcPr>
            <w:tcW w:w="87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b/>
                <w:bCs/>
                <w:kern w:val="0"/>
                <w:sz w:val="16"/>
                <w:szCs w:val="16"/>
              </w:rPr>
            </w:pPr>
          </w:p>
        </w:tc>
        <w:tc>
          <w:tcPr>
            <w:tcW w:w="131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时效指标</w:t>
            </w:r>
          </w:p>
        </w:tc>
        <w:tc>
          <w:tcPr>
            <w:tcW w:w="16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培训开展及时率</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&gt;=95%</w:t>
            </w:r>
          </w:p>
        </w:tc>
        <w:tc>
          <w:tcPr>
            <w:tcW w:w="1865"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呼图壁县委组织部 2024 年组织工作总结及2025年工作思路</w:t>
            </w:r>
          </w:p>
        </w:tc>
        <w:tc>
          <w:tcPr>
            <w:tcW w:w="11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kern w:val="0"/>
                <w:sz w:val="16"/>
                <w:szCs w:val="16"/>
              </w:rPr>
            </w:pPr>
            <w:r>
              <w:rPr>
                <w:rFonts w:hint="eastAsia" w:ascii="宋体" w:hAnsi="宋体" w:cs="宋体"/>
                <w:b/>
                <w:bCs/>
                <w:kern w:val="0"/>
                <w:sz w:val="16"/>
                <w:szCs w:val="16"/>
              </w:rPr>
              <w:t>20</w:t>
            </w:r>
          </w:p>
        </w:tc>
      </w:tr>
    </w:tbl>
    <w:p>
      <w:pPr>
        <w:pStyle w:val="2"/>
      </w:pPr>
    </w:p>
    <w:p>
      <w:pPr>
        <w:pStyle w:val="2"/>
      </w:pPr>
    </w:p>
    <w:p>
      <w:pPr>
        <w:pStyle w:val="2"/>
      </w:pPr>
    </w:p>
    <w:p>
      <w:pPr>
        <w:pStyle w:val="2"/>
        <w:jc w:val="center"/>
        <w:rPr>
          <w:rFonts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项目支出绩效目标表</w:t>
      </w:r>
    </w:p>
    <w:p>
      <w:pPr>
        <w:jc w:val="center"/>
        <w:rPr>
          <w:rFonts w:ascii="宋体" w:hAnsi="宋体" w:cs="宋体"/>
          <w:color w:val="000000"/>
          <w:sz w:val="22"/>
          <w:szCs w:val="22"/>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5</w:t>
      </w:r>
      <w:r>
        <w:rPr>
          <w:rFonts w:hint="eastAsia" w:ascii="宋体" w:hAnsi="宋体" w:cs="宋体"/>
          <w:color w:val="000000"/>
          <w:sz w:val="22"/>
          <w:szCs w:val="22"/>
          <w:lang w:eastAsia="zh-Hans"/>
        </w:rPr>
        <w:t>年）</w:t>
      </w:r>
    </w:p>
    <w:tbl>
      <w:tblPr>
        <w:tblStyle w:val="10"/>
        <w:tblW w:w="9560" w:type="dxa"/>
        <w:tblInd w:w="93" w:type="dxa"/>
        <w:tblLayout w:type="autofit"/>
        <w:tblCellMar>
          <w:top w:w="0" w:type="dxa"/>
          <w:left w:w="108" w:type="dxa"/>
          <w:bottom w:w="0" w:type="dxa"/>
          <w:right w:w="108" w:type="dxa"/>
        </w:tblCellMar>
      </w:tblPr>
      <w:tblGrid>
        <w:gridCol w:w="1080"/>
        <w:gridCol w:w="1080"/>
        <w:gridCol w:w="1460"/>
        <w:gridCol w:w="900"/>
        <w:gridCol w:w="1080"/>
        <w:gridCol w:w="820"/>
        <w:gridCol w:w="820"/>
        <w:gridCol w:w="1080"/>
        <w:gridCol w:w="1240"/>
      </w:tblGrid>
      <w:tr>
        <w:tblPrEx>
          <w:tblCellMar>
            <w:top w:w="0" w:type="dxa"/>
            <w:left w:w="108" w:type="dxa"/>
            <w:bottom w:w="0" w:type="dxa"/>
            <w:right w:w="108" w:type="dxa"/>
          </w:tblCellMar>
        </w:tblPrEx>
        <w:trPr>
          <w:trHeight w:val="702"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40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中共呼图壁县委员会组织部</w:t>
            </w:r>
          </w:p>
        </w:tc>
      </w:tr>
      <w:tr>
        <w:tblPrEx>
          <w:tblCellMar>
            <w:top w:w="0" w:type="dxa"/>
            <w:left w:w="108" w:type="dxa"/>
            <w:bottom w:w="0" w:type="dxa"/>
            <w:right w:w="108" w:type="dxa"/>
          </w:tblCellMar>
        </w:tblPrEx>
        <w:trPr>
          <w:trHeight w:val="702"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44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2025年自治区援疆干部医疗费</w:t>
            </w:r>
          </w:p>
        </w:tc>
        <w:tc>
          <w:tcPr>
            <w:tcW w:w="16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3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马季茹</w:t>
            </w:r>
          </w:p>
        </w:tc>
      </w:tr>
      <w:tr>
        <w:tblPrEx>
          <w:tblCellMar>
            <w:top w:w="0" w:type="dxa"/>
            <w:left w:w="108" w:type="dxa"/>
            <w:bottom w:w="0" w:type="dxa"/>
            <w:right w:w="108" w:type="dxa"/>
          </w:tblCellMar>
        </w:tblPrEx>
        <w:trPr>
          <w:trHeight w:val="702" w:hRule="atLeast"/>
        </w:trPr>
        <w:tc>
          <w:tcPr>
            <w:tcW w:w="21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4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7.2</w:t>
            </w:r>
          </w:p>
        </w:tc>
        <w:tc>
          <w:tcPr>
            <w:tcW w:w="8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3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w:t>
            </w:r>
          </w:p>
        </w:tc>
      </w:tr>
      <w:tr>
        <w:tblPrEx>
          <w:tblCellMar>
            <w:top w:w="0" w:type="dxa"/>
            <w:left w:w="108" w:type="dxa"/>
            <w:bottom w:w="0" w:type="dxa"/>
            <w:right w:w="108" w:type="dxa"/>
          </w:tblCellMar>
        </w:tblPrEx>
        <w:trPr>
          <w:trHeight w:val="1688"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40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本项目实施内容，主要针对援疆干部在疆期间因病因伤所产生的医疗费用报销事宜。援疆干部肩负着重要使命，为保障他们安心工作，医疗保障至关重要。报销遵循本人医疗关系和相关规定执行。若援疆干部在新疆当地治疗，为简化流程，提高报销效率，费用由新疆所在单位负责报销。单位会协助收集整理医疗费用清单、诊断证明等报销所需材料，经由我们审核后，对其进行医疗费的报销，确保援疆干部的医疗费用得到妥善解决。通过本项目的实施，保障了援疆干部在援疆期间医疗待遇，规范医疗行为，解除援疆干部后顾之忧。</w:t>
            </w:r>
          </w:p>
        </w:tc>
      </w:tr>
      <w:tr>
        <w:tblPrEx>
          <w:tblCellMar>
            <w:top w:w="0" w:type="dxa"/>
            <w:left w:w="108" w:type="dxa"/>
            <w:bottom w:w="0" w:type="dxa"/>
            <w:right w:w="108" w:type="dxa"/>
          </w:tblCellMar>
        </w:tblPrEx>
        <w:trPr>
          <w:trHeight w:val="702" w:hRule="atLeast"/>
        </w:trPr>
        <w:tc>
          <w:tcPr>
            <w:tcW w:w="108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46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90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8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2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897" w:hRule="atLeast"/>
        </w:trPr>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产出指标</w:t>
            </w:r>
          </w:p>
        </w:tc>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46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保障援疆干部人数</w:t>
            </w:r>
          </w:p>
        </w:tc>
        <w:tc>
          <w:tcPr>
            <w:tcW w:w="9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&lt;=24人</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8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=24人</w:t>
            </w:r>
          </w:p>
        </w:tc>
        <w:tc>
          <w:tcPr>
            <w:tcW w:w="8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12</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2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852"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4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医疗费报销次数</w:t>
            </w:r>
          </w:p>
        </w:tc>
        <w:tc>
          <w:tcPr>
            <w:tcW w:w="9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&gt;=1次</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13</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837"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4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医疗费报销材料的合格率</w:t>
            </w:r>
          </w:p>
        </w:tc>
        <w:tc>
          <w:tcPr>
            <w:tcW w:w="9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&gt;=100%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=90%</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8</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976"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4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医疗费报销材料审查及时率</w:t>
            </w:r>
          </w:p>
        </w:tc>
        <w:tc>
          <w:tcPr>
            <w:tcW w:w="9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&gt;=90%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=90%</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7</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1179"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经济成本指标</w:t>
            </w:r>
          </w:p>
        </w:tc>
        <w:tc>
          <w:tcPr>
            <w:tcW w:w="14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援疆人员医疗费标准</w:t>
            </w:r>
          </w:p>
        </w:tc>
        <w:tc>
          <w:tcPr>
            <w:tcW w:w="9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&lt;=3000元/年/人</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=3000/年/人</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原始凭证</w:t>
            </w:r>
          </w:p>
        </w:tc>
      </w:tr>
      <w:tr>
        <w:tblPrEx>
          <w:tblCellMar>
            <w:top w:w="0" w:type="dxa"/>
            <w:left w:w="108" w:type="dxa"/>
            <w:bottom w:w="0" w:type="dxa"/>
            <w:right w:w="108" w:type="dxa"/>
          </w:tblCellMar>
        </w:tblPrEx>
        <w:trPr>
          <w:trHeight w:val="1256"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社会效益指标</w:t>
            </w:r>
          </w:p>
        </w:tc>
        <w:tc>
          <w:tcPr>
            <w:tcW w:w="14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提高援疆干部的医疗保障程度</w:t>
            </w:r>
          </w:p>
        </w:tc>
        <w:tc>
          <w:tcPr>
            <w:tcW w:w="9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良好</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良好</w:t>
            </w:r>
          </w:p>
        </w:tc>
        <w:tc>
          <w:tcPr>
            <w:tcW w:w="8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20</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按评判等级赋分</w:t>
            </w:r>
          </w:p>
        </w:tc>
        <w:tc>
          <w:tcPr>
            <w:tcW w:w="12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bl>
    <w:p>
      <w:pPr>
        <w:pStyle w:val="2"/>
      </w:pPr>
    </w:p>
    <w:p>
      <w:pPr>
        <w:pStyle w:val="2"/>
      </w:pPr>
    </w:p>
    <w:p>
      <w:pPr>
        <w:pStyle w:val="2"/>
      </w:pPr>
    </w:p>
    <w:p>
      <w:pPr>
        <w:pStyle w:val="2"/>
      </w:pPr>
    </w:p>
    <w:p>
      <w:pPr>
        <w:pStyle w:val="2"/>
      </w:pPr>
    </w:p>
    <w:p>
      <w:pPr>
        <w:pStyle w:val="2"/>
      </w:pPr>
    </w:p>
    <w:tbl>
      <w:tblPr>
        <w:tblStyle w:val="10"/>
        <w:tblW w:w="9371" w:type="dxa"/>
        <w:tblInd w:w="93" w:type="dxa"/>
        <w:tblLayout w:type="autofit"/>
        <w:tblCellMar>
          <w:top w:w="0" w:type="dxa"/>
          <w:left w:w="108" w:type="dxa"/>
          <w:bottom w:w="0" w:type="dxa"/>
          <w:right w:w="108" w:type="dxa"/>
        </w:tblCellMar>
      </w:tblPr>
      <w:tblGrid>
        <w:gridCol w:w="1080"/>
        <w:gridCol w:w="1080"/>
        <w:gridCol w:w="1080"/>
        <w:gridCol w:w="886"/>
        <w:gridCol w:w="194"/>
        <w:gridCol w:w="798"/>
        <w:gridCol w:w="282"/>
        <w:gridCol w:w="711"/>
        <w:gridCol w:w="369"/>
        <w:gridCol w:w="623"/>
        <w:gridCol w:w="457"/>
        <w:gridCol w:w="677"/>
        <w:gridCol w:w="1134"/>
      </w:tblGrid>
      <w:tr>
        <w:tblPrEx>
          <w:tblCellMar>
            <w:top w:w="0" w:type="dxa"/>
            <w:left w:w="108" w:type="dxa"/>
            <w:bottom w:w="0" w:type="dxa"/>
            <w:right w:w="108" w:type="dxa"/>
          </w:tblCellMar>
        </w:tblPrEx>
        <w:trPr>
          <w:trHeight w:val="405" w:hRule="atLeast"/>
        </w:trPr>
        <w:tc>
          <w:tcPr>
            <w:tcW w:w="9371" w:type="dxa"/>
            <w:gridSpan w:val="13"/>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项  目  支  出  绩  效  目  标  表</w:t>
            </w:r>
          </w:p>
        </w:tc>
      </w:tr>
      <w:tr>
        <w:tblPrEx>
          <w:tblCellMar>
            <w:top w:w="0" w:type="dxa"/>
            <w:left w:w="108" w:type="dxa"/>
            <w:bottom w:w="0" w:type="dxa"/>
            <w:right w:w="108" w:type="dxa"/>
          </w:tblCellMar>
        </w:tblPrEx>
        <w:trPr>
          <w:trHeight w:val="450" w:hRule="atLeast"/>
        </w:trPr>
        <w:tc>
          <w:tcPr>
            <w:tcW w:w="9371" w:type="dxa"/>
            <w:gridSpan w:val="13"/>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(2025年)</w:t>
            </w:r>
          </w:p>
        </w:tc>
      </w:tr>
      <w:tr>
        <w:tblPrEx>
          <w:tblCellMar>
            <w:top w:w="0" w:type="dxa"/>
            <w:left w:w="108" w:type="dxa"/>
            <w:bottom w:w="0" w:type="dxa"/>
            <w:right w:w="108" w:type="dxa"/>
          </w:tblCellMar>
        </w:tblPrEx>
        <w:trPr>
          <w:trHeight w:val="540"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211" w:type="dxa"/>
            <w:gridSpan w:val="11"/>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中共呼图壁县委员会组织部</w:t>
            </w:r>
          </w:p>
        </w:tc>
      </w:tr>
      <w:tr>
        <w:tblPrEx>
          <w:tblCellMar>
            <w:top w:w="0" w:type="dxa"/>
            <w:left w:w="108" w:type="dxa"/>
            <w:bottom w:w="0" w:type="dxa"/>
            <w:right w:w="108" w:type="dxa"/>
          </w:tblCellMar>
        </w:tblPrEx>
        <w:trPr>
          <w:trHeight w:val="702"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240"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老干部工作经费（2025年非定额）</w:t>
            </w:r>
          </w:p>
        </w:tc>
        <w:tc>
          <w:tcPr>
            <w:tcW w:w="216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81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杜长青</w:t>
            </w:r>
          </w:p>
        </w:tc>
      </w:tr>
      <w:tr>
        <w:tblPrEx>
          <w:tblCellMar>
            <w:top w:w="0" w:type="dxa"/>
            <w:left w:w="108" w:type="dxa"/>
            <w:bottom w:w="0" w:type="dxa"/>
            <w:right w:w="108" w:type="dxa"/>
          </w:tblCellMar>
        </w:tblPrEx>
        <w:trPr>
          <w:trHeight w:val="702" w:hRule="atLeast"/>
        </w:trPr>
        <w:tc>
          <w:tcPr>
            <w:tcW w:w="21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8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15.1</w:t>
            </w:r>
          </w:p>
        </w:tc>
        <w:tc>
          <w:tcPr>
            <w:tcW w:w="108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08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15.10</w:t>
            </w:r>
          </w:p>
        </w:tc>
        <w:tc>
          <w:tcPr>
            <w:tcW w:w="108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811"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0.00</w:t>
            </w:r>
          </w:p>
        </w:tc>
      </w:tr>
      <w:tr>
        <w:tblPrEx>
          <w:tblCellMar>
            <w:top w:w="0" w:type="dxa"/>
            <w:left w:w="108" w:type="dxa"/>
            <w:bottom w:w="0" w:type="dxa"/>
            <w:right w:w="108" w:type="dxa"/>
          </w:tblCellMar>
        </w:tblPrEx>
        <w:trPr>
          <w:trHeight w:val="1440" w:hRule="atLeast"/>
        </w:trPr>
        <w:tc>
          <w:tcPr>
            <w:tcW w:w="21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211" w:type="dxa"/>
            <w:gridSpan w:val="11"/>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为老年活动大学聘请了5名返聘教师,5名管理人员，5名宣讲人员对老年活动大学进行日常管理，政策理论宣讲，开设绘画、音乐、舞蹈、古筝、等多种课程，丰富老年人的文化生活，在重大节假日对离退休老干部及离休干部，无工作遗孀进行走访慰问活动，了解其生活情况、困难诉求、听取其对呼图壁县经济运行发展情况的意见与建议。通过项目的实施，促进老年大学的发展，完善老年大学办学，改善老干部（老年）大学办学模式，达到老年人“老有所学、老有所乐、老有所为”的目的。</w:t>
            </w:r>
          </w:p>
        </w:tc>
      </w:tr>
      <w:tr>
        <w:tblPrEx>
          <w:tblCellMar>
            <w:top w:w="0" w:type="dxa"/>
            <w:left w:w="108" w:type="dxa"/>
            <w:bottom w:w="0" w:type="dxa"/>
            <w:right w:w="108" w:type="dxa"/>
          </w:tblCellMar>
        </w:tblPrEx>
        <w:trPr>
          <w:trHeight w:val="900" w:hRule="atLeast"/>
        </w:trPr>
        <w:tc>
          <w:tcPr>
            <w:tcW w:w="108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886"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992" w:type="dxa"/>
            <w:gridSpan w:val="2"/>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93" w:type="dxa"/>
            <w:gridSpan w:val="2"/>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92" w:type="dxa"/>
            <w:gridSpan w:val="2"/>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34" w:type="dxa"/>
            <w:gridSpan w:val="2"/>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134"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743" w:hRule="atLeast"/>
        </w:trPr>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产出指标</w:t>
            </w:r>
          </w:p>
        </w:tc>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慰问人数</w:t>
            </w:r>
          </w:p>
        </w:tc>
        <w:tc>
          <w:tcPr>
            <w:tcW w:w="886"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&gt;=38人</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993"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=14人</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6</w:t>
            </w:r>
          </w:p>
        </w:tc>
        <w:tc>
          <w:tcPr>
            <w:tcW w:w="113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900"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老年大学开展教学培训数量</w:t>
            </w:r>
          </w:p>
        </w:tc>
        <w:tc>
          <w:tcPr>
            <w:tcW w:w="8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&gt;=2次</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=2次</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7</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900"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老干部党校开展对党支部书记、委员、党员培训</w:t>
            </w:r>
          </w:p>
        </w:tc>
        <w:tc>
          <w:tcPr>
            <w:tcW w:w="8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＝3次</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=3次</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743"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课程教学的覆盖率</w:t>
            </w:r>
          </w:p>
        </w:tc>
        <w:tc>
          <w:tcPr>
            <w:tcW w:w="8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&gt;=100%</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8</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711"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慰问活动开展及时率</w:t>
            </w:r>
          </w:p>
        </w:tc>
        <w:tc>
          <w:tcPr>
            <w:tcW w:w="8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&gt;=100%</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9</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9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经济成本指标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老年大学聘用教师课时费</w:t>
            </w:r>
          </w:p>
        </w:tc>
        <w:tc>
          <w:tcPr>
            <w:tcW w:w="8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=100元/小时</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预算支出标准</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=100元/小时</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按照完成比例赋分</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9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提高老干部幸福指数</w:t>
            </w:r>
          </w:p>
        </w:tc>
        <w:tc>
          <w:tcPr>
            <w:tcW w:w="8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效果良好</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效果良好</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按评判等级赋分</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r>
        <w:tblPrEx>
          <w:tblCellMar>
            <w:top w:w="0" w:type="dxa"/>
            <w:left w:w="108" w:type="dxa"/>
            <w:bottom w:w="0" w:type="dxa"/>
            <w:right w:w="108" w:type="dxa"/>
          </w:tblCellMar>
        </w:tblPrEx>
        <w:trPr>
          <w:trHeight w:val="90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离、退休老干部满意度</w:t>
            </w:r>
          </w:p>
        </w:tc>
        <w:tc>
          <w:tcPr>
            <w:tcW w:w="88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&gt;=95%</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计划标准</w:t>
            </w:r>
          </w:p>
        </w:tc>
        <w:tc>
          <w:tcPr>
            <w:tcW w:w="993"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95%</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满意度赋分</w:t>
            </w:r>
          </w:p>
        </w:tc>
        <w:tc>
          <w:tcPr>
            <w:tcW w:w="1134"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工作资料</w:t>
            </w:r>
          </w:p>
        </w:tc>
      </w:tr>
    </w:tbl>
    <w:p>
      <w:pPr>
        <w:pStyle w:val="2"/>
      </w:pPr>
    </w:p>
    <w:p>
      <w:pPr>
        <w:spacing w:line="600" w:lineRule="exact"/>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spacing w:line="600" w:lineRule="exact"/>
        <w:ind w:firstLine="640" w:firstLineChars="200"/>
        <w:rPr>
          <w:rFonts w:ascii="仿宋_GB2312" w:hAnsi="宋体" w:eastAsia="仿宋_GB2312" w:cs="宋体"/>
          <w:kern w:val="0"/>
          <w:sz w:val="32"/>
          <w:szCs w:val="32"/>
          <w:highlight w:val="yellow"/>
        </w:rPr>
      </w:pPr>
      <w:bookmarkStart w:id="1" w:name="_GoBack"/>
      <w:r>
        <w:rPr>
          <w:rFonts w:hint="eastAsia" w:ascii="仿宋_GB2312" w:hAnsi="仿宋_GB2312" w:eastAsia="仿宋_GB2312" w:cs="仿宋_GB2312"/>
          <w:kern w:val="0"/>
          <w:sz w:val="32"/>
          <w:szCs w:val="32"/>
          <w:highlight w:val="yellow"/>
        </w:rPr>
        <w:t>年预算安排项目共7个，绩效管理信息系统中未公开绩效目标的项目5个，因项目资金未安排执行，因此暂未公开绩效目标。</w:t>
      </w:r>
    </w:p>
    <w:bookmarkEnd w:id="1"/>
    <w:p>
      <w:pPr>
        <w:spacing w:line="600" w:lineRule="exact"/>
        <w:jc w:val="center"/>
        <w:rPr>
          <w:rFonts w:ascii="黑体" w:hAnsi="黑体" w:eastAsia="黑体"/>
          <w:kern w:val="0"/>
          <w:sz w:val="32"/>
          <w:szCs w:val="32"/>
        </w:r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w:t>
      </w:r>
      <w:r>
        <w:rPr>
          <w:rFonts w:hint="eastAsia" w:ascii="仿宋_GB2312" w:eastAsia="仿宋_GB2312"/>
          <w:sz w:val="32"/>
          <w:szCs w:val="32"/>
          <w:lang w:eastAsia="zh-Hans"/>
        </w:rPr>
        <w:t>各</w:t>
      </w:r>
      <w:r>
        <w:rPr>
          <w:rFonts w:hint="eastAsia" w:ascii="仿宋_GB2312" w:eastAsia="仿宋_GB2312"/>
          <w:sz w:val="32"/>
          <w:szCs w:val="32"/>
        </w:rPr>
        <w:t>部门为完成其特定的行政任务或事业发展目标，在基本支出预算之外编制的年度项目支出计划。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中共呼图壁县委员会组织部</w:t>
      </w:r>
    </w:p>
    <w:p>
      <w:pPr>
        <w:spacing w:line="600" w:lineRule="exact"/>
        <w:ind w:firstLine="640" w:firstLineChars="200"/>
      </w:pPr>
      <w:r>
        <w:rPr>
          <w:rFonts w:hint="eastAsia" w:ascii="仿宋_GB2312" w:hAnsi="宋体" w:eastAsia="仿宋_GB2312" w:cs="宋体"/>
          <w:kern w:val="0"/>
          <w:sz w:val="32"/>
          <w:szCs w:val="32"/>
        </w:rPr>
        <w:t xml:space="preserve">                                2025</w:t>
      </w:r>
      <w:r>
        <w:rPr>
          <w:rFonts w:ascii="仿宋_GB2312" w:hAnsi="宋体" w:eastAsia="仿宋_GB2312" w:cs="宋体"/>
          <w:kern w:val="0"/>
          <w:sz w:val="32"/>
          <w:szCs w:val="32"/>
        </w:rPr>
        <w:t>年</w:t>
      </w:r>
      <w:r>
        <w:rPr>
          <w:rFonts w:hint="eastAsia" w:ascii="仿宋_GB2312" w:hAnsi="宋体" w:eastAsia="仿宋_GB2312" w:cs="宋体"/>
          <w:kern w:val="0"/>
          <w:sz w:val="32"/>
          <w:szCs w:val="32"/>
        </w:rPr>
        <w:t xml:space="preserve"> 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 xml:space="preserve"> 10</w:t>
      </w:r>
      <w:r>
        <w:rPr>
          <w:rFonts w:ascii="仿宋_GB2312" w:hAnsi="宋体" w:eastAsia="仿宋_GB2312" w:cs="宋体"/>
          <w:kern w:val="0"/>
          <w:sz w:val="32"/>
          <w:szCs w:val="32"/>
        </w:rPr>
        <w:t>日</w:t>
      </w:r>
    </w:p>
    <w:sectPr>
      <w:pgSz w:w="11906" w:h="16838"/>
      <w:pgMar w:top="2098" w:right="1531" w:bottom="1985" w:left="1531" w:header="851" w:footer="992"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- 1 -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- 3 -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- 3 -</w:t>
                    </w:r>
                    <w:r>
                      <w:fldChar w:fldCharType="end"/>
                    </w:r>
                  </w:p>
                </w:txbxContent>
              </v:textbox>
            </v:shape>
          </w:pict>
        </mc:Fallback>
      </mc:AlternateContent>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0MGZmNWI5YmEyODFiYzM0NGI4MDJmNjA3Mjc0ZjEifQ=="/>
  </w:docVars>
  <w:rsids>
    <w:rsidRoot w:val="10587512"/>
    <w:rsid w:val="00003C29"/>
    <w:rsid w:val="00040142"/>
    <w:rsid w:val="0004121F"/>
    <w:rsid w:val="0008478D"/>
    <w:rsid w:val="00092DBF"/>
    <w:rsid w:val="00117A9B"/>
    <w:rsid w:val="00123B0D"/>
    <w:rsid w:val="001358B2"/>
    <w:rsid w:val="00141872"/>
    <w:rsid w:val="00180560"/>
    <w:rsid w:val="001A20D4"/>
    <w:rsid w:val="001C5FF0"/>
    <w:rsid w:val="001D0907"/>
    <w:rsid w:val="001E4727"/>
    <w:rsid w:val="00231B0C"/>
    <w:rsid w:val="00232EBF"/>
    <w:rsid w:val="00236870"/>
    <w:rsid w:val="002E06DE"/>
    <w:rsid w:val="002F15B3"/>
    <w:rsid w:val="00340606"/>
    <w:rsid w:val="003415C6"/>
    <w:rsid w:val="0034559B"/>
    <w:rsid w:val="00367984"/>
    <w:rsid w:val="003771DF"/>
    <w:rsid w:val="003841D8"/>
    <w:rsid w:val="003914F3"/>
    <w:rsid w:val="003A1EB3"/>
    <w:rsid w:val="003A6FBD"/>
    <w:rsid w:val="003C33B7"/>
    <w:rsid w:val="003F7E82"/>
    <w:rsid w:val="00414804"/>
    <w:rsid w:val="00456EC6"/>
    <w:rsid w:val="00486EDF"/>
    <w:rsid w:val="004F700A"/>
    <w:rsid w:val="0050196A"/>
    <w:rsid w:val="005028BA"/>
    <w:rsid w:val="0051635A"/>
    <w:rsid w:val="00547252"/>
    <w:rsid w:val="00581887"/>
    <w:rsid w:val="005C3785"/>
    <w:rsid w:val="005C7648"/>
    <w:rsid w:val="005E60F3"/>
    <w:rsid w:val="005F4A5B"/>
    <w:rsid w:val="0061446B"/>
    <w:rsid w:val="00672E7A"/>
    <w:rsid w:val="006D0228"/>
    <w:rsid w:val="00700E47"/>
    <w:rsid w:val="00743FC7"/>
    <w:rsid w:val="007527E3"/>
    <w:rsid w:val="0078066C"/>
    <w:rsid w:val="007B01D0"/>
    <w:rsid w:val="007C28D6"/>
    <w:rsid w:val="007D516E"/>
    <w:rsid w:val="007F1885"/>
    <w:rsid w:val="007F4575"/>
    <w:rsid w:val="00807983"/>
    <w:rsid w:val="0081568A"/>
    <w:rsid w:val="0082487A"/>
    <w:rsid w:val="008257EC"/>
    <w:rsid w:val="0086784F"/>
    <w:rsid w:val="00867C29"/>
    <w:rsid w:val="008773FE"/>
    <w:rsid w:val="00896DE2"/>
    <w:rsid w:val="008A2899"/>
    <w:rsid w:val="008D6842"/>
    <w:rsid w:val="009113E8"/>
    <w:rsid w:val="009C4E09"/>
    <w:rsid w:val="00A02622"/>
    <w:rsid w:val="00A171EC"/>
    <w:rsid w:val="00A30FE6"/>
    <w:rsid w:val="00A31487"/>
    <w:rsid w:val="00A40882"/>
    <w:rsid w:val="00A42B1E"/>
    <w:rsid w:val="00AB584F"/>
    <w:rsid w:val="00AD2315"/>
    <w:rsid w:val="00B17862"/>
    <w:rsid w:val="00C22C98"/>
    <w:rsid w:val="00CD5BA7"/>
    <w:rsid w:val="00CE24DC"/>
    <w:rsid w:val="00CF4474"/>
    <w:rsid w:val="00D34A3B"/>
    <w:rsid w:val="00D41FA7"/>
    <w:rsid w:val="00DC0083"/>
    <w:rsid w:val="00DC7950"/>
    <w:rsid w:val="00DE4539"/>
    <w:rsid w:val="00DF27D3"/>
    <w:rsid w:val="00DF360A"/>
    <w:rsid w:val="00E41A1F"/>
    <w:rsid w:val="00E44360"/>
    <w:rsid w:val="00E475B6"/>
    <w:rsid w:val="00E62716"/>
    <w:rsid w:val="00E803CF"/>
    <w:rsid w:val="00E9067C"/>
    <w:rsid w:val="00EA4460"/>
    <w:rsid w:val="00EB5BED"/>
    <w:rsid w:val="00EC3417"/>
    <w:rsid w:val="00EC3D78"/>
    <w:rsid w:val="00ED4C5B"/>
    <w:rsid w:val="00F52416"/>
    <w:rsid w:val="00F609A1"/>
    <w:rsid w:val="00F815FF"/>
    <w:rsid w:val="00FD314B"/>
    <w:rsid w:val="00FE56E1"/>
    <w:rsid w:val="017B2F92"/>
    <w:rsid w:val="01D43DE3"/>
    <w:rsid w:val="020E507E"/>
    <w:rsid w:val="02732F8E"/>
    <w:rsid w:val="02CB7F49"/>
    <w:rsid w:val="037800D1"/>
    <w:rsid w:val="04267087"/>
    <w:rsid w:val="04267B2D"/>
    <w:rsid w:val="044C330C"/>
    <w:rsid w:val="05397FD9"/>
    <w:rsid w:val="057A5F58"/>
    <w:rsid w:val="059D24A8"/>
    <w:rsid w:val="05CA273A"/>
    <w:rsid w:val="070E6657"/>
    <w:rsid w:val="080E3E4F"/>
    <w:rsid w:val="084451C2"/>
    <w:rsid w:val="08450B28"/>
    <w:rsid w:val="08762705"/>
    <w:rsid w:val="088F5575"/>
    <w:rsid w:val="08E81855"/>
    <w:rsid w:val="09D418EE"/>
    <w:rsid w:val="0A4168EC"/>
    <w:rsid w:val="0AD672A7"/>
    <w:rsid w:val="0B247F12"/>
    <w:rsid w:val="0B7C3034"/>
    <w:rsid w:val="0B841FFD"/>
    <w:rsid w:val="0BD56A2F"/>
    <w:rsid w:val="0C0A3890"/>
    <w:rsid w:val="0CD20198"/>
    <w:rsid w:val="0CEC568C"/>
    <w:rsid w:val="0D6E5FD0"/>
    <w:rsid w:val="0E320E7D"/>
    <w:rsid w:val="0E9208E7"/>
    <w:rsid w:val="0EEE4219"/>
    <w:rsid w:val="10587512"/>
    <w:rsid w:val="105D0E37"/>
    <w:rsid w:val="10916BDA"/>
    <w:rsid w:val="10FB2710"/>
    <w:rsid w:val="11036B00"/>
    <w:rsid w:val="11301FEB"/>
    <w:rsid w:val="11B6451D"/>
    <w:rsid w:val="121E62E8"/>
    <w:rsid w:val="1697741D"/>
    <w:rsid w:val="176A1687"/>
    <w:rsid w:val="18657989"/>
    <w:rsid w:val="193C52A5"/>
    <w:rsid w:val="19A215AC"/>
    <w:rsid w:val="1A132B78"/>
    <w:rsid w:val="1AC437A4"/>
    <w:rsid w:val="1B153D26"/>
    <w:rsid w:val="1B181052"/>
    <w:rsid w:val="1BEB54C3"/>
    <w:rsid w:val="1C3C6084"/>
    <w:rsid w:val="1C8C02F2"/>
    <w:rsid w:val="1D3E1AFE"/>
    <w:rsid w:val="1E6432D4"/>
    <w:rsid w:val="1E89232D"/>
    <w:rsid w:val="1EB61656"/>
    <w:rsid w:val="1F114ADE"/>
    <w:rsid w:val="20407429"/>
    <w:rsid w:val="206F7588"/>
    <w:rsid w:val="20CF3CE4"/>
    <w:rsid w:val="20DD55C0"/>
    <w:rsid w:val="22922CB8"/>
    <w:rsid w:val="22DB78DD"/>
    <w:rsid w:val="244D65B8"/>
    <w:rsid w:val="2492221D"/>
    <w:rsid w:val="24B42D8E"/>
    <w:rsid w:val="250855AF"/>
    <w:rsid w:val="258B383C"/>
    <w:rsid w:val="263B7010"/>
    <w:rsid w:val="264C5790"/>
    <w:rsid w:val="26B4291F"/>
    <w:rsid w:val="26BD282A"/>
    <w:rsid w:val="26E769FA"/>
    <w:rsid w:val="286D65BC"/>
    <w:rsid w:val="28D9041B"/>
    <w:rsid w:val="293B2E83"/>
    <w:rsid w:val="2AB4113F"/>
    <w:rsid w:val="2AFC4894"/>
    <w:rsid w:val="2B3A05DE"/>
    <w:rsid w:val="2B6901C6"/>
    <w:rsid w:val="2C286BE0"/>
    <w:rsid w:val="2D480265"/>
    <w:rsid w:val="2D977453"/>
    <w:rsid w:val="2E2943BA"/>
    <w:rsid w:val="2EF22236"/>
    <w:rsid w:val="2FED29FE"/>
    <w:rsid w:val="300E1D4A"/>
    <w:rsid w:val="30B05F05"/>
    <w:rsid w:val="310F3573"/>
    <w:rsid w:val="31E57E30"/>
    <w:rsid w:val="32D560F7"/>
    <w:rsid w:val="338260CE"/>
    <w:rsid w:val="33A76F60"/>
    <w:rsid w:val="341E7629"/>
    <w:rsid w:val="35F117C8"/>
    <w:rsid w:val="38284F1B"/>
    <w:rsid w:val="39B0409D"/>
    <w:rsid w:val="3A9E028E"/>
    <w:rsid w:val="3BE45FB7"/>
    <w:rsid w:val="3BF21AC7"/>
    <w:rsid w:val="3C013037"/>
    <w:rsid w:val="3C0815AA"/>
    <w:rsid w:val="3DFE1B40"/>
    <w:rsid w:val="3FDF4D23"/>
    <w:rsid w:val="403F1799"/>
    <w:rsid w:val="41083B3B"/>
    <w:rsid w:val="41270465"/>
    <w:rsid w:val="41DB2FFE"/>
    <w:rsid w:val="42F779C3"/>
    <w:rsid w:val="43502DA9"/>
    <w:rsid w:val="43C26223"/>
    <w:rsid w:val="43D8307E"/>
    <w:rsid w:val="44507CD3"/>
    <w:rsid w:val="44AF5181"/>
    <w:rsid w:val="455A018C"/>
    <w:rsid w:val="46B02CAB"/>
    <w:rsid w:val="46CE3131"/>
    <w:rsid w:val="493059DD"/>
    <w:rsid w:val="49456630"/>
    <w:rsid w:val="494F7907"/>
    <w:rsid w:val="4A3A7E19"/>
    <w:rsid w:val="4ADF73DC"/>
    <w:rsid w:val="4B1B26BD"/>
    <w:rsid w:val="4B241A10"/>
    <w:rsid w:val="4B315A3D"/>
    <w:rsid w:val="4C0055E5"/>
    <w:rsid w:val="4C3677AE"/>
    <w:rsid w:val="4C706B3A"/>
    <w:rsid w:val="4F3B332E"/>
    <w:rsid w:val="51C15CED"/>
    <w:rsid w:val="52285DEB"/>
    <w:rsid w:val="525D5A17"/>
    <w:rsid w:val="52AD62F0"/>
    <w:rsid w:val="53A94D0A"/>
    <w:rsid w:val="546308FE"/>
    <w:rsid w:val="554A7ADE"/>
    <w:rsid w:val="560F45D3"/>
    <w:rsid w:val="56900687"/>
    <w:rsid w:val="56FE59C9"/>
    <w:rsid w:val="570D735E"/>
    <w:rsid w:val="571B2674"/>
    <w:rsid w:val="57292D5D"/>
    <w:rsid w:val="589917F1"/>
    <w:rsid w:val="59B241EC"/>
    <w:rsid w:val="5A5E27F6"/>
    <w:rsid w:val="5A704801"/>
    <w:rsid w:val="5A8C5E4D"/>
    <w:rsid w:val="5AED2A9A"/>
    <w:rsid w:val="5D9702C9"/>
    <w:rsid w:val="5D9E1657"/>
    <w:rsid w:val="5E225DE5"/>
    <w:rsid w:val="5E257683"/>
    <w:rsid w:val="5E7802BC"/>
    <w:rsid w:val="5E9D257C"/>
    <w:rsid w:val="5EE078B0"/>
    <w:rsid w:val="5F0D5523"/>
    <w:rsid w:val="5F2346ED"/>
    <w:rsid w:val="5F307E60"/>
    <w:rsid w:val="61086613"/>
    <w:rsid w:val="610E3C65"/>
    <w:rsid w:val="61686204"/>
    <w:rsid w:val="62917095"/>
    <w:rsid w:val="630E06E5"/>
    <w:rsid w:val="6408782B"/>
    <w:rsid w:val="65322CBF"/>
    <w:rsid w:val="65B35574"/>
    <w:rsid w:val="65C658ED"/>
    <w:rsid w:val="67403772"/>
    <w:rsid w:val="68CC52CB"/>
    <w:rsid w:val="68DE4FFE"/>
    <w:rsid w:val="691B0000"/>
    <w:rsid w:val="694B58D7"/>
    <w:rsid w:val="69CE4E15"/>
    <w:rsid w:val="6B3E7E06"/>
    <w:rsid w:val="6B7F3246"/>
    <w:rsid w:val="6BF904A6"/>
    <w:rsid w:val="6CB5251A"/>
    <w:rsid w:val="6CD429A0"/>
    <w:rsid w:val="6EDA1F84"/>
    <w:rsid w:val="6EF07839"/>
    <w:rsid w:val="6F63000B"/>
    <w:rsid w:val="6FCF0C72"/>
    <w:rsid w:val="6FF559D2"/>
    <w:rsid w:val="70965512"/>
    <w:rsid w:val="71500A63"/>
    <w:rsid w:val="717C1858"/>
    <w:rsid w:val="72B56DCF"/>
    <w:rsid w:val="72E964BC"/>
    <w:rsid w:val="735C7C42"/>
    <w:rsid w:val="74D07EF1"/>
    <w:rsid w:val="75B570E6"/>
    <w:rsid w:val="75BF3AC1"/>
    <w:rsid w:val="7706409E"/>
    <w:rsid w:val="7797777E"/>
    <w:rsid w:val="780A1873"/>
    <w:rsid w:val="787D11B8"/>
    <w:rsid w:val="78A771BA"/>
    <w:rsid w:val="78AC6820"/>
    <w:rsid w:val="792C5912"/>
    <w:rsid w:val="7CBA4FE2"/>
    <w:rsid w:val="7CF7272E"/>
    <w:rsid w:val="7D06612B"/>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annotation text"/>
    <w:basedOn w:val="1"/>
    <w:qFormat/>
    <w:uiPriority w:val="0"/>
    <w:pPr>
      <w:jc w:val="left"/>
    </w:pPr>
  </w:style>
  <w:style w:type="paragraph" w:styleId="4">
    <w:name w:val="Body Text Indent"/>
    <w:basedOn w:val="1"/>
    <w:link w:val="16"/>
    <w:qFormat/>
    <w:uiPriority w:val="0"/>
    <w:pPr>
      <w:spacing w:after="120"/>
      <w:ind w:left="420" w:leftChars="200"/>
    </w:pPr>
  </w:style>
  <w:style w:type="paragraph" w:styleId="5">
    <w:name w:val="Balloon Text"/>
    <w:basedOn w:val="1"/>
    <w:link w:val="19"/>
    <w:qFormat/>
    <w:uiPriority w:val="0"/>
    <w:rPr>
      <w:sz w:val="18"/>
      <w:szCs w:val="18"/>
    </w:rPr>
  </w:style>
  <w:style w:type="paragraph" w:styleId="6">
    <w:name w:val="footer"/>
    <w:basedOn w:val="1"/>
    <w:link w:val="20"/>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0"/>
    <w:pPr>
      <w:spacing w:before="100" w:beforeAutospacing="1" w:after="100" w:afterAutospacing="1"/>
      <w:jc w:val="left"/>
    </w:pPr>
    <w:rPr>
      <w:kern w:val="0"/>
      <w:sz w:val="24"/>
    </w:rPr>
  </w:style>
  <w:style w:type="paragraph" w:styleId="9">
    <w:name w:val="Body Text First Indent 2"/>
    <w:basedOn w:val="4"/>
    <w:link w:val="17"/>
    <w:qFormat/>
    <w:uiPriority w:val="0"/>
    <w:pPr>
      <w:ind w:firstLine="420" w:firstLineChars="200"/>
    </w:pPr>
    <w:rPr>
      <w:rFonts w:ascii="Calibri" w:hAnsi="Calibri"/>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basedOn w:val="12"/>
    <w:uiPriority w:val="0"/>
    <w:rPr>
      <w:sz w:val="21"/>
      <w:szCs w:val="21"/>
    </w:rPr>
  </w:style>
  <w:style w:type="character" w:customStyle="1" w:styleId="14">
    <w:name w:val="font11"/>
    <w:basedOn w:val="12"/>
    <w:qFormat/>
    <w:uiPriority w:val="0"/>
    <w:rPr>
      <w:rFonts w:hint="eastAsia" w:ascii="宋体" w:hAnsi="宋体" w:eastAsia="宋体" w:cs="宋体"/>
      <w:color w:val="000000"/>
      <w:sz w:val="24"/>
      <w:szCs w:val="24"/>
      <w:u w:val="none"/>
    </w:rPr>
  </w:style>
  <w:style w:type="character" w:customStyle="1" w:styleId="15">
    <w:name w:val="font51"/>
    <w:basedOn w:val="12"/>
    <w:qFormat/>
    <w:uiPriority w:val="0"/>
    <w:rPr>
      <w:rFonts w:hint="default" w:ascii="Times New Roman" w:hAnsi="Times New Roman" w:cs="Times New Roman"/>
      <w:color w:val="000000"/>
      <w:sz w:val="24"/>
      <w:szCs w:val="24"/>
      <w:u w:val="none"/>
    </w:rPr>
  </w:style>
  <w:style w:type="character" w:customStyle="1" w:styleId="16">
    <w:name w:val="正文文本缩进 Char"/>
    <w:basedOn w:val="12"/>
    <w:link w:val="4"/>
    <w:qFormat/>
    <w:uiPriority w:val="0"/>
    <w:rPr>
      <w:kern w:val="2"/>
      <w:sz w:val="21"/>
      <w:szCs w:val="24"/>
    </w:rPr>
  </w:style>
  <w:style w:type="character" w:customStyle="1" w:styleId="17">
    <w:name w:val="正文首行缩进 2 Char"/>
    <w:basedOn w:val="16"/>
    <w:link w:val="9"/>
    <w:qFormat/>
    <w:uiPriority w:val="0"/>
    <w:rPr>
      <w:rFonts w:ascii="Calibri" w:hAnsi="Calibri"/>
      <w:kern w:val="2"/>
      <w:sz w:val="21"/>
      <w:szCs w:val="24"/>
    </w:rPr>
  </w:style>
  <w:style w:type="paragraph" w:styleId="18">
    <w:name w:val="List Paragraph"/>
    <w:basedOn w:val="1"/>
    <w:unhideWhenUsed/>
    <w:qFormat/>
    <w:uiPriority w:val="99"/>
    <w:pPr>
      <w:ind w:firstLine="420" w:firstLineChars="200"/>
    </w:pPr>
  </w:style>
  <w:style w:type="character" w:customStyle="1" w:styleId="19">
    <w:name w:val="批注框文本 Char"/>
    <w:basedOn w:val="12"/>
    <w:link w:val="5"/>
    <w:qFormat/>
    <w:uiPriority w:val="0"/>
    <w:rPr>
      <w:kern w:val="2"/>
      <w:sz w:val="18"/>
      <w:szCs w:val="18"/>
    </w:rPr>
  </w:style>
  <w:style w:type="character" w:customStyle="1" w:styleId="20">
    <w:name w:val="页脚 Char"/>
    <w:link w:val="6"/>
    <w:qFormat/>
    <w:uiPriority w:val="0"/>
    <w:rPr>
      <w:rFonts w:eastAsia="黑体"/>
      <w:snapToGrid w:val="0"/>
      <w:sz w:val="18"/>
      <w:szCs w:val="18"/>
    </w:rPr>
  </w:style>
  <w:style w:type="paragraph" w:customStyle="1" w:styleId="21">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35</Pages>
  <Words>2997</Words>
  <Characters>17089</Characters>
  <Lines>142</Lines>
  <Paragraphs>40</Paragraphs>
  <TotalTime>16</TotalTime>
  <ScaleCrop>false</ScaleCrop>
  <LinksUpToDate>false</LinksUpToDate>
  <CharactersWithSpaces>20046</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2025-05-23T03:19:00Z</dcterms:created>
  <dc:creator>审核人</dc:creator>
  <cp:lastModifiedBy>htbczj</cp:lastModifiedBy>
  <cp:lastPrinted>2025-05-23T03:10:00Z</cp:lastPrinted>
  <dcterms:modified xsi:type="dcterms:W3CDTF">2025-05-30T02:51:26Z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D7BB4D59AEF049E2B4C73E291CA5BA7F_13</vt:lpwstr>
  </property>
  <property fmtid="{D5CDD505-2E9C-101B-9397-08002B2CF9AE}" pid="4" name="KSOTemplateDocerSaveRecord">
    <vt:lpwstr>eyJoZGlkIjoiN2EyMTIxNTJlMjY2NjM5NjdjYmYwZjVhYjA4ZGEwODEiLCJ1c2VySWQiOiI0MjYzNjAxNTMifQ==</vt:lpwstr>
  </property>
</Properties>
</file>