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E532F">
      <w:pPr>
        <w:pStyle w:val="29"/>
        <w:rPr>
          <w:rFonts w:hint="eastAsia"/>
          <w:color w:val="auto"/>
          <w:highlight w:val="none"/>
          <w:lang w:val="en-US" w:eastAsia="zh-CN"/>
        </w:rPr>
      </w:pPr>
    </w:p>
    <w:p w14:paraId="01E31373">
      <w:pPr>
        <w:pStyle w:val="29"/>
        <w:rPr>
          <w:rFonts w:hint="eastAsia"/>
          <w:color w:val="auto"/>
          <w:highlight w:val="none"/>
          <w:lang w:val="en-US" w:eastAsia="zh-CN"/>
        </w:rPr>
      </w:pPr>
    </w:p>
    <w:p w14:paraId="3D98555F">
      <w:pPr>
        <w:pStyle w:val="21"/>
        <w:tabs>
          <w:tab w:val="left" w:pos="567"/>
        </w:tabs>
        <w:ind w:left="0" w:leftChars="0" w:firstLine="0" w:firstLineChars="0"/>
        <w:jc w:val="center"/>
        <w:rPr>
          <w:rFonts w:hint="eastAsia" w:ascii="宋体" w:hAnsi="宋体" w:eastAsia="宋体" w:cs="宋体"/>
          <w:b w:val="0"/>
          <w:bCs w:val="0"/>
          <w:color w:val="auto"/>
          <w:sz w:val="84"/>
          <w:szCs w:val="84"/>
          <w:highlight w:val="none"/>
          <w:u w:val="none" w:color="auto"/>
          <w:lang w:val="en-US" w:eastAsia="zh-CN"/>
        </w:rPr>
      </w:pPr>
      <w:bookmarkStart w:id="152" w:name="_GoBack"/>
      <w:bookmarkEnd w:id="152"/>
    </w:p>
    <w:p w14:paraId="56724A22">
      <w:pPr>
        <w:jc w:val="center"/>
        <w:rPr>
          <w:rFonts w:hint="eastAsia" w:ascii="宋体" w:hAnsi="宋体" w:cs="宋体"/>
          <w:b w:val="0"/>
          <w:bCs w:val="0"/>
          <w:color w:val="auto"/>
          <w:sz w:val="84"/>
          <w:szCs w:val="84"/>
          <w:highlight w:val="none"/>
          <w:u w:val="none" w:color="auto"/>
          <w:lang w:val="en-US" w:eastAsia="zh-CN"/>
        </w:rPr>
      </w:pPr>
      <w:r>
        <w:rPr>
          <w:rFonts w:hint="eastAsia" w:ascii="宋体" w:hAnsi="宋体" w:cs="宋体"/>
          <w:b w:val="0"/>
          <w:bCs w:val="0"/>
          <w:color w:val="auto"/>
          <w:sz w:val="84"/>
          <w:szCs w:val="84"/>
          <w:highlight w:val="none"/>
          <w:u w:val="none" w:color="auto"/>
          <w:lang w:val="en-US" w:eastAsia="zh-CN"/>
        </w:rPr>
        <w:t>呼图壁基层医疗卫生机构服务能力提升项目</w:t>
      </w:r>
    </w:p>
    <w:p w14:paraId="04891B4A">
      <w:pPr>
        <w:rPr>
          <w:rFonts w:hint="eastAsia"/>
          <w:color w:val="auto"/>
          <w:highlight w:val="none"/>
          <w:lang w:val="en-US" w:eastAsia="zh-CN"/>
        </w:rPr>
      </w:pPr>
    </w:p>
    <w:p w14:paraId="47BFAD1D">
      <w:pPr>
        <w:pStyle w:val="32"/>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b w:val="0"/>
          <w:bCs w:val="0"/>
          <w:color w:val="auto"/>
          <w:sz w:val="56"/>
          <w:szCs w:val="56"/>
          <w:highlight w:val="none"/>
          <w:lang w:val="en-US" w:eastAsia="zh-CN"/>
        </w:rPr>
      </w:pPr>
      <w:r>
        <w:rPr>
          <w:rFonts w:hint="eastAsia" w:ascii="宋体" w:hAnsi="宋体"/>
          <w:b w:val="0"/>
          <w:bCs w:val="0"/>
          <w:color w:val="auto"/>
          <w:sz w:val="72"/>
          <w:szCs w:val="72"/>
          <w:highlight w:val="none"/>
          <w:lang w:val="en-US" w:eastAsia="zh-CN"/>
        </w:rPr>
        <w:t>招标文件</w:t>
      </w:r>
    </w:p>
    <w:p w14:paraId="34F30F4D">
      <w:pPr>
        <w:pStyle w:val="32"/>
        <w:keepNext w:val="0"/>
        <w:keepLines w:val="0"/>
        <w:pageBreakBefore w:val="0"/>
        <w:widowControl w:val="0"/>
        <w:kinsoku/>
        <w:wordWrap/>
        <w:overflowPunct/>
        <w:topLinePunct w:val="0"/>
        <w:bidi w:val="0"/>
        <w:snapToGrid/>
        <w:spacing w:line="360" w:lineRule="auto"/>
        <w:jc w:val="both"/>
        <w:textAlignment w:val="auto"/>
        <w:rPr>
          <w:rFonts w:hint="eastAsia" w:ascii="宋体" w:hAnsi="宋体"/>
          <w:color w:val="auto"/>
          <w:sz w:val="56"/>
          <w:szCs w:val="56"/>
          <w:highlight w:val="none"/>
          <w:lang w:val="en-US" w:eastAsia="zh-CN"/>
        </w:rPr>
      </w:pPr>
    </w:p>
    <w:p w14:paraId="3CC1963C">
      <w:pPr>
        <w:pStyle w:val="32"/>
        <w:spacing w:line="440" w:lineRule="exact"/>
        <w:jc w:val="both"/>
        <w:rPr>
          <w:rFonts w:ascii="宋体" w:hAnsi="宋体"/>
          <w:color w:val="auto"/>
          <w:sz w:val="96"/>
          <w:szCs w:val="96"/>
          <w:highlight w:val="none"/>
        </w:rPr>
      </w:pPr>
    </w:p>
    <w:p w14:paraId="67DDFFC5">
      <w:pPr>
        <w:spacing w:before="120" w:line="360" w:lineRule="auto"/>
        <w:ind w:firstLine="723" w:firstLineChars="200"/>
        <w:jc w:val="left"/>
        <w:rPr>
          <w:rFonts w:hint="default" w:ascii="宋体" w:hAnsi="宋体" w:eastAsia="宋体" w:cs="宋体"/>
          <w:b/>
          <w:bCs/>
          <w:color w:val="auto"/>
          <w:sz w:val="36"/>
          <w:szCs w:val="36"/>
          <w:highlight w:val="none"/>
          <w:u w:val="single" w:color="auto"/>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u w:val="single" w:color="auto"/>
          <w:lang w:val="en-US" w:eastAsia="zh-CN"/>
        </w:rPr>
        <w:t xml:space="preserve">呼图壁基层医疗卫生机构服务能力提升项目                </w:t>
      </w:r>
    </w:p>
    <w:p w14:paraId="2818B50D">
      <w:pPr>
        <w:pStyle w:val="20"/>
        <w:spacing w:line="360" w:lineRule="auto"/>
        <w:ind w:firstLine="723"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cs="宋体"/>
          <w:b/>
          <w:bCs/>
          <w:color w:val="auto"/>
          <w:sz w:val="36"/>
          <w:szCs w:val="36"/>
          <w:highlight w:val="none"/>
          <w:u w:val="single"/>
          <w:lang w:val="en-US" w:eastAsia="zh-CN"/>
        </w:rPr>
        <w:t>XJCXD-2025-013</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none"/>
          <w:lang w:val="en-US" w:eastAsia="zh-CN"/>
        </w:rPr>
        <w:t xml:space="preserve"> </w:t>
      </w:r>
      <w:r>
        <w:rPr>
          <w:rFonts w:hint="eastAsia" w:ascii="宋体" w:hAnsi="宋体" w:eastAsia="宋体" w:cs="宋体"/>
          <w:b/>
          <w:bCs/>
          <w:color w:val="auto"/>
          <w:kern w:val="2"/>
          <w:sz w:val="36"/>
          <w:szCs w:val="36"/>
          <w:highlight w:val="none"/>
          <w:u w:val="none"/>
          <w:lang w:val="en-US" w:eastAsia="zh-CN"/>
        </w:rPr>
        <w:t xml:space="preserve">   </w:t>
      </w:r>
    </w:p>
    <w:p w14:paraId="029953D0">
      <w:pPr>
        <w:pStyle w:val="20"/>
        <w:spacing w:line="360" w:lineRule="auto"/>
        <w:ind w:firstLine="723" w:firstLineChars="200"/>
        <w:jc w:val="left"/>
        <w:rPr>
          <w:rFonts w:hint="default"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cs="宋体"/>
          <w:b/>
          <w:bCs/>
          <w:color w:val="auto"/>
          <w:sz w:val="36"/>
          <w:szCs w:val="36"/>
          <w:highlight w:val="none"/>
          <w:u w:val="single" w:color="auto"/>
          <w:lang w:val="en-US" w:eastAsia="zh-CN"/>
        </w:rPr>
        <w:t>呼图壁县卫生健康委员会</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u w:val="none"/>
          <w:lang w:val="en-US" w:eastAsia="zh-CN"/>
        </w:rPr>
        <w:t xml:space="preserve">    </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lang w:val="en-US" w:eastAsia="zh-CN"/>
        </w:rPr>
        <w:t xml:space="preserve">   </w:t>
      </w:r>
    </w:p>
    <w:p w14:paraId="5A084381">
      <w:pPr>
        <w:pStyle w:val="11"/>
        <w:tabs>
          <w:tab w:val="left" w:pos="567"/>
        </w:tabs>
        <w:spacing w:before="154" w:line="360" w:lineRule="auto"/>
        <w:ind w:firstLine="723" w:firstLineChars="2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u w:val="none"/>
        </w:rPr>
        <w:t>代理机构：</w:t>
      </w:r>
      <w:r>
        <w:rPr>
          <w:rFonts w:hint="eastAsia" w:ascii="宋体" w:hAnsi="宋体" w:eastAsia="宋体" w:cs="宋体"/>
          <w:b/>
          <w:bCs/>
          <w:color w:val="auto"/>
          <w:sz w:val="36"/>
          <w:szCs w:val="36"/>
          <w:highlight w:val="none"/>
          <w:u w:val="single"/>
        </w:rPr>
        <w:t>新疆诚信达招标代理有限责任公司</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 xml:space="preserve">    </w:t>
      </w:r>
      <w:r>
        <w:rPr>
          <w:rFonts w:hint="eastAsia" w:ascii="宋体" w:hAnsi="宋体" w:cs="宋体"/>
          <w:b/>
          <w:bCs/>
          <w:color w:val="auto"/>
          <w:sz w:val="36"/>
          <w:szCs w:val="36"/>
          <w:highlight w:val="none"/>
          <w:u w:val="single"/>
          <w:lang w:val="en-US" w:eastAsia="zh-CN"/>
        </w:rPr>
        <w:t xml:space="preserve">  </w:t>
      </w:r>
    </w:p>
    <w:p w14:paraId="3FE77308">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日    期：</w:t>
      </w:r>
      <w:r>
        <w:rPr>
          <w:rFonts w:hint="eastAsia" w:ascii="宋体" w:hAnsi="宋体" w:cs="宋体"/>
          <w:b/>
          <w:bCs/>
          <w:color w:val="auto"/>
          <w:sz w:val="36"/>
          <w:szCs w:val="36"/>
          <w:highlight w:val="none"/>
          <w:u w:val="single"/>
          <w:lang w:val="en-US" w:eastAsia="zh-CN"/>
        </w:rPr>
        <w:t>2025</w:t>
      </w:r>
      <w:r>
        <w:rPr>
          <w:rFonts w:hint="eastAsia" w:ascii="宋体" w:hAnsi="宋体" w:eastAsia="宋体" w:cs="宋体"/>
          <w:b/>
          <w:bCs/>
          <w:color w:val="auto"/>
          <w:sz w:val="36"/>
          <w:szCs w:val="36"/>
          <w:highlight w:val="none"/>
          <w:u w:val="single"/>
          <w:lang w:val="en-US" w:eastAsia="zh-CN"/>
        </w:rPr>
        <w:t>年</w:t>
      </w:r>
      <w:r>
        <w:rPr>
          <w:rFonts w:hint="eastAsia" w:ascii="宋体" w:hAnsi="宋体" w:cs="宋体"/>
          <w:b/>
          <w:bCs/>
          <w:color w:val="auto"/>
          <w:sz w:val="36"/>
          <w:szCs w:val="36"/>
          <w:highlight w:val="none"/>
          <w:u w:val="single"/>
          <w:lang w:val="en-US" w:eastAsia="zh-CN"/>
        </w:rPr>
        <w:t>6</w:t>
      </w:r>
      <w:r>
        <w:rPr>
          <w:rFonts w:hint="eastAsia" w:ascii="宋体" w:hAnsi="宋体" w:eastAsia="宋体" w:cs="宋体"/>
          <w:b/>
          <w:bCs/>
          <w:color w:val="auto"/>
          <w:sz w:val="36"/>
          <w:szCs w:val="36"/>
          <w:highlight w:val="none"/>
          <w:u w:val="single"/>
          <w:lang w:val="en-US" w:eastAsia="zh-CN"/>
        </w:rPr>
        <w:t>月</w:t>
      </w:r>
      <w:r>
        <w:rPr>
          <w:rFonts w:hint="eastAsia" w:ascii="宋体" w:hAnsi="宋体" w:cs="宋体"/>
          <w:b/>
          <w:bCs/>
          <w:color w:val="auto"/>
          <w:sz w:val="36"/>
          <w:szCs w:val="36"/>
          <w:highlight w:val="none"/>
          <w:u w:val="single"/>
          <w:lang w:val="en-US" w:eastAsia="zh-CN"/>
        </w:rPr>
        <w:t xml:space="preserve">27日                                 </w:t>
      </w:r>
    </w:p>
    <w:p w14:paraId="2745B07C">
      <w:pPr>
        <w:rPr>
          <w:color w:val="auto"/>
          <w:highlight w:val="none"/>
        </w:rPr>
      </w:pPr>
    </w:p>
    <w:p w14:paraId="69CC3392">
      <w:pPr>
        <w:pStyle w:val="11"/>
        <w:rPr>
          <w:color w:val="auto"/>
          <w:sz w:val="15"/>
          <w:szCs w:val="15"/>
          <w:highlight w:val="none"/>
        </w:rPr>
        <w:sectPr>
          <w:headerReference r:id="rId4" w:type="first"/>
          <w:footerReference r:id="rId5"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p>
    <w:p w14:paraId="73F1A1C4">
      <w:pPr>
        <w:pStyle w:val="17"/>
        <w:jc w:val="center"/>
        <w:rPr>
          <w:rFonts w:hint="eastAsia" w:ascii="宋体" w:hAnsi="宋体" w:eastAsia="宋体"/>
          <w:color w:val="auto"/>
          <w:highlight w:val="none"/>
        </w:rPr>
      </w:pPr>
    </w:p>
    <w:p w14:paraId="60240337">
      <w:pPr>
        <w:pStyle w:val="17"/>
        <w:jc w:val="center"/>
        <w:rPr>
          <w:rFonts w:ascii="宋体" w:hAnsi="宋体" w:eastAsia="宋体"/>
          <w:color w:val="auto"/>
          <w:highlight w:val="none"/>
        </w:rPr>
      </w:pPr>
      <w:r>
        <w:rPr>
          <w:rFonts w:hint="eastAsia" w:ascii="宋体" w:hAnsi="宋体" w:eastAsia="宋体"/>
          <w:color w:val="auto"/>
          <w:highlight w:val="none"/>
        </w:rPr>
        <w:t>目录</w:t>
      </w:r>
    </w:p>
    <w:p w14:paraId="456AEB76">
      <w:pPr>
        <w:rPr>
          <w:rFonts w:ascii="宋体" w:hAnsi="宋体"/>
          <w:color w:val="auto"/>
          <w:highlight w:val="none"/>
        </w:rPr>
      </w:pPr>
    </w:p>
    <w:p w14:paraId="47299504">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TOC \o "1-3" \h \z \u </w:instrText>
      </w:r>
      <w:r>
        <w:rPr>
          <w:rFonts w:ascii="宋体" w:hAnsi="宋体" w:eastAsia="宋体"/>
          <w:b/>
          <w:bCs w:val="0"/>
          <w:color w:val="auto"/>
          <w:sz w:val="28"/>
          <w:szCs w:val="28"/>
          <w:highlight w:val="none"/>
        </w:rPr>
        <w:fldChar w:fldCharType="separate"/>
      </w: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"_Toc497239281"</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lang w:val="en-US" w:eastAsia="zh-CN"/>
        </w:rPr>
        <w:t>招标</w:t>
      </w:r>
      <w:r>
        <w:rPr>
          <w:rStyle w:val="27"/>
          <w:rFonts w:hint="eastAsia" w:ascii="宋体" w:hAnsi="宋体" w:eastAsia="宋体"/>
          <w:b/>
          <w:bCs w:val="0"/>
          <w:color w:val="auto"/>
          <w:sz w:val="28"/>
          <w:szCs w:val="28"/>
          <w:highlight w:val="none"/>
        </w:rPr>
        <w:t>公告</w:t>
      </w:r>
      <w:bookmarkStart w:id="0" w:name="_Hlt497239298"/>
      <w:r>
        <w:rPr>
          <w:rFonts w:ascii="宋体" w:hAnsi="宋体" w:eastAsia="宋体"/>
          <w:b/>
          <w:bCs w:val="0"/>
          <w:color w:val="auto"/>
          <w:sz w:val="28"/>
          <w:szCs w:val="28"/>
          <w:highlight w:val="none"/>
        </w:rPr>
        <w:tab/>
      </w:r>
      <w:bookmarkEnd w:id="0"/>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688B48A7">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"_Toc497239282"</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第一部</w:t>
      </w:r>
      <w:r>
        <w:rPr>
          <w:rStyle w:val="27"/>
          <w:rFonts w:hint="eastAsia" w:ascii="宋体" w:hAnsi="宋体" w:eastAsia="宋体"/>
          <w:b/>
          <w:bCs w:val="0"/>
          <w:color w:val="auto"/>
          <w:sz w:val="28"/>
          <w:szCs w:val="28"/>
          <w:highlight w:val="none"/>
          <w:lang w:val="en-US" w:eastAsia="zh-CN"/>
        </w:rPr>
        <w:t>分</w:t>
      </w:r>
      <w:r>
        <w:rPr>
          <w:rStyle w:val="27"/>
          <w:rFonts w:ascii="宋体" w:hAnsi="宋体" w:eastAsia="宋体"/>
          <w:b/>
          <w:bCs w:val="0"/>
          <w:color w:val="auto"/>
          <w:sz w:val="28"/>
          <w:szCs w:val="28"/>
          <w:highlight w:val="none"/>
        </w:rPr>
        <w:t xml:space="preserve"> </w:t>
      </w:r>
      <w:r>
        <w:rPr>
          <w:rStyle w:val="27"/>
          <w:rFonts w:hint="eastAsia" w:ascii="宋体" w:hAnsi="宋体" w:eastAsia="宋体"/>
          <w:b/>
          <w:bCs w:val="0"/>
          <w:color w:val="auto"/>
          <w:sz w:val="28"/>
          <w:szCs w:val="28"/>
          <w:highlight w:val="none"/>
        </w:rPr>
        <w:t>投标</w:t>
      </w:r>
      <w:r>
        <w:rPr>
          <w:rStyle w:val="27"/>
          <w:rFonts w:hint="eastAsia" w:ascii="宋体" w:hAnsi="宋体" w:eastAsia="宋体"/>
          <w:b/>
          <w:bCs w:val="0"/>
          <w:color w:val="auto"/>
          <w:sz w:val="28"/>
          <w:szCs w:val="28"/>
          <w:highlight w:val="none"/>
          <w:lang w:val="en-US" w:eastAsia="zh-CN"/>
        </w:rPr>
        <w:t>人</w:t>
      </w:r>
      <w:r>
        <w:rPr>
          <w:rStyle w:val="27"/>
          <w:rFonts w:hint="eastAsia" w:ascii="宋体" w:hAnsi="宋体" w:eastAsia="宋体"/>
          <w:b/>
          <w:bCs w:val="0"/>
          <w:color w:val="auto"/>
          <w:sz w:val="28"/>
          <w:szCs w:val="28"/>
          <w:highlight w:val="none"/>
        </w:rPr>
        <w:t>须知</w:t>
      </w:r>
      <w:r>
        <w:rPr>
          <w:rStyle w:val="27"/>
          <w:rFonts w:hint="eastAsia" w:ascii="宋体" w:hAnsi="宋体" w:eastAsia="宋体"/>
          <w:b/>
          <w:bCs w:val="0"/>
          <w:color w:val="auto"/>
          <w:sz w:val="28"/>
          <w:szCs w:val="28"/>
          <w:highlight w:val="none"/>
          <w:lang w:val="en-US" w:eastAsia="zh-CN"/>
        </w:rPr>
        <w:t>前附表</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6</w:t>
      </w:r>
    </w:p>
    <w:p w14:paraId="1E62281F">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"_Toc497239283"</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第二部分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招标说明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10</w:t>
      </w:r>
    </w:p>
    <w:p w14:paraId="0930C7DA">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总则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10</w:t>
      </w:r>
    </w:p>
    <w:p w14:paraId="693447F6">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"_Toc497239285"</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招标文件</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12</w:t>
      </w:r>
    </w:p>
    <w:p w14:paraId="0CBC0CE7">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第三部分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投标说明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13</w:t>
      </w:r>
    </w:p>
    <w:p w14:paraId="3D7E8311">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"_Toc497239287"</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对投标人的资质要求</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13</w:t>
      </w:r>
    </w:p>
    <w:p w14:paraId="2E352CB9">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"_Toc497239288"</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的编写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14</w:t>
      </w:r>
    </w:p>
    <w:p w14:paraId="54997024">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"_Toc497239289"</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第三章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的递交</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3D53ED48">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"_Toc497239290"</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第四章</w:t>
      </w:r>
      <w:r>
        <w:rPr>
          <w:rStyle w:val="27"/>
          <w:rFonts w:hint="eastAsia" w:ascii="宋体" w:hAnsi="宋体"/>
          <w:b/>
          <w:bCs w:val="0"/>
          <w:color w:val="auto"/>
          <w:sz w:val="28"/>
          <w:szCs w:val="28"/>
          <w:highlight w:val="none"/>
          <w:lang w:val="en-US" w:eastAsia="zh-CN"/>
        </w:rPr>
        <w:t xml:space="preserve"> 评标委员会</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520FB06E">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"_Toc497239291"</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第五章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开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21</w:t>
      </w:r>
    </w:p>
    <w:p w14:paraId="7311F26A">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"_Toc497239292"</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第六章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评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22</w:t>
      </w:r>
    </w:p>
    <w:p w14:paraId="4A14C178">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"_Toc497239293"</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第七章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定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33</w:t>
      </w:r>
    </w:p>
    <w:p w14:paraId="0C92EC4D">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第八章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授予合同</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34</w:t>
      </w:r>
    </w:p>
    <w:p w14:paraId="201A7F50">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"_Toc497239295"</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第四部</w:t>
      </w:r>
      <w:r>
        <w:rPr>
          <w:rStyle w:val="27"/>
          <w:rFonts w:hint="eastAsia" w:ascii="宋体" w:hAnsi="宋体" w:eastAsia="宋体"/>
          <w:b/>
          <w:bCs w:val="0"/>
          <w:color w:val="auto"/>
          <w:sz w:val="28"/>
          <w:szCs w:val="28"/>
          <w:highlight w:val="none"/>
          <w:lang w:val="en-US" w:eastAsia="zh-CN"/>
        </w:rPr>
        <w:t>分</w:t>
      </w:r>
      <w:r>
        <w:rPr>
          <w:rStyle w:val="27"/>
          <w:rFonts w:hint="eastAsia" w:ascii="宋体" w:hAnsi="宋体" w:eastAsia="宋体" w:cs="Times New Roman"/>
          <w:b/>
          <w:bCs w:val="0"/>
          <w:color w:val="auto"/>
          <w:kern w:val="2"/>
          <w:sz w:val="28"/>
          <w:szCs w:val="28"/>
          <w:highlight w:val="none"/>
          <w:lang w:val="en-US" w:eastAsia="zh-CN" w:bidi="ar-SA"/>
        </w:rPr>
        <w:t xml:space="preserve"> 采购服务及要求</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36</w:t>
      </w:r>
    </w:p>
    <w:p w14:paraId="688ABC22">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第五部分 合同部分</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48</w:t>
      </w:r>
    </w:p>
    <w:p w14:paraId="6980DA31">
      <w:pPr>
        <w:pStyle w:val="17"/>
        <w:spacing w:line="360" w:lineRule="auto"/>
        <w:rPr>
          <w:rFonts w:hint="eastAsia" w:ascii="宋体" w:hAnsi="宋体" w:eastAsia="宋体"/>
          <w:b/>
          <w:bCs w:val="0"/>
          <w:color w:val="auto"/>
          <w:sz w:val="28"/>
          <w:szCs w:val="28"/>
          <w:highlight w:val="none"/>
          <w:lang w:val="en-US"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r>
        <w:rPr>
          <w:rFonts w:ascii="宋体" w:hAnsi="宋体"/>
          <w:b/>
          <w:bCs w:val="0"/>
          <w:color w:val="auto"/>
          <w:sz w:val="28"/>
          <w:szCs w:val="28"/>
          <w:highlight w:val="none"/>
        </w:rPr>
        <w:fldChar w:fldCharType="end"/>
      </w:r>
      <w:r>
        <w:rPr>
          <w:rFonts w:ascii="宋体" w:hAnsi="宋体" w:eastAsia="宋体"/>
          <w:b/>
          <w:bCs w:val="0"/>
          <w:color w:val="auto"/>
          <w:sz w:val="28"/>
          <w:szCs w:val="28"/>
          <w:highlight w:val="none"/>
        </w:rPr>
        <w:fldChar w:fldCharType="begin"/>
      </w:r>
      <w:r>
        <w:rPr>
          <w:rFonts w:ascii="宋体" w:hAnsi="宋体" w:eastAsia="宋体"/>
          <w:b/>
          <w:bCs w:val="0"/>
          <w:color w:val="auto"/>
          <w:sz w:val="28"/>
          <w:szCs w:val="28"/>
          <w:highlight w:val="none"/>
        </w:rPr>
        <w:instrText xml:space="preserve"> HYPERLINK \l "_Toc497239297"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rPr>
        <w:t>第六部分</w:t>
      </w:r>
      <w:r>
        <w:rPr>
          <w:rFonts w:hint="eastAsia" w:ascii="宋体" w:hAnsi="宋体" w:eastAsia="宋体"/>
          <w:b/>
          <w:bCs w:val="0"/>
          <w:color w:val="auto"/>
          <w:sz w:val="28"/>
          <w:szCs w:val="28"/>
          <w:highlight w:val="none"/>
          <w:lang w:val="en-US" w:eastAsia="zh-CN"/>
        </w:rPr>
        <w:t xml:space="preserve"> </w:t>
      </w:r>
      <w:r>
        <w:rPr>
          <w:rFonts w:hint="eastAsia" w:ascii="宋体" w:hAnsi="宋体" w:eastAsia="宋体"/>
          <w:b/>
          <w:bCs w:val="0"/>
          <w:color w:val="auto"/>
          <w:sz w:val="28"/>
          <w:szCs w:val="28"/>
          <w:highlight w:val="none"/>
        </w:rPr>
        <w:t>附　件</w:t>
      </w:r>
      <w:r>
        <w:rPr>
          <w:rFonts w:ascii="宋体" w:hAnsi="宋体" w:eastAsia="宋体"/>
          <w:b/>
          <w:bCs w:val="0"/>
          <w:color w:val="auto"/>
          <w:sz w:val="28"/>
          <w:szCs w:val="28"/>
          <w:highlight w:val="none"/>
        </w:rPr>
        <w:tab/>
      </w:r>
      <w:r>
        <w:rPr>
          <w:rFonts w:hint="eastAsia" w:ascii="宋体" w:hAnsi="宋体" w:eastAsia="宋体"/>
          <w:b/>
          <w:bCs w:val="0"/>
          <w:color w:val="auto"/>
          <w:sz w:val="28"/>
          <w:szCs w:val="28"/>
          <w:highlight w:val="none"/>
          <w:lang w:val="en-US" w:eastAsia="zh-CN"/>
        </w:rPr>
        <w:t>5</w:t>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4</w:t>
      </w:r>
    </w:p>
    <w:p w14:paraId="462FD3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第一章 招标公告</w:t>
      </w:r>
    </w:p>
    <w:p w14:paraId="19ACB668">
      <w:pPr>
        <w:pStyle w:val="11"/>
        <w:numPr>
          <w:ilvl w:val="0"/>
          <w:numId w:val="0"/>
        </w:numPr>
        <w:tabs>
          <w:tab w:val="left" w:pos="567"/>
        </w:tabs>
        <w:jc w:val="center"/>
        <w:rPr>
          <w:rFonts w:hint="default"/>
          <w:b w:val="0"/>
          <w:bCs w:val="0"/>
          <w:color w:val="auto"/>
          <w:sz w:val="32"/>
          <w:szCs w:val="32"/>
          <w:highlight w:val="none"/>
          <w:u w:val="none" w:color="auto"/>
          <w:lang w:val="en-US" w:eastAsia="zh-CN"/>
        </w:rPr>
      </w:pPr>
      <w:r>
        <w:rPr>
          <w:rFonts w:hint="eastAsia" w:ascii="宋体" w:hAnsi="宋体" w:cs="宋体"/>
          <w:b w:val="0"/>
          <w:bCs w:val="0"/>
          <w:color w:val="auto"/>
          <w:kern w:val="0"/>
          <w:sz w:val="32"/>
          <w:szCs w:val="32"/>
          <w:highlight w:val="none"/>
          <w:u w:val="none" w:color="auto"/>
          <w:lang w:val="en-US" w:eastAsia="zh-CN" w:bidi="ar-SA"/>
        </w:rPr>
        <w:t>呼图壁基层医疗卫生机构服务能力提升项目招标</w:t>
      </w:r>
      <w:r>
        <w:rPr>
          <w:rFonts w:hint="eastAsia" w:ascii="宋体" w:hAnsi="宋体" w:eastAsia="宋体" w:cs="宋体"/>
          <w:b w:val="0"/>
          <w:bCs w:val="0"/>
          <w:color w:val="auto"/>
          <w:kern w:val="0"/>
          <w:sz w:val="32"/>
          <w:szCs w:val="32"/>
          <w:highlight w:val="none"/>
          <w:u w:val="none" w:color="auto"/>
          <w:lang w:val="en-US" w:eastAsia="zh-CN" w:bidi="ar-SA"/>
        </w:rPr>
        <w:t>公告</w:t>
      </w:r>
    </w:p>
    <w:p w14:paraId="773AF875">
      <w:pPr>
        <w:pStyle w:val="9"/>
        <w:ind w:left="0" w:leftChars="0" w:firstLine="0" w:firstLineChars="0"/>
        <w:jc w:val="center"/>
        <w:rPr>
          <w:rFonts w:hint="default"/>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（项目编号：</w:t>
      </w:r>
      <w:r>
        <w:rPr>
          <w:rFonts w:hint="eastAsia" w:ascii="宋体" w:hAnsi="宋体" w:cs="宋体"/>
          <w:b w:val="0"/>
          <w:bCs w:val="0"/>
          <w:color w:val="auto"/>
          <w:sz w:val="28"/>
          <w:szCs w:val="28"/>
          <w:highlight w:val="none"/>
          <w:u w:val="none"/>
          <w:lang w:val="en-US" w:eastAsia="zh-CN"/>
        </w:rPr>
        <w:t>XJCXD-2025-013</w:t>
      </w:r>
      <w:r>
        <w:rPr>
          <w:rFonts w:hint="eastAsia" w:asciiTheme="minorEastAsia" w:hAnsiTheme="minorEastAsia" w:cstheme="minorEastAsia"/>
          <w:b w:val="0"/>
          <w:bCs w:val="0"/>
          <w:color w:val="auto"/>
          <w:sz w:val="28"/>
          <w:szCs w:val="28"/>
          <w:highlight w:val="none"/>
          <w:u w:val="none"/>
          <w:lang w:val="en-US" w:eastAsia="zh-CN"/>
        </w:rPr>
        <w:t>）</w:t>
      </w:r>
    </w:p>
    <w:p w14:paraId="1F9C8E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一、招标条件 </w:t>
      </w:r>
    </w:p>
    <w:p w14:paraId="59DD1F4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color w:val="auto"/>
          <w:sz w:val="24"/>
          <w:szCs w:val="24"/>
          <w:highlight w:val="none"/>
          <w:u w:val="none"/>
          <w:lang w:val="en-US" w:eastAsia="zh-CN"/>
        </w:rPr>
        <w:t>呼图壁基层医疗卫生机构服务能力提升项目</w:t>
      </w:r>
      <w:r>
        <w:rPr>
          <w:rFonts w:hint="eastAsia" w:ascii="宋体" w:hAnsi="宋体" w:eastAsia="宋体" w:cs="宋体"/>
          <w:b w:val="0"/>
          <w:bCs w:val="0"/>
          <w:color w:val="auto"/>
          <w:kern w:val="0"/>
          <w:sz w:val="24"/>
          <w:szCs w:val="24"/>
          <w:highlight w:val="none"/>
          <w:lang w:val="en-US" w:eastAsia="zh-CN" w:bidi="ar"/>
        </w:rPr>
        <w:t>已</w:t>
      </w:r>
      <w:r>
        <w:rPr>
          <w:rFonts w:hint="eastAsia" w:ascii="宋体" w:hAnsi="宋体" w:eastAsia="宋体" w:cs="宋体"/>
          <w:b w:val="0"/>
          <w:bCs w:val="0"/>
          <w:color w:val="auto"/>
          <w:kern w:val="0"/>
          <w:sz w:val="24"/>
          <w:szCs w:val="24"/>
          <w:highlight w:val="none"/>
          <w:lang w:val="en-US" w:eastAsia="zh-CN" w:bidi="ar"/>
        </w:rPr>
        <w:t>由项目审批/核准/备案机关批准，项目资金来源为</w:t>
      </w:r>
      <w:r>
        <w:rPr>
          <w:rFonts w:hint="eastAsia" w:ascii="宋体" w:hAnsi="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yellow"/>
          <w:lang w:val="en-US" w:eastAsia="zh-CN" w:bidi="ar"/>
        </w:rPr>
        <w:t>援疆资金：</w:t>
      </w:r>
      <w:r>
        <w:rPr>
          <w:rFonts w:hint="eastAsia" w:ascii="宋体" w:hAnsi="宋体" w:cs="宋体"/>
          <w:color w:val="auto"/>
          <w:sz w:val="24"/>
          <w:szCs w:val="24"/>
          <w:highlight w:val="yellow"/>
          <w:u w:val="none"/>
          <w:lang w:val="en-US" w:eastAsia="zh-CN"/>
        </w:rPr>
        <w:t>100万元，大写：壹佰万元整</w:t>
      </w:r>
      <w:r>
        <w:rPr>
          <w:rFonts w:hint="eastAsia" w:ascii="宋体" w:hAnsi="宋体" w:cs="宋体"/>
          <w:b w:val="0"/>
          <w:bCs w:val="0"/>
          <w:color w:val="auto"/>
          <w:kern w:val="0"/>
          <w:sz w:val="24"/>
          <w:szCs w:val="24"/>
          <w:highlight w:val="yellow"/>
          <w:lang w:val="en-US" w:eastAsia="zh-CN" w:bidi="ar"/>
        </w:rPr>
        <w:t xml:space="preserve"> </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招标人为</w:t>
      </w:r>
      <w:r>
        <w:rPr>
          <w:rFonts w:hint="eastAsia" w:ascii="宋体" w:hAnsi="宋体" w:cs="宋体"/>
          <w:b w:val="0"/>
          <w:bCs w:val="0"/>
          <w:color w:val="auto"/>
          <w:kern w:val="0"/>
          <w:sz w:val="24"/>
          <w:szCs w:val="24"/>
          <w:highlight w:val="none"/>
          <w:lang w:val="en-US" w:eastAsia="zh-CN" w:bidi="ar"/>
        </w:rPr>
        <w:t>呼图壁县卫生健康委员会</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本项目已具备招标条件，现招标方式为</w:t>
      </w:r>
      <w:r>
        <w:rPr>
          <w:rFonts w:hint="eastAsia" w:ascii="宋体" w:hAnsi="宋体" w:cs="宋体"/>
          <w:b w:val="0"/>
          <w:bCs w:val="0"/>
          <w:color w:val="auto"/>
          <w:kern w:val="0"/>
          <w:sz w:val="24"/>
          <w:szCs w:val="24"/>
          <w:highlight w:val="none"/>
          <w:lang w:val="en-US" w:eastAsia="zh-CN" w:bidi="ar"/>
        </w:rPr>
        <w:t>公开招标。</w:t>
      </w:r>
    </w:p>
    <w:p w14:paraId="46BDA7E0">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项目概况和招标范围 </w:t>
      </w:r>
    </w:p>
    <w:p w14:paraId="3EEE3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color w:val="auto"/>
          <w:sz w:val="24"/>
          <w:szCs w:val="24"/>
          <w:highlight w:val="none"/>
          <w:lang w:val="en-US" w:eastAsia="zh-CN"/>
        </w:rPr>
        <w:t>1、项目名称：</w:t>
      </w:r>
      <w:r>
        <w:rPr>
          <w:rFonts w:hint="eastAsia" w:ascii="宋体" w:hAnsi="宋体" w:cs="宋体"/>
          <w:color w:val="auto"/>
          <w:sz w:val="24"/>
          <w:szCs w:val="24"/>
          <w:highlight w:val="none"/>
          <w:u w:val="none"/>
          <w:lang w:val="en-US" w:eastAsia="zh-CN"/>
        </w:rPr>
        <w:t>呼图壁基层医疗卫生机构服务能力提升项目</w:t>
      </w:r>
    </w:p>
    <w:p w14:paraId="6012B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2、项目编号：</w:t>
      </w:r>
      <w:r>
        <w:rPr>
          <w:rFonts w:hint="eastAsia" w:ascii="宋体" w:hAnsi="宋体" w:cs="宋体"/>
          <w:b w:val="0"/>
          <w:bCs w:val="0"/>
          <w:color w:val="auto"/>
          <w:sz w:val="24"/>
          <w:szCs w:val="24"/>
          <w:highlight w:val="none"/>
          <w:u w:val="none"/>
          <w:lang w:val="en-US" w:eastAsia="zh-CN"/>
        </w:rPr>
        <w:t>XJCXD-2025-013</w:t>
      </w:r>
    </w:p>
    <w:p w14:paraId="55E05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color w:val="auto"/>
          <w:sz w:val="24"/>
          <w:szCs w:val="24"/>
          <w:highlight w:val="none"/>
          <w:lang w:val="en-US" w:eastAsia="zh-CN"/>
        </w:rPr>
        <w:t>3、采购内容：</w:t>
      </w:r>
      <w:r>
        <w:rPr>
          <w:rFonts w:hint="eastAsia" w:ascii="宋体" w:hAnsi="宋体" w:cs="宋体"/>
          <w:color w:val="auto"/>
          <w:sz w:val="24"/>
          <w:szCs w:val="24"/>
          <w:highlight w:val="none"/>
          <w:u w:val="none"/>
          <w:lang w:val="en-US" w:eastAsia="zh-CN"/>
        </w:rPr>
        <w:t>为确保全县心电一张网的绩效目标实现，方便居民足不出村进行心电检查需求。购置60套心电检查设备，覆盖全县53个村卫生室，53套心电设备、7家乡镇卫生院和县人民医院，7套远程心电采集工作站和1套诊断中心。（详见招标文件第四部分）</w:t>
      </w:r>
    </w:p>
    <w:p w14:paraId="06397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4、项目地点：呼图壁</w:t>
      </w:r>
      <w:r>
        <w:rPr>
          <w:rFonts w:hint="eastAsia" w:ascii="宋体" w:hAnsi="宋体" w:cs="宋体"/>
          <w:b w:val="0"/>
          <w:bCs w:val="0"/>
          <w:color w:val="auto"/>
          <w:sz w:val="24"/>
          <w:szCs w:val="24"/>
          <w:highlight w:val="none"/>
          <w:u w:val="none"/>
          <w:lang w:val="en-US" w:eastAsia="zh-CN"/>
        </w:rPr>
        <w:t>县</w:t>
      </w:r>
    </w:p>
    <w:p w14:paraId="074D2C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5、供货期限：自合同签订之日起15日内完成配送、安装、调试合格或正常使用（含培训）</w:t>
      </w:r>
    </w:p>
    <w:p w14:paraId="7EDDA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yellow"/>
          <w:lang w:val="en-US" w:eastAsia="zh-CN"/>
        </w:rPr>
      </w:pPr>
      <w:r>
        <w:rPr>
          <w:rFonts w:hint="eastAsia"/>
          <w:color w:val="auto"/>
          <w:sz w:val="24"/>
          <w:szCs w:val="24"/>
          <w:highlight w:val="none"/>
          <w:lang w:val="en-US" w:eastAsia="zh-CN"/>
        </w:rPr>
        <w:t>6、</w:t>
      </w:r>
      <w:r>
        <w:rPr>
          <w:rFonts w:hint="eastAsia"/>
          <w:color w:val="auto"/>
          <w:sz w:val="24"/>
          <w:szCs w:val="24"/>
          <w:highlight w:val="yellow"/>
          <w:lang w:val="en-US" w:eastAsia="zh-CN"/>
        </w:rPr>
        <w:t>预算金额：小写：100万元 大写：壹佰万元整</w:t>
      </w:r>
    </w:p>
    <w:p w14:paraId="1D24C395">
      <w:pPr>
        <w:pStyle w:val="22"/>
        <w:ind w:left="0" w:leftChars="0" w:firstLine="480" w:firstLineChars="200"/>
        <w:rPr>
          <w:rFonts w:hint="eastAsia"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、质保期限：</w:t>
      </w:r>
      <w:r>
        <w:rPr>
          <w:rFonts w:hint="eastAsia" w:ascii="Times New Roman" w:hAnsi="Times New Roman" w:cs="Times New Roman"/>
          <w:color w:val="auto"/>
          <w:kern w:val="2"/>
          <w:sz w:val="24"/>
          <w:szCs w:val="24"/>
          <w:highlight w:val="none"/>
          <w:lang w:val="en-US" w:eastAsia="zh-CN" w:bidi="ar-SA"/>
        </w:rPr>
        <w:t>5年</w:t>
      </w:r>
    </w:p>
    <w:p w14:paraId="6B1030C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三、投标人资格要求 </w:t>
      </w:r>
    </w:p>
    <w:p w14:paraId="7077E3D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B380CF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547E2AD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4C2CD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6E3916F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115AC85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5391E2E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55A9B1B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3E27C9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日至响应文件递交截止之日前</w:t>
      </w:r>
      <w:r>
        <w:rPr>
          <w:rFonts w:hint="eastAsia" w:ascii="宋体" w:hAnsi="宋体" w:eastAsia="宋体" w:cs="宋体"/>
          <w:color w:val="auto"/>
          <w:kern w:val="2"/>
          <w:sz w:val="24"/>
          <w:szCs w:val="24"/>
          <w:highlight w:val="none"/>
          <w:lang w:val="en-US" w:eastAsia="zh-CN" w:bidi="ar-SA"/>
        </w:rPr>
        <w:t xml:space="preserve">）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307B45F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6FE64CB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3236EEDF">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w:t>
      </w:r>
      <w:r>
        <w:rPr>
          <w:rFonts w:hint="eastAsia" w:ascii="宋体" w:hAnsi="宋体" w:cs="宋体"/>
          <w:b w:val="0"/>
          <w:bCs w:val="0"/>
          <w:color w:val="auto"/>
          <w:kern w:val="0"/>
          <w:sz w:val="24"/>
          <w:szCs w:val="24"/>
          <w:highlight w:val="none"/>
          <w:lang w:val="en-US" w:eastAsia="zh-CN" w:bidi="ar"/>
        </w:rPr>
        <w:t>招标文件</w:t>
      </w:r>
      <w:r>
        <w:rPr>
          <w:rFonts w:hint="eastAsia" w:ascii="宋体" w:hAnsi="宋体" w:eastAsia="宋体" w:cs="宋体"/>
          <w:b w:val="0"/>
          <w:bCs w:val="0"/>
          <w:color w:val="auto"/>
          <w:kern w:val="0"/>
          <w:sz w:val="24"/>
          <w:szCs w:val="24"/>
          <w:highlight w:val="none"/>
          <w:lang w:val="en-US" w:eastAsia="zh-CN" w:bidi="ar"/>
        </w:rPr>
        <w:t xml:space="preserve">的获取 </w:t>
      </w:r>
    </w:p>
    <w:p w14:paraId="0034E96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kern w:val="0"/>
          <w:sz w:val="24"/>
          <w:szCs w:val="24"/>
          <w:highlight w:val="none"/>
          <w:lang w:val="en-US" w:eastAsia="zh-CN" w:bidi="ar"/>
        </w:rPr>
        <w:t>1、获取时间：</w:t>
      </w:r>
      <w:r>
        <w:rPr>
          <w:rFonts w:hint="eastAsia" w:ascii="宋体" w:hAnsi="宋体" w:eastAsia="宋体" w:cs="宋体"/>
          <w:b w:val="0"/>
          <w:bCs w:val="0"/>
          <w:color w:val="auto"/>
          <w:kern w:val="0"/>
          <w:sz w:val="24"/>
          <w:szCs w:val="24"/>
          <w:highlight w:val="none"/>
          <w:lang w:val="en-US" w:eastAsia="zh-CN" w:bidi="ar"/>
        </w:rPr>
        <w:t>从</w:t>
      </w:r>
      <w:r>
        <w:rPr>
          <w:rFonts w:hint="eastAsia" w:ascii="宋体" w:hAnsi="宋体" w:eastAsia="宋体" w:cs="宋体"/>
          <w:b w:val="0"/>
          <w:bCs w:val="0"/>
          <w:color w:val="auto"/>
          <w:kern w:val="0"/>
          <w:sz w:val="24"/>
          <w:szCs w:val="24"/>
          <w:highlight w:val="yellow"/>
          <w:lang w:val="en-US" w:eastAsia="zh-CN" w:bidi="ar"/>
        </w:rPr>
        <w:t xml:space="preserve"> 20</w:t>
      </w:r>
      <w:r>
        <w:rPr>
          <w:rFonts w:hint="eastAsia" w:ascii="宋体" w:hAnsi="宋体" w:cs="宋体"/>
          <w:b w:val="0"/>
          <w:bCs w:val="0"/>
          <w:color w:val="auto"/>
          <w:kern w:val="0"/>
          <w:sz w:val="24"/>
          <w:szCs w:val="24"/>
          <w:highlight w:val="yellow"/>
          <w:lang w:val="en-US" w:eastAsia="zh-CN" w:bidi="ar"/>
        </w:rPr>
        <w:t>25</w:t>
      </w:r>
      <w:r>
        <w:rPr>
          <w:rFonts w:hint="eastAsia" w:ascii="宋体" w:hAnsi="宋体" w:eastAsia="宋体" w:cs="宋体"/>
          <w:b w:val="0"/>
          <w:bCs w:val="0"/>
          <w:color w:val="auto"/>
          <w:kern w:val="0"/>
          <w:sz w:val="24"/>
          <w:szCs w:val="24"/>
          <w:highlight w:val="yellow"/>
          <w:lang w:val="en-US" w:eastAsia="zh-CN" w:bidi="ar"/>
        </w:rPr>
        <w:t xml:space="preserve"> 年</w:t>
      </w:r>
      <w:r>
        <w:rPr>
          <w:rFonts w:hint="eastAsia" w:ascii="宋体" w:hAnsi="宋体" w:cs="宋体"/>
          <w:b w:val="0"/>
          <w:bCs w:val="0"/>
          <w:color w:val="auto"/>
          <w:kern w:val="0"/>
          <w:sz w:val="24"/>
          <w:szCs w:val="24"/>
          <w:highlight w:val="yellow"/>
          <w:lang w:val="en-US" w:eastAsia="zh-CN" w:bidi="ar"/>
        </w:rPr>
        <w:t xml:space="preserve"> 6</w:t>
      </w:r>
      <w:r>
        <w:rPr>
          <w:rFonts w:hint="eastAsia" w:ascii="宋体" w:hAnsi="宋体" w:eastAsia="宋体" w:cs="宋体"/>
          <w:b w:val="0"/>
          <w:bCs w:val="0"/>
          <w:color w:val="auto"/>
          <w:kern w:val="0"/>
          <w:sz w:val="24"/>
          <w:szCs w:val="24"/>
          <w:highlight w:val="yellow"/>
          <w:lang w:val="en-US" w:eastAsia="zh-CN" w:bidi="ar"/>
        </w:rPr>
        <w:t>月</w:t>
      </w:r>
      <w:r>
        <w:rPr>
          <w:rFonts w:hint="eastAsia" w:ascii="宋体" w:hAnsi="宋体" w:cs="宋体"/>
          <w:b w:val="0"/>
          <w:bCs w:val="0"/>
          <w:color w:val="auto"/>
          <w:kern w:val="0"/>
          <w:sz w:val="24"/>
          <w:szCs w:val="24"/>
          <w:highlight w:val="yellow"/>
          <w:lang w:val="en-US" w:eastAsia="zh-CN" w:bidi="ar"/>
        </w:rPr>
        <w:t xml:space="preserve"> 30</w:t>
      </w:r>
      <w:r>
        <w:rPr>
          <w:rFonts w:hint="eastAsia" w:ascii="宋体" w:hAnsi="宋体" w:eastAsia="宋体" w:cs="宋体"/>
          <w:b w:val="0"/>
          <w:bCs w:val="0"/>
          <w:color w:val="auto"/>
          <w:kern w:val="0"/>
          <w:sz w:val="24"/>
          <w:szCs w:val="24"/>
          <w:highlight w:val="yellow"/>
          <w:lang w:val="en-US" w:eastAsia="zh-CN" w:bidi="ar"/>
        </w:rPr>
        <w:t xml:space="preserve">日 </w:t>
      </w:r>
      <w:r>
        <w:rPr>
          <w:rFonts w:hint="eastAsia" w:ascii="宋体" w:hAnsi="宋体" w:cs="宋体"/>
          <w:b w:val="0"/>
          <w:bCs w:val="0"/>
          <w:color w:val="auto"/>
          <w:kern w:val="0"/>
          <w:sz w:val="24"/>
          <w:szCs w:val="24"/>
          <w:highlight w:val="yellow"/>
          <w:lang w:val="en-US" w:eastAsia="zh-CN" w:bidi="ar"/>
        </w:rPr>
        <w:t>00</w:t>
      </w:r>
      <w:r>
        <w:rPr>
          <w:rFonts w:hint="eastAsia" w:ascii="宋体" w:hAnsi="宋体" w:eastAsia="宋体" w:cs="宋体"/>
          <w:b w:val="0"/>
          <w:bCs w:val="0"/>
          <w:color w:val="auto"/>
          <w:kern w:val="0"/>
          <w:sz w:val="24"/>
          <w:szCs w:val="24"/>
          <w:highlight w:val="yellow"/>
          <w:lang w:val="en-US" w:eastAsia="zh-CN" w:bidi="ar"/>
        </w:rPr>
        <w:t xml:space="preserve"> 时 </w:t>
      </w:r>
      <w:r>
        <w:rPr>
          <w:rFonts w:hint="eastAsia" w:ascii="宋体" w:hAnsi="宋体" w:cs="宋体"/>
          <w:b w:val="0"/>
          <w:bCs w:val="0"/>
          <w:color w:val="auto"/>
          <w:kern w:val="0"/>
          <w:sz w:val="24"/>
          <w:szCs w:val="24"/>
          <w:highlight w:val="yellow"/>
          <w:lang w:val="en-US" w:eastAsia="zh-CN" w:bidi="ar"/>
        </w:rPr>
        <w:t xml:space="preserve">00 </w:t>
      </w:r>
      <w:r>
        <w:rPr>
          <w:rFonts w:hint="eastAsia" w:ascii="宋体" w:hAnsi="宋体" w:eastAsia="宋体" w:cs="宋体"/>
          <w:b w:val="0"/>
          <w:bCs w:val="0"/>
          <w:color w:val="auto"/>
          <w:kern w:val="0"/>
          <w:sz w:val="24"/>
          <w:szCs w:val="24"/>
          <w:highlight w:val="yellow"/>
          <w:lang w:val="en-US" w:eastAsia="zh-CN" w:bidi="ar"/>
        </w:rPr>
        <w:t>分到 20</w:t>
      </w:r>
      <w:r>
        <w:rPr>
          <w:rFonts w:hint="eastAsia" w:ascii="宋体" w:hAnsi="宋体" w:cs="宋体"/>
          <w:b w:val="0"/>
          <w:bCs w:val="0"/>
          <w:color w:val="auto"/>
          <w:kern w:val="0"/>
          <w:sz w:val="24"/>
          <w:szCs w:val="24"/>
          <w:highlight w:val="yellow"/>
          <w:lang w:val="en-US" w:eastAsia="zh-CN" w:bidi="ar"/>
        </w:rPr>
        <w:t>25</w:t>
      </w:r>
      <w:r>
        <w:rPr>
          <w:rFonts w:hint="eastAsia" w:ascii="宋体" w:hAnsi="宋体" w:eastAsia="宋体" w:cs="宋体"/>
          <w:b w:val="0"/>
          <w:bCs w:val="0"/>
          <w:color w:val="auto"/>
          <w:kern w:val="0"/>
          <w:sz w:val="24"/>
          <w:szCs w:val="24"/>
          <w:highlight w:val="yellow"/>
          <w:lang w:val="en-US" w:eastAsia="zh-CN" w:bidi="ar"/>
        </w:rPr>
        <w:t xml:space="preserve"> 年</w:t>
      </w:r>
      <w:r>
        <w:rPr>
          <w:rFonts w:hint="eastAsia" w:ascii="宋体" w:hAnsi="宋体" w:cs="宋体"/>
          <w:b w:val="0"/>
          <w:bCs w:val="0"/>
          <w:color w:val="auto"/>
          <w:kern w:val="0"/>
          <w:sz w:val="24"/>
          <w:szCs w:val="24"/>
          <w:highlight w:val="yellow"/>
          <w:lang w:val="en-US" w:eastAsia="zh-CN" w:bidi="ar"/>
        </w:rPr>
        <w:t>7</w:t>
      </w:r>
      <w:r>
        <w:rPr>
          <w:rFonts w:hint="eastAsia" w:ascii="宋体" w:hAnsi="宋体" w:eastAsia="宋体" w:cs="宋体"/>
          <w:b w:val="0"/>
          <w:bCs w:val="0"/>
          <w:color w:val="auto"/>
          <w:kern w:val="0"/>
          <w:sz w:val="24"/>
          <w:szCs w:val="24"/>
          <w:highlight w:val="yellow"/>
          <w:lang w:val="en-US" w:eastAsia="zh-CN" w:bidi="ar"/>
        </w:rPr>
        <w:t>月</w:t>
      </w:r>
      <w:r>
        <w:rPr>
          <w:rFonts w:hint="eastAsia" w:ascii="宋体" w:hAnsi="宋体" w:cs="宋体"/>
          <w:b w:val="0"/>
          <w:bCs w:val="0"/>
          <w:color w:val="auto"/>
          <w:kern w:val="0"/>
          <w:sz w:val="24"/>
          <w:szCs w:val="24"/>
          <w:highlight w:val="yellow"/>
          <w:lang w:val="en-US" w:eastAsia="zh-CN" w:bidi="ar"/>
        </w:rPr>
        <w:t xml:space="preserve"> 20 </w:t>
      </w:r>
      <w:r>
        <w:rPr>
          <w:rFonts w:hint="eastAsia" w:ascii="宋体" w:hAnsi="宋体" w:eastAsia="宋体" w:cs="宋体"/>
          <w:b w:val="0"/>
          <w:bCs w:val="0"/>
          <w:color w:val="auto"/>
          <w:kern w:val="0"/>
          <w:sz w:val="24"/>
          <w:szCs w:val="24"/>
          <w:highlight w:val="yellow"/>
          <w:lang w:val="en-US" w:eastAsia="zh-CN" w:bidi="ar"/>
        </w:rPr>
        <w:t xml:space="preserve">日 </w:t>
      </w:r>
      <w:r>
        <w:rPr>
          <w:rFonts w:hint="eastAsia" w:ascii="宋体" w:hAnsi="宋体" w:cs="宋体"/>
          <w:b w:val="0"/>
          <w:bCs w:val="0"/>
          <w:color w:val="auto"/>
          <w:kern w:val="0"/>
          <w:sz w:val="24"/>
          <w:szCs w:val="24"/>
          <w:highlight w:val="yellow"/>
          <w:lang w:val="en-US" w:eastAsia="zh-CN" w:bidi="ar"/>
        </w:rPr>
        <w:t>23</w:t>
      </w:r>
      <w:r>
        <w:rPr>
          <w:rFonts w:hint="eastAsia" w:ascii="宋体" w:hAnsi="宋体" w:eastAsia="宋体" w:cs="宋体"/>
          <w:b w:val="0"/>
          <w:bCs w:val="0"/>
          <w:color w:val="auto"/>
          <w:kern w:val="0"/>
          <w:sz w:val="24"/>
          <w:szCs w:val="24"/>
          <w:highlight w:val="yellow"/>
          <w:lang w:val="en-US" w:eastAsia="zh-CN" w:bidi="ar"/>
        </w:rPr>
        <w:t xml:space="preserve"> 时 </w:t>
      </w:r>
      <w:r>
        <w:rPr>
          <w:rFonts w:hint="eastAsia" w:ascii="宋体" w:hAnsi="宋体" w:cs="宋体"/>
          <w:b w:val="0"/>
          <w:bCs w:val="0"/>
          <w:color w:val="auto"/>
          <w:kern w:val="0"/>
          <w:sz w:val="24"/>
          <w:szCs w:val="24"/>
          <w:highlight w:val="yellow"/>
          <w:lang w:val="en-US" w:eastAsia="zh-CN" w:bidi="ar"/>
        </w:rPr>
        <w:t>59</w:t>
      </w:r>
      <w:r>
        <w:rPr>
          <w:rFonts w:hint="eastAsia" w:ascii="宋体" w:hAnsi="宋体" w:eastAsia="宋体" w:cs="宋体"/>
          <w:b w:val="0"/>
          <w:bCs w:val="0"/>
          <w:color w:val="auto"/>
          <w:kern w:val="0"/>
          <w:sz w:val="24"/>
          <w:szCs w:val="24"/>
          <w:highlight w:val="yellow"/>
          <w:lang w:val="en-US" w:eastAsia="zh-CN" w:bidi="ar"/>
        </w:rPr>
        <w:t xml:space="preserve">分 </w:t>
      </w:r>
      <w:r>
        <w:rPr>
          <w:rFonts w:hint="eastAsia" w:ascii="宋体" w:hAnsi="宋体" w:cs="宋体"/>
          <w:b w:val="0"/>
          <w:bCs w:val="0"/>
          <w:color w:val="auto"/>
          <w:kern w:val="0"/>
          <w:sz w:val="24"/>
          <w:szCs w:val="24"/>
          <w:highlight w:val="yellow"/>
          <w:lang w:val="en-US" w:eastAsia="zh-CN" w:bidi="ar"/>
        </w:rPr>
        <w:t>（北京时间）</w:t>
      </w:r>
    </w:p>
    <w:p w14:paraId="1E1795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2、获取方式：供应商登录政采云平台https://www.zcygov.cn/在线申请获取采购文件（进入“项目采购”应用，在获取采购文件菜单中选择项目，申请获取采购文件）</w:t>
      </w:r>
    </w:p>
    <w:p w14:paraId="701134C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招标文件</w:t>
      </w:r>
      <w:r>
        <w:rPr>
          <w:rFonts w:hint="eastAsia" w:ascii="宋体" w:hAnsi="宋体" w:eastAsia="宋体" w:cs="宋体"/>
          <w:b w:val="0"/>
          <w:bCs w:val="0"/>
          <w:color w:val="auto"/>
          <w:sz w:val="24"/>
          <w:szCs w:val="24"/>
          <w:highlight w:val="none"/>
          <w:lang w:val="en-US" w:eastAsia="zh-CN"/>
        </w:rPr>
        <w:t>获取地址：</w:t>
      </w:r>
      <w:r>
        <w:rPr>
          <w:rFonts w:hint="eastAsia" w:ascii="宋体" w:hAnsi="宋体" w:eastAsia="宋体" w:cs="宋体"/>
          <w:b w:val="0"/>
          <w:bCs w:val="0"/>
          <w:color w:val="auto"/>
          <w:kern w:val="0"/>
          <w:sz w:val="24"/>
          <w:szCs w:val="24"/>
          <w:highlight w:val="none"/>
          <w:lang w:val="en-US" w:eastAsia="zh-CN" w:bidi="ar"/>
        </w:rPr>
        <w:t>政采云平台线上获取</w:t>
      </w:r>
    </w:p>
    <w:p w14:paraId="1A320FD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w:t>
      </w:r>
      <w:r>
        <w:rPr>
          <w:rFonts w:hint="eastAsia" w:ascii="宋体" w:hAnsi="宋体" w:cs="宋体"/>
          <w:b w:val="0"/>
          <w:bCs w:val="0"/>
          <w:color w:val="auto"/>
          <w:kern w:val="0"/>
          <w:sz w:val="24"/>
          <w:szCs w:val="24"/>
          <w:highlight w:val="none"/>
          <w:lang w:val="en-US" w:eastAsia="zh-CN" w:bidi="ar"/>
        </w:rPr>
        <w:t>投标文件</w:t>
      </w:r>
      <w:r>
        <w:rPr>
          <w:rFonts w:hint="eastAsia" w:ascii="宋体" w:hAnsi="宋体" w:eastAsia="宋体" w:cs="宋体"/>
          <w:b w:val="0"/>
          <w:bCs w:val="0"/>
          <w:color w:val="auto"/>
          <w:kern w:val="0"/>
          <w:sz w:val="24"/>
          <w:szCs w:val="24"/>
          <w:highlight w:val="none"/>
          <w:lang w:val="en-US" w:eastAsia="zh-CN" w:bidi="ar"/>
        </w:rPr>
        <w:t xml:space="preserve">的递交 </w:t>
      </w:r>
    </w:p>
    <w:p w14:paraId="02352426">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kern w:val="0"/>
          <w:sz w:val="24"/>
          <w:szCs w:val="24"/>
          <w:highlight w:val="yellow"/>
          <w:lang w:val="en-US" w:eastAsia="zh-CN" w:bidi="ar"/>
        </w:rPr>
        <w:t>递交截止时间：20</w:t>
      </w:r>
      <w:r>
        <w:rPr>
          <w:rFonts w:hint="eastAsia" w:ascii="宋体" w:hAnsi="宋体" w:cs="宋体"/>
          <w:b w:val="0"/>
          <w:bCs w:val="0"/>
          <w:color w:val="auto"/>
          <w:kern w:val="0"/>
          <w:sz w:val="24"/>
          <w:szCs w:val="24"/>
          <w:highlight w:val="yellow"/>
          <w:lang w:val="en-US" w:eastAsia="zh-CN" w:bidi="ar"/>
        </w:rPr>
        <w:t>25</w:t>
      </w:r>
      <w:r>
        <w:rPr>
          <w:rFonts w:hint="eastAsia" w:ascii="宋体" w:hAnsi="宋体" w:eastAsia="宋体" w:cs="宋体"/>
          <w:b w:val="0"/>
          <w:bCs w:val="0"/>
          <w:color w:val="auto"/>
          <w:kern w:val="0"/>
          <w:sz w:val="24"/>
          <w:szCs w:val="24"/>
          <w:highlight w:val="yellow"/>
          <w:lang w:val="en-US" w:eastAsia="zh-CN" w:bidi="ar"/>
        </w:rPr>
        <w:t xml:space="preserve"> 年</w:t>
      </w:r>
      <w:r>
        <w:rPr>
          <w:rFonts w:hint="eastAsia" w:ascii="宋体" w:hAnsi="宋体" w:cs="宋体"/>
          <w:b w:val="0"/>
          <w:bCs w:val="0"/>
          <w:color w:val="auto"/>
          <w:kern w:val="0"/>
          <w:sz w:val="24"/>
          <w:szCs w:val="24"/>
          <w:highlight w:val="yellow"/>
          <w:lang w:val="en-US" w:eastAsia="zh-CN" w:bidi="ar"/>
        </w:rPr>
        <w:t>7</w:t>
      </w:r>
      <w:r>
        <w:rPr>
          <w:rFonts w:hint="eastAsia" w:ascii="宋体" w:hAnsi="宋体" w:eastAsia="宋体" w:cs="宋体"/>
          <w:b w:val="0"/>
          <w:bCs w:val="0"/>
          <w:color w:val="auto"/>
          <w:kern w:val="0"/>
          <w:sz w:val="24"/>
          <w:szCs w:val="24"/>
          <w:highlight w:val="yellow"/>
          <w:lang w:val="en-US" w:eastAsia="zh-CN" w:bidi="ar"/>
        </w:rPr>
        <w:t>月</w:t>
      </w:r>
      <w:r>
        <w:rPr>
          <w:rFonts w:hint="eastAsia" w:ascii="宋体" w:hAnsi="宋体" w:cs="宋体"/>
          <w:b w:val="0"/>
          <w:bCs w:val="0"/>
          <w:color w:val="auto"/>
          <w:kern w:val="0"/>
          <w:sz w:val="24"/>
          <w:szCs w:val="24"/>
          <w:highlight w:val="yellow"/>
          <w:lang w:val="en-US" w:eastAsia="zh-CN" w:bidi="ar"/>
        </w:rPr>
        <w:t xml:space="preserve"> 21 </w:t>
      </w:r>
      <w:r>
        <w:rPr>
          <w:rFonts w:hint="eastAsia" w:ascii="宋体" w:hAnsi="宋体" w:eastAsia="宋体" w:cs="宋体"/>
          <w:b w:val="0"/>
          <w:bCs w:val="0"/>
          <w:color w:val="auto"/>
          <w:kern w:val="0"/>
          <w:sz w:val="24"/>
          <w:szCs w:val="24"/>
          <w:highlight w:val="yellow"/>
          <w:lang w:val="en-US" w:eastAsia="zh-CN" w:bidi="ar"/>
        </w:rPr>
        <w:t>日</w:t>
      </w:r>
      <w:r>
        <w:rPr>
          <w:rFonts w:hint="eastAsia" w:ascii="宋体" w:hAnsi="宋体" w:cs="宋体"/>
          <w:b w:val="0"/>
          <w:bCs w:val="0"/>
          <w:color w:val="auto"/>
          <w:kern w:val="0"/>
          <w:sz w:val="24"/>
          <w:szCs w:val="24"/>
          <w:highlight w:val="yellow"/>
          <w:lang w:val="en-US" w:eastAsia="zh-CN" w:bidi="ar"/>
        </w:rPr>
        <w:t>11</w:t>
      </w:r>
      <w:r>
        <w:rPr>
          <w:rFonts w:hint="eastAsia" w:ascii="宋体" w:hAnsi="宋体" w:eastAsia="宋体" w:cs="宋体"/>
          <w:b w:val="0"/>
          <w:bCs w:val="0"/>
          <w:color w:val="auto"/>
          <w:kern w:val="0"/>
          <w:sz w:val="24"/>
          <w:szCs w:val="24"/>
          <w:highlight w:val="yellow"/>
          <w:lang w:val="en-US" w:eastAsia="zh-CN" w:bidi="ar"/>
        </w:rPr>
        <w:t>时</w:t>
      </w:r>
      <w:r>
        <w:rPr>
          <w:rFonts w:hint="eastAsia" w:ascii="宋体" w:hAnsi="宋体" w:cs="宋体"/>
          <w:b w:val="0"/>
          <w:bCs w:val="0"/>
          <w:color w:val="auto"/>
          <w:kern w:val="0"/>
          <w:sz w:val="24"/>
          <w:szCs w:val="24"/>
          <w:highlight w:val="yellow"/>
          <w:lang w:val="en-US" w:eastAsia="zh-CN" w:bidi="ar"/>
        </w:rPr>
        <w:t>00</w:t>
      </w:r>
      <w:r>
        <w:rPr>
          <w:rFonts w:hint="eastAsia" w:ascii="宋体" w:hAnsi="宋体" w:eastAsia="宋体" w:cs="宋体"/>
          <w:b w:val="0"/>
          <w:bCs w:val="0"/>
          <w:color w:val="auto"/>
          <w:kern w:val="0"/>
          <w:sz w:val="24"/>
          <w:szCs w:val="24"/>
          <w:highlight w:val="yellow"/>
          <w:lang w:val="en-US" w:eastAsia="zh-CN" w:bidi="ar"/>
        </w:rPr>
        <w:t>分</w:t>
      </w:r>
      <w:r>
        <w:rPr>
          <w:rFonts w:hint="eastAsia" w:ascii="宋体" w:hAnsi="宋体" w:cs="宋体"/>
          <w:b w:val="0"/>
          <w:bCs w:val="0"/>
          <w:color w:val="auto"/>
          <w:kern w:val="0"/>
          <w:sz w:val="24"/>
          <w:szCs w:val="24"/>
          <w:highlight w:val="yellow"/>
          <w:lang w:val="en-US" w:eastAsia="zh-CN" w:bidi="ar"/>
        </w:rPr>
        <w:t>（北京时间）</w:t>
      </w:r>
      <w:r>
        <w:rPr>
          <w:rFonts w:hint="eastAsia" w:ascii="宋体" w:hAnsi="宋体" w:eastAsia="宋体" w:cs="宋体"/>
          <w:b w:val="0"/>
          <w:bCs w:val="0"/>
          <w:color w:val="auto"/>
          <w:kern w:val="0"/>
          <w:sz w:val="24"/>
          <w:szCs w:val="24"/>
          <w:highlight w:val="yellow"/>
          <w:lang w:val="en-US" w:eastAsia="zh-CN" w:bidi="ar"/>
        </w:rPr>
        <w:t xml:space="preserve"> </w:t>
      </w:r>
    </w:p>
    <w:p w14:paraId="4CCEA470">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递交方式：</w:t>
      </w:r>
      <w:r>
        <w:rPr>
          <w:rFonts w:hint="eastAsia" w:ascii="宋体" w:hAnsi="宋体" w:cs="宋体"/>
          <w:b w:val="0"/>
          <w:bCs w:val="0"/>
          <w:color w:val="auto"/>
          <w:kern w:val="0"/>
          <w:sz w:val="24"/>
          <w:szCs w:val="24"/>
          <w:highlight w:val="none"/>
          <w:lang w:val="en-US" w:eastAsia="zh-CN" w:bidi="ar"/>
        </w:rPr>
        <w:t>请登录政采云投标客户端投标</w:t>
      </w:r>
    </w:p>
    <w:p w14:paraId="4F6F16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六、</w:t>
      </w:r>
      <w:r>
        <w:rPr>
          <w:rFonts w:hint="eastAsia" w:ascii="宋体" w:hAnsi="宋体" w:eastAsia="宋体" w:cs="宋体"/>
          <w:b w:val="0"/>
          <w:bCs w:val="0"/>
          <w:color w:val="auto"/>
          <w:kern w:val="0"/>
          <w:sz w:val="24"/>
          <w:szCs w:val="24"/>
          <w:highlight w:val="none"/>
          <w:lang w:val="en-US" w:eastAsia="zh-CN" w:bidi="ar"/>
        </w:rPr>
        <w:t xml:space="preserve">开标时间及地点 </w:t>
      </w:r>
    </w:p>
    <w:p w14:paraId="4FCE4269">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开标时间：</w:t>
      </w:r>
      <w:r>
        <w:rPr>
          <w:rFonts w:hint="eastAsia" w:ascii="宋体" w:hAnsi="宋体" w:eastAsia="宋体" w:cs="宋体"/>
          <w:b w:val="0"/>
          <w:bCs w:val="0"/>
          <w:color w:val="auto"/>
          <w:kern w:val="0"/>
          <w:sz w:val="24"/>
          <w:szCs w:val="24"/>
          <w:highlight w:val="yellow"/>
          <w:lang w:val="en-US" w:eastAsia="zh-CN" w:bidi="ar"/>
        </w:rPr>
        <w:t>20</w:t>
      </w:r>
      <w:r>
        <w:rPr>
          <w:rFonts w:hint="eastAsia" w:ascii="宋体" w:hAnsi="宋体" w:cs="宋体"/>
          <w:b w:val="0"/>
          <w:bCs w:val="0"/>
          <w:color w:val="auto"/>
          <w:kern w:val="0"/>
          <w:sz w:val="24"/>
          <w:szCs w:val="24"/>
          <w:highlight w:val="yellow"/>
          <w:lang w:val="en-US" w:eastAsia="zh-CN" w:bidi="ar"/>
        </w:rPr>
        <w:t>25</w:t>
      </w:r>
      <w:r>
        <w:rPr>
          <w:rFonts w:hint="eastAsia" w:ascii="宋体" w:hAnsi="宋体" w:eastAsia="宋体" w:cs="宋体"/>
          <w:b w:val="0"/>
          <w:bCs w:val="0"/>
          <w:color w:val="auto"/>
          <w:kern w:val="0"/>
          <w:sz w:val="24"/>
          <w:szCs w:val="24"/>
          <w:highlight w:val="yellow"/>
          <w:lang w:val="en-US" w:eastAsia="zh-CN" w:bidi="ar"/>
        </w:rPr>
        <w:t xml:space="preserve"> 年</w:t>
      </w:r>
      <w:r>
        <w:rPr>
          <w:rFonts w:hint="eastAsia" w:ascii="宋体" w:hAnsi="宋体" w:cs="宋体"/>
          <w:b w:val="0"/>
          <w:bCs w:val="0"/>
          <w:color w:val="auto"/>
          <w:kern w:val="0"/>
          <w:sz w:val="24"/>
          <w:szCs w:val="24"/>
          <w:highlight w:val="yellow"/>
          <w:lang w:val="en-US" w:eastAsia="zh-CN" w:bidi="ar"/>
        </w:rPr>
        <w:t>7</w:t>
      </w:r>
      <w:r>
        <w:rPr>
          <w:rFonts w:hint="eastAsia" w:ascii="宋体" w:hAnsi="宋体" w:eastAsia="宋体" w:cs="宋体"/>
          <w:b w:val="0"/>
          <w:bCs w:val="0"/>
          <w:color w:val="auto"/>
          <w:kern w:val="0"/>
          <w:sz w:val="24"/>
          <w:szCs w:val="24"/>
          <w:highlight w:val="yellow"/>
          <w:lang w:val="en-US" w:eastAsia="zh-CN" w:bidi="ar"/>
        </w:rPr>
        <w:t>月</w:t>
      </w:r>
      <w:r>
        <w:rPr>
          <w:rFonts w:hint="eastAsia" w:ascii="宋体" w:hAnsi="宋体" w:cs="宋体"/>
          <w:b w:val="0"/>
          <w:bCs w:val="0"/>
          <w:color w:val="auto"/>
          <w:kern w:val="0"/>
          <w:sz w:val="24"/>
          <w:szCs w:val="24"/>
          <w:highlight w:val="yellow"/>
          <w:lang w:val="en-US" w:eastAsia="zh-CN" w:bidi="ar"/>
        </w:rPr>
        <w:t xml:space="preserve"> 21 </w:t>
      </w:r>
      <w:r>
        <w:rPr>
          <w:rFonts w:hint="eastAsia" w:ascii="宋体" w:hAnsi="宋体" w:eastAsia="宋体" w:cs="宋体"/>
          <w:b w:val="0"/>
          <w:bCs w:val="0"/>
          <w:color w:val="auto"/>
          <w:kern w:val="0"/>
          <w:sz w:val="24"/>
          <w:szCs w:val="24"/>
          <w:highlight w:val="yellow"/>
          <w:lang w:val="en-US" w:eastAsia="zh-CN" w:bidi="ar"/>
        </w:rPr>
        <w:t>日</w:t>
      </w:r>
      <w:r>
        <w:rPr>
          <w:rFonts w:hint="eastAsia" w:ascii="宋体" w:hAnsi="宋体" w:cs="宋体"/>
          <w:b w:val="0"/>
          <w:bCs w:val="0"/>
          <w:color w:val="auto"/>
          <w:kern w:val="0"/>
          <w:sz w:val="24"/>
          <w:szCs w:val="24"/>
          <w:highlight w:val="yellow"/>
          <w:lang w:val="en-US" w:eastAsia="zh-CN" w:bidi="ar"/>
        </w:rPr>
        <w:t>11</w:t>
      </w:r>
      <w:r>
        <w:rPr>
          <w:rFonts w:hint="eastAsia" w:ascii="宋体" w:hAnsi="宋体" w:eastAsia="宋体" w:cs="宋体"/>
          <w:b w:val="0"/>
          <w:bCs w:val="0"/>
          <w:color w:val="auto"/>
          <w:kern w:val="0"/>
          <w:sz w:val="24"/>
          <w:szCs w:val="24"/>
          <w:highlight w:val="yellow"/>
          <w:lang w:val="en-US" w:eastAsia="zh-CN" w:bidi="ar"/>
        </w:rPr>
        <w:t>时</w:t>
      </w:r>
      <w:r>
        <w:rPr>
          <w:rFonts w:hint="eastAsia" w:ascii="宋体" w:hAnsi="宋体" w:cs="宋体"/>
          <w:b w:val="0"/>
          <w:bCs w:val="0"/>
          <w:color w:val="auto"/>
          <w:kern w:val="0"/>
          <w:sz w:val="24"/>
          <w:szCs w:val="24"/>
          <w:highlight w:val="yellow"/>
          <w:lang w:val="en-US" w:eastAsia="zh-CN" w:bidi="ar"/>
        </w:rPr>
        <w:t>00</w:t>
      </w:r>
      <w:r>
        <w:rPr>
          <w:rFonts w:hint="eastAsia" w:ascii="宋体" w:hAnsi="宋体" w:eastAsia="宋体" w:cs="宋体"/>
          <w:b w:val="0"/>
          <w:bCs w:val="0"/>
          <w:color w:val="auto"/>
          <w:kern w:val="0"/>
          <w:sz w:val="24"/>
          <w:szCs w:val="24"/>
          <w:highlight w:val="yellow"/>
          <w:lang w:val="en-US" w:eastAsia="zh-CN" w:bidi="ar"/>
        </w:rPr>
        <w:t>分</w:t>
      </w:r>
      <w:r>
        <w:rPr>
          <w:rFonts w:hint="eastAsia" w:ascii="宋体" w:hAnsi="宋体" w:cs="宋体"/>
          <w:b w:val="0"/>
          <w:bCs w:val="0"/>
          <w:color w:val="auto"/>
          <w:kern w:val="0"/>
          <w:sz w:val="24"/>
          <w:szCs w:val="24"/>
          <w:highlight w:val="yellow"/>
          <w:lang w:val="en-US" w:eastAsia="zh-CN" w:bidi="ar"/>
        </w:rPr>
        <w:t>（北京时间）</w:t>
      </w:r>
    </w:p>
    <w:p w14:paraId="53898756">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开标地点：</w:t>
      </w: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p w14:paraId="1EE63EF3">
      <w:pPr>
        <w:pStyle w:val="11"/>
        <w:ind w:firstLine="720" w:firstLineChars="300"/>
        <w:rPr>
          <w:rFonts w:hint="eastAsia" w:ascii="宋体" w:hAnsi="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评标地点;</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新疆乌鲁木齐高新区（新市区）北京北路3999号阳光恒昌商务公园E座办公楼商务办公3层305号</w:t>
      </w:r>
    </w:p>
    <w:p w14:paraId="6B2D1A40">
      <w:pPr>
        <w:pStyle w:val="21"/>
        <w:rPr>
          <w:rFonts w:hint="eastAsia"/>
          <w:color w:val="auto"/>
          <w:highlight w:val="none"/>
          <w:lang w:val="en-US" w:eastAsia="zh-CN"/>
        </w:rPr>
      </w:pPr>
    </w:p>
    <w:p w14:paraId="37E57FD7">
      <w:pPr>
        <w:pStyle w:val="7"/>
        <w:numPr>
          <w:ilvl w:val="0"/>
          <w:numId w:val="0"/>
        </w:numPr>
        <w:ind w:left="420" w:leftChars="0"/>
        <w:rPr>
          <w:rFonts w:hint="eastAsia"/>
          <w:color w:val="auto"/>
          <w:sz w:val="24"/>
          <w:szCs w:val="24"/>
          <w:highlight w:val="none"/>
        </w:rPr>
      </w:pPr>
      <w:r>
        <w:rPr>
          <w:rFonts w:hint="eastAsia"/>
          <w:color w:val="auto"/>
          <w:sz w:val="24"/>
          <w:szCs w:val="24"/>
          <w:highlight w:val="none"/>
          <w:lang w:val="en-US" w:eastAsia="zh-CN"/>
        </w:rPr>
        <w:t>七、其他</w:t>
      </w:r>
    </w:p>
    <w:p w14:paraId="7AE3F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供货期限：自合同签订之日起15日内完成配送、安装、调试合格或正常使用（含培训）</w:t>
      </w:r>
    </w:p>
    <w:p w14:paraId="106A44EB">
      <w:pPr>
        <w:pStyle w:val="28"/>
        <w:rPr>
          <w:rFonts w:hint="eastAsia"/>
          <w:color w:val="auto"/>
          <w:lang w:val="en-US" w:eastAsia="zh-CN"/>
        </w:rPr>
      </w:pPr>
      <w:r>
        <w:rPr>
          <w:rFonts w:hint="eastAsia"/>
          <w:color w:val="auto"/>
          <w:lang w:val="en-US" w:eastAsia="zh-CN"/>
        </w:rPr>
        <w:t>所属行业：零售业</w:t>
      </w:r>
    </w:p>
    <w:p w14:paraId="45E9258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八、监督部门 </w:t>
      </w:r>
    </w:p>
    <w:p w14:paraId="140C68E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本招标项目的</w:t>
      </w:r>
      <w:r>
        <w:rPr>
          <w:rFonts w:hint="eastAsia" w:ascii="宋体" w:hAnsi="宋体" w:cs="宋体"/>
          <w:b w:val="0"/>
          <w:bCs w:val="0"/>
          <w:color w:val="auto"/>
          <w:kern w:val="0"/>
          <w:sz w:val="24"/>
          <w:szCs w:val="24"/>
          <w:highlight w:val="none"/>
          <w:lang w:val="en-US" w:eastAsia="zh-CN" w:bidi="ar"/>
        </w:rPr>
        <w:t>监督部门：</w:t>
      </w:r>
      <w:r>
        <w:rPr>
          <w:rFonts w:hint="eastAsia" w:ascii="宋体" w:hAnsi="宋体" w:cs="宋体"/>
          <w:b w:val="0"/>
          <w:bCs w:val="0"/>
          <w:color w:val="auto"/>
          <w:kern w:val="0"/>
          <w:sz w:val="24"/>
          <w:szCs w:val="24"/>
          <w:highlight w:val="none"/>
          <w:lang w:val="en-US" w:eastAsia="zh-CN" w:bidi="ar"/>
        </w:rPr>
        <w:t>呼图壁县卫生健康委员会</w:t>
      </w:r>
    </w:p>
    <w:p w14:paraId="4D3691A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九</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备注：</w:t>
      </w:r>
    </w:p>
    <w:p w14:paraId="205AA5E5">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70478232">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本项目实行网上投标，采用加密电子投标文件(供应商须使用CA加密设备通过政采云电子投标客户端制作投标文件)。若供应商参与投标，自行承担投标一切费用。</w:t>
      </w:r>
    </w:p>
    <w:p w14:paraId="3DD84DE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B58CF8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9A70FB7">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供应商在开标时须使用制作加密电子投标文件所使用的CA锁及电脑，电脑须提前配置好浏览器（建议使用谷歌浏览器），以便开标时解锁。</w:t>
      </w:r>
    </w:p>
    <w:p w14:paraId="1ED81550">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6、</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CDD290F">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0C15CEDC">
      <w:pPr>
        <w:pStyle w:val="21"/>
        <w:numPr>
          <w:ilvl w:val="0"/>
          <w:numId w:val="0"/>
        </w:numPr>
        <w:ind w:leftChars="0" w:firstLine="480" w:firstLineChars="200"/>
        <w:rPr>
          <w:rFonts w:hint="default"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b w:val="0"/>
          <w:bCs w:val="0"/>
          <w:color w:val="auto"/>
          <w:kern w:val="0"/>
          <w:sz w:val="24"/>
          <w:szCs w:val="24"/>
          <w:highlight w:val="none"/>
          <w:lang w:val="en-US" w:eastAsia="zh-CN" w:bidi="ar"/>
        </w:rPr>
        <w:t>本项目专门面向中小企业</w:t>
      </w:r>
      <w:r>
        <w:rPr>
          <w:rFonts w:hint="eastAsia" w:ascii="宋体" w:hAnsi="宋体" w:eastAsia="宋体" w:cs="宋体"/>
          <w:b w:val="0"/>
          <w:bCs w:val="0"/>
          <w:color w:val="auto"/>
          <w:kern w:val="0"/>
          <w:sz w:val="24"/>
          <w:szCs w:val="24"/>
          <w:highlight w:val="none"/>
          <w:lang w:val="en-US" w:eastAsia="zh-CN" w:bidi="ar"/>
        </w:rPr>
        <w:t>。</w:t>
      </w:r>
    </w:p>
    <w:p w14:paraId="2C7C96B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auto"/>
          <w:kern w:val="0"/>
          <w:sz w:val="24"/>
          <w:szCs w:val="24"/>
          <w:highlight w:val="none"/>
          <w:lang w:val="en-US" w:eastAsia="zh-CN" w:bidi="ar"/>
        </w:rPr>
      </w:pPr>
    </w:p>
    <w:p w14:paraId="4B76CEA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十</w:t>
      </w:r>
      <w:r>
        <w:rPr>
          <w:rFonts w:hint="eastAsia" w:ascii="宋体" w:hAnsi="宋体" w:eastAsia="宋体" w:cs="宋体"/>
          <w:b w:val="0"/>
          <w:bCs w:val="0"/>
          <w:color w:val="auto"/>
          <w:kern w:val="0"/>
          <w:sz w:val="24"/>
          <w:szCs w:val="24"/>
          <w:highlight w:val="none"/>
          <w:lang w:val="en-US" w:eastAsia="zh-CN" w:bidi="ar"/>
        </w:rPr>
        <w:t xml:space="preserve">、联系方式 </w:t>
      </w:r>
    </w:p>
    <w:p w14:paraId="52D42BCF">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招 标 人：</w:t>
      </w:r>
      <w:r>
        <w:rPr>
          <w:rFonts w:hint="eastAsia" w:ascii="宋体" w:hAnsi="宋体" w:cs="宋体"/>
          <w:b w:val="0"/>
          <w:bCs w:val="0"/>
          <w:color w:val="auto"/>
          <w:kern w:val="0"/>
          <w:sz w:val="24"/>
          <w:szCs w:val="24"/>
          <w:highlight w:val="none"/>
          <w:lang w:val="en-US" w:eastAsia="zh-CN" w:bidi="ar"/>
        </w:rPr>
        <w:t>呼图壁县卫生健康委员会</w:t>
      </w:r>
      <w:r>
        <w:rPr>
          <w:rFonts w:hint="eastAsia" w:ascii="宋体" w:hAnsi="宋体" w:eastAsia="宋体" w:cs="宋体"/>
          <w:b w:val="0"/>
          <w:bCs w:val="0"/>
          <w:color w:val="auto"/>
          <w:kern w:val="0"/>
          <w:sz w:val="24"/>
          <w:szCs w:val="24"/>
          <w:highlight w:val="none"/>
          <w:lang w:val="en-US" w:eastAsia="zh-CN" w:bidi="ar"/>
        </w:rPr>
        <w:t xml:space="preserve"> </w:t>
      </w:r>
    </w:p>
    <w:p w14:paraId="3B7E375E">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地 址：</w:t>
      </w:r>
      <w:r>
        <w:rPr>
          <w:rFonts w:hint="eastAsia" w:ascii="宋体" w:hAnsi="宋体" w:cs="宋体"/>
          <w:b w:val="0"/>
          <w:bCs w:val="0"/>
          <w:color w:val="auto"/>
          <w:kern w:val="0"/>
          <w:sz w:val="24"/>
          <w:szCs w:val="24"/>
          <w:highlight w:val="none"/>
          <w:lang w:val="en-US" w:eastAsia="zh-CN" w:bidi="ar"/>
        </w:rPr>
        <w:t>呼图壁县东风大街40号</w:t>
      </w:r>
    </w:p>
    <w:p w14:paraId="55F520A9">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联 系 人：</w:t>
      </w:r>
      <w:r>
        <w:rPr>
          <w:rFonts w:hint="eastAsia" w:ascii="宋体" w:hAnsi="宋体" w:cs="宋体"/>
          <w:b w:val="0"/>
          <w:bCs w:val="0"/>
          <w:color w:val="auto"/>
          <w:kern w:val="0"/>
          <w:sz w:val="24"/>
          <w:szCs w:val="24"/>
          <w:highlight w:val="none"/>
          <w:lang w:val="en-US" w:eastAsia="zh-CN" w:bidi="ar"/>
        </w:rPr>
        <w:t>高志栋</w:t>
      </w:r>
    </w:p>
    <w:p w14:paraId="62D577BC">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宋体" w:hAnsi="宋体" w:cs="宋体"/>
          <w:b w:val="0"/>
          <w:bCs w:val="0"/>
          <w:color w:val="auto"/>
          <w:kern w:val="0"/>
          <w:sz w:val="24"/>
          <w:szCs w:val="24"/>
          <w:highlight w:val="none"/>
          <w:lang w:val="en-US" w:eastAsia="zh-CN" w:bidi="ar"/>
        </w:rPr>
        <w:t>15909943488</w:t>
      </w:r>
    </w:p>
    <w:p w14:paraId="4E33A8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p>
    <w:p w14:paraId="5924FE4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招标代理机构：新疆诚信达招标代理有限责任公司 </w:t>
      </w:r>
    </w:p>
    <w:p w14:paraId="20B3CD1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地 址： </w:t>
      </w:r>
      <w:r>
        <w:rPr>
          <w:rFonts w:hint="eastAsia" w:ascii="宋体" w:hAnsi="宋体" w:cs="宋体"/>
          <w:b w:val="0"/>
          <w:bCs w:val="0"/>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b w:val="0"/>
          <w:bCs w:val="0"/>
          <w:color w:val="auto"/>
          <w:kern w:val="0"/>
          <w:sz w:val="24"/>
          <w:szCs w:val="24"/>
          <w:highlight w:val="none"/>
          <w:lang w:val="en-US" w:eastAsia="zh-CN" w:bidi="ar"/>
        </w:rPr>
        <w:t xml:space="preserve"> </w:t>
      </w:r>
    </w:p>
    <w:p w14:paraId="7CF9783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联 系 人： </w:t>
      </w:r>
      <w:r>
        <w:rPr>
          <w:rFonts w:hint="eastAsia" w:ascii="宋体" w:hAnsi="宋体" w:cs="宋体"/>
          <w:b w:val="0"/>
          <w:bCs w:val="0"/>
          <w:color w:val="auto"/>
          <w:kern w:val="0"/>
          <w:sz w:val="24"/>
          <w:szCs w:val="24"/>
          <w:highlight w:val="none"/>
          <w:lang w:val="en-US" w:eastAsia="zh-CN" w:bidi="ar"/>
        </w:rPr>
        <w:t>赵女士</w:t>
      </w:r>
      <w:r>
        <w:rPr>
          <w:rFonts w:hint="eastAsia" w:ascii="宋体" w:hAnsi="宋体" w:eastAsia="宋体" w:cs="宋体"/>
          <w:b w:val="0"/>
          <w:bCs w:val="0"/>
          <w:color w:val="auto"/>
          <w:kern w:val="0"/>
          <w:sz w:val="24"/>
          <w:szCs w:val="24"/>
          <w:highlight w:val="none"/>
          <w:lang w:val="en-US" w:eastAsia="zh-CN" w:bidi="ar"/>
        </w:rPr>
        <w:t xml:space="preserve"> </w:t>
      </w:r>
    </w:p>
    <w:p w14:paraId="0C9E688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宋体" w:hAnsi="宋体" w:cs="宋体"/>
          <w:b w:val="0"/>
          <w:bCs w:val="0"/>
          <w:color w:val="auto"/>
          <w:kern w:val="0"/>
          <w:sz w:val="24"/>
          <w:szCs w:val="24"/>
          <w:highlight w:val="none"/>
          <w:lang w:val="en-US" w:eastAsia="zh-CN" w:bidi="ar"/>
        </w:rPr>
        <w:t>13325589432</w:t>
      </w:r>
    </w:p>
    <w:p w14:paraId="74B6EC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
        </w:rPr>
        <w:t>电子邮件：</w:t>
      </w:r>
      <w:r>
        <w:rPr>
          <w:rFonts w:hint="eastAsia" w:ascii="宋体" w:hAnsi="宋体" w:eastAsia="宋体" w:cs="宋体"/>
          <w:b w:val="0"/>
          <w:bCs w:val="0"/>
          <w:color w:val="auto"/>
          <w:kern w:val="0"/>
          <w:sz w:val="24"/>
          <w:szCs w:val="24"/>
          <w:highlight w:val="none"/>
          <w:u w:val="none"/>
          <w:lang w:val="en-US" w:eastAsia="zh-CN" w:bidi="ar"/>
        </w:rPr>
        <w:t xml:space="preserve"> </w:t>
      </w:r>
      <w:r>
        <w:rPr>
          <w:rFonts w:hint="eastAsia" w:ascii="宋体" w:hAnsi="宋体" w:eastAsia="宋体" w:cs="宋体"/>
          <w:b w:val="0"/>
          <w:bCs w:val="0"/>
          <w:color w:val="auto"/>
          <w:kern w:val="0"/>
          <w:sz w:val="24"/>
          <w:szCs w:val="24"/>
          <w:highlight w:val="none"/>
          <w:u w:val="none"/>
          <w:lang w:val="en-US" w:eastAsia="zh-CN" w:bidi="ar"/>
        </w:rPr>
        <w:fldChar w:fldCharType="begin"/>
      </w:r>
      <w:r>
        <w:rPr>
          <w:rFonts w:hint="eastAsia" w:ascii="宋体" w:hAnsi="宋体" w:eastAsia="宋体" w:cs="宋体"/>
          <w:b w:val="0"/>
          <w:bCs w:val="0"/>
          <w:color w:val="auto"/>
          <w:kern w:val="0"/>
          <w:sz w:val="24"/>
          <w:szCs w:val="24"/>
          <w:highlight w:val="none"/>
          <w:u w:val="none"/>
          <w:lang w:val="en-US" w:eastAsia="zh-CN" w:bidi="ar"/>
        </w:rPr>
        <w:instrText xml:space="preserve"> HYPERLINK "mailto:2957670019@qq.com" </w:instrText>
      </w:r>
      <w:r>
        <w:rPr>
          <w:rFonts w:hint="eastAsia" w:ascii="宋体" w:hAnsi="宋体" w:eastAsia="宋体" w:cs="宋体"/>
          <w:b w:val="0"/>
          <w:bCs w:val="0"/>
          <w:color w:val="auto"/>
          <w:kern w:val="0"/>
          <w:sz w:val="24"/>
          <w:szCs w:val="24"/>
          <w:highlight w:val="none"/>
          <w:u w:val="none"/>
          <w:lang w:val="en-US" w:eastAsia="zh-CN" w:bidi="ar"/>
        </w:rPr>
        <w:fldChar w:fldCharType="separate"/>
      </w:r>
      <w:r>
        <w:rPr>
          <w:rStyle w:val="27"/>
          <w:rFonts w:hint="eastAsia" w:ascii="宋体" w:hAnsi="宋体" w:eastAsia="宋体" w:cs="宋体"/>
          <w:b w:val="0"/>
          <w:bCs w:val="0"/>
          <w:color w:val="auto"/>
          <w:kern w:val="0"/>
          <w:sz w:val="24"/>
          <w:szCs w:val="24"/>
          <w:highlight w:val="none"/>
          <w:u w:val="none"/>
          <w:lang w:val="en-US" w:eastAsia="zh-CN" w:bidi="ar"/>
        </w:rPr>
        <w:t>2957670019@qq.com</w:t>
      </w:r>
      <w:r>
        <w:rPr>
          <w:rFonts w:hint="eastAsia" w:ascii="宋体" w:hAnsi="宋体" w:eastAsia="宋体" w:cs="宋体"/>
          <w:b w:val="0"/>
          <w:bCs w:val="0"/>
          <w:color w:val="auto"/>
          <w:kern w:val="0"/>
          <w:sz w:val="24"/>
          <w:szCs w:val="24"/>
          <w:highlight w:val="none"/>
          <w:u w:val="none"/>
          <w:lang w:val="en-US" w:eastAsia="zh-CN" w:bidi="ar"/>
        </w:rPr>
        <w:fldChar w:fldCharType="end"/>
      </w:r>
    </w:p>
    <w:p w14:paraId="16E212C9">
      <w:pPr>
        <w:pStyle w:val="7"/>
        <w:jc w:val="both"/>
        <w:rPr>
          <w:rFonts w:hint="eastAsia"/>
          <w:color w:val="auto"/>
          <w:highlight w:val="none"/>
          <w:lang w:val="en-US" w:eastAsia="zh-CN"/>
        </w:rPr>
      </w:pPr>
    </w:p>
    <w:p w14:paraId="232851EE">
      <w:pPr>
        <w:rPr>
          <w:rFonts w:hint="eastAsia"/>
          <w:color w:val="auto"/>
          <w:highlight w:val="none"/>
          <w:lang w:val="en-US" w:eastAsia="zh-CN"/>
        </w:rPr>
      </w:pPr>
    </w:p>
    <w:p w14:paraId="6FD2316F">
      <w:pPr>
        <w:rPr>
          <w:rFonts w:hint="eastAsia"/>
          <w:color w:val="auto"/>
          <w:highlight w:val="none"/>
          <w:lang w:val="en-US" w:eastAsia="zh-CN"/>
        </w:rPr>
      </w:pPr>
    </w:p>
    <w:p w14:paraId="21C98939">
      <w:pPr>
        <w:pStyle w:val="7"/>
        <w:rPr>
          <w:rFonts w:hint="eastAsia"/>
          <w:color w:val="auto"/>
          <w:highlight w:val="none"/>
          <w:lang w:val="en-US" w:eastAsia="zh-CN"/>
        </w:rPr>
      </w:pPr>
    </w:p>
    <w:p w14:paraId="685ADE15">
      <w:pPr>
        <w:rPr>
          <w:rFonts w:hint="eastAsia"/>
          <w:color w:val="auto"/>
          <w:highlight w:val="none"/>
          <w:lang w:val="en-US" w:eastAsia="zh-CN"/>
        </w:rPr>
      </w:pPr>
    </w:p>
    <w:p w14:paraId="160D7BE9">
      <w:pPr>
        <w:rPr>
          <w:rFonts w:hint="eastAsia"/>
          <w:color w:val="auto"/>
          <w:highlight w:val="none"/>
          <w:lang w:val="en-US" w:eastAsia="zh-CN"/>
        </w:rPr>
      </w:pPr>
    </w:p>
    <w:p w14:paraId="769AF97D">
      <w:pPr>
        <w:rPr>
          <w:rFonts w:hint="eastAsia"/>
          <w:color w:val="auto"/>
          <w:highlight w:val="none"/>
          <w:lang w:val="en-US" w:eastAsia="zh-CN"/>
        </w:rPr>
      </w:pPr>
    </w:p>
    <w:p w14:paraId="44F59F31">
      <w:pPr>
        <w:rPr>
          <w:rFonts w:hint="eastAsia"/>
          <w:color w:val="auto"/>
          <w:highlight w:val="none"/>
          <w:lang w:val="en-US" w:eastAsia="zh-CN"/>
        </w:rPr>
      </w:pPr>
    </w:p>
    <w:p w14:paraId="59AF3E19">
      <w:pPr>
        <w:rPr>
          <w:rFonts w:hint="eastAsia"/>
          <w:color w:val="auto"/>
          <w:highlight w:val="none"/>
          <w:lang w:val="en-US" w:eastAsia="zh-CN"/>
        </w:rPr>
      </w:pPr>
    </w:p>
    <w:p w14:paraId="73D4D980">
      <w:pPr>
        <w:pStyle w:val="29"/>
        <w:rPr>
          <w:rFonts w:hint="eastAsia" w:ascii="宋体" w:hAnsi="宋体" w:eastAsia="宋体" w:cs="宋体"/>
          <w:color w:val="auto"/>
          <w:kern w:val="0"/>
          <w:sz w:val="24"/>
          <w:szCs w:val="24"/>
          <w:highlight w:val="none"/>
          <w:u w:val="none"/>
          <w:lang w:val="en-US" w:eastAsia="zh-CN" w:bidi="ar"/>
        </w:rPr>
      </w:pPr>
    </w:p>
    <w:p w14:paraId="7FC06A1D">
      <w:pPr>
        <w:pStyle w:val="32"/>
        <w:spacing w:line="440"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lang w:val="en-US" w:eastAsia="zh-CN"/>
        </w:rPr>
        <w:t>第一部分</w:t>
      </w:r>
      <w:r>
        <w:rPr>
          <w:rFonts w:ascii="宋体" w:hAnsi="宋体"/>
          <w:b/>
          <w:color w:val="auto"/>
          <w:kern w:val="2"/>
          <w:sz w:val="36"/>
          <w:szCs w:val="36"/>
          <w:highlight w:val="none"/>
        </w:rPr>
        <w:t xml:space="preserve"> </w:t>
      </w:r>
      <w:r>
        <w:rPr>
          <w:rFonts w:hint="eastAsia" w:ascii="宋体" w:hAnsi="宋体"/>
          <w:b/>
          <w:color w:val="auto"/>
          <w:kern w:val="2"/>
          <w:sz w:val="36"/>
          <w:szCs w:val="36"/>
          <w:highlight w:val="none"/>
        </w:rPr>
        <w:t>投标</w:t>
      </w:r>
      <w:r>
        <w:rPr>
          <w:rFonts w:hint="eastAsia" w:ascii="宋体" w:hAnsi="宋体"/>
          <w:b/>
          <w:color w:val="auto"/>
          <w:kern w:val="2"/>
          <w:sz w:val="36"/>
          <w:szCs w:val="36"/>
          <w:highlight w:val="none"/>
          <w:lang w:val="en-US" w:eastAsia="zh-CN"/>
        </w:rPr>
        <w:t>人</w:t>
      </w:r>
      <w:r>
        <w:rPr>
          <w:rFonts w:hint="eastAsia" w:ascii="宋体" w:hAnsi="宋体"/>
          <w:b/>
          <w:color w:val="auto"/>
          <w:kern w:val="2"/>
          <w:sz w:val="36"/>
          <w:szCs w:val="36"/>
          <w:highlight w:val="none"/>
        </w:rPr>
        <w:t>须知</w:t>
      </w:r>
      <w:r>
        <w:rPr>
          <w:rFonts w:hint="eastAsia" w:ascii="宋体" w:hAnsi="宋体"/>
          <w:b/>
          <w:color w:val="auto"/>
          <w:kern w:val="2"/>
          <w:sz w:val="36"/>
          <w:szCs w:val="36"/>
          <w:highlight w:val="none"/>
          <w:lang w:val="en-US" w:eastAsia="zh-CN"/>
        </w:rPr>
        <w:t>前附表</w:t>
      </w:r>
    </w:p>
    <w:tbl>
      <w:tblPr>
        <w:tblStyle w:val="23"/>
        <w:tblpPr w:leftFromText="180" w:rightFromText="180" w:vertAnchor="text" w:horzAnchor="page" w:tblpX="742" w:tblpY="443"/>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4"/>
        <w:gridCol w:w="8287"/>
      </w:tblGrid>
      <w:tr w14:paraId="08CF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509" w:type="dxa"/>
            <w:noWrap w:val="0"/>
            <w:vAlign w:val="center"/>
          </w:tcPr>
          <w:p w14:paraId="727EAA5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bookmarkStart w:id="1" w:name="_Toc349637920"/>
            <w:bookmarkStart w:id="2" w:name="_Toc21924"/>
            <w:bookmarkStart w:id="3" w:name="_Toc267301282"/>
            <w:bookmarkStart w:id="4" w:name="_Toc349573121"/>
            <w:bookmarkStart w:id="5" w:name="_Toc356488102"/>
            <w:bookmarkStart w:id="6" w:name="_Toc298240405"/>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1554" w:type="dxa"/>
            <w:noWrap w:val="0"/>
            <w:vAlign w:val="center"/>
          </w:tcPr>
          <w:p w14:paraId="2922FD0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8287" w:type="dxa"/>
            <w:noWrap w:val="0"/>
            <w:vAlign w:val="center"/>
          </w:tcPr>
          <w:p w14:paraId="223AD4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内容</w:t>
            </w:r>
          </w:p>
        </w:tc>
      </w:tr>
      <w:tr w14:paraId="61CB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454F25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554" w:type="dxa"/>
            <w:noWrap w:val="0"/>
            <w:vAlign w:val="center"/>
          </w:tcPr>
          <w:p w14:paraId="3C7DCB7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项目名称</w:t>
            </w:r>
          </w:p>
        </w:tc>
        <w:tc>
          <w:tcPr>
            <w:tcW w:w="8287" w:type="dxa"/>
            <w:noWrap w:val="0"/>
            <w:vAlign w:val="center"/>
          </w:tcPr>
          <w:p w14:paraId="4A87B6A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呼图壁基层医疗卫生机构服务能力提升项目</w:t>
            </w:r>
          </w:p>
        </w:tc>
      </w:tr>
      <w:tr w14:paraId="7BF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577AACC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1554" w:type="dxa"/>
            <w:noWrap w:val="0"/>
            <w:vAlign w:val="center"/>
          </w:tcPr>
          <w:p w14:paraId="3242BE1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项目编号</w:t>
            </w:r>
          </w:p>
        </w:tc>
        <w:tc>
          <w:tcPr>
            <w:tcW w:w="8287" w:type="dxa"/>
            <w:noWrap w:val="0"/>
            <w:vAlign w:val="center"/>
          </w:tcPr>
          <w:p w14:paraId="1ECDD441">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XJCXD-2025-013</w:t>
            </w:r>
          </w:p>
        </w:tc>
      </w:tr>
      <w:tr w14:paraId="25D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3E8F8FD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554" w:type="dxa"/>
            <w:noWrap w:val="0"/>
            <w:vAlign w:val="center"/>
          </w:tcPr>
          <w:p w14:paraId="54C3E1C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预算金额</w:t>
            </w:r>
          </w:p>
        </w:tc>
        <w:tc>
          <w:tcPr>
            <w:tcW w:w="8287" w:type="dxa"/>
            <w:noWrap w:val="0"/>
            <w:vAlign w:val="center"/>
          </w:tcPr>
          <w:p w14:paraId="76E2285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color w:val="auto"/>
                <w:sz w:val="24"/>
                <w:szCs w:val="24"/>
                <w:highlight w:val="none"/>
                <w:u w:val="none"/>
                <w:lang w:val="en-US" w:eastAsia="zh-CN"/>
              </w:rPr>
              <w:t>100万元</w:t>
            </w:r>
            <w:r>
              <w:rPr>
                <w:rFonts w:hint="eastAsia" w:ascii="宋体" w:hAnsi="宋体" w:eastAsia="宋体" w:cs="宋体"/>
                <w:b w:val="0"/>
                <w:bCs/>
                <w:i w:val="0"/>
                <w:iCs w:val="0"/>
                <w:color w:val="auto"/>
                <w:kern w:val="0"/>
                <w:sz w:val="24"/>
                <w:szCs w:val="24"/>
                <w:highlight w:val="none"/>
                <w:u w:val="none"/>
                <w:lang w:val="en-US" w:eastAsia="zh-CN" w:bidi="ar"/>
              </w:rPr>
              <w:t>（大写：</w:t>
            </w:r>
            <w:r>
              <w:rPr>
                <w:rFonts w:hint="eastAsia" w:ascii="宋体" w:hAnsi="宋体" w:cs="宋体"/>
                <w:b w:val="0"/>
                <w:bCs/>
                <w:i w:val="0"/>
                <w:iCs w:val="0"/>
                <w:color w:val="auto"/>
                <w:kern w:val="0"/>
                <w:sz w:val="24"/>
                <w:szCs w:val="24"/>
                <w:highlight w:val="none"/>
                <w:u w:val="none"/>
                <w:lang w:val="en-US" w:eastAsia="zh-CN" w:bidi="ar"/>
              </w:rPr>
              <w:t>壹佰万元整</w:t>
            </w:r>
            <w:r>
              <w:rPr>
                <w:rFonts w:hint="eastAsia" w:ascii="宋体" w:hAnsi="宋体" w:eastAsia="宋体" w:cs="宋体"/>
                <w:b w:val="0"/>
                <w:bCs/>
                <w:i w:val="0"/>
                <w:iCs w:val="0"/>
                <w:color w:val="auto"/>
                <w:kern w:val="0"/>
                <w:sz w:val="24"/>
                <w:szCs w:val="24"/>
                <w:highlight w:val="none"/>
                <w:u w:val="none"/>
                <w:lang w:val="en-US" w:eastAsia="zh-CN" w:bidi="ar"/>
              </w:rPr>
              <w:t>）</w:t>
            </w:r>
          </w:p>
        </w:tc>
      </w:tr>
      <w:tr w14:paraId="340A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6575706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1554" w:type="dxa"/>
            <w:noWrap w:val="0"/>
            <w:vAlign w:val="center"/>
          </w:tcPr>
          <w:p w14:paraId="1E10C10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资金来源</w:t>
            </w:r>
          </w:p>
        </w:tc>
        <w:tc>
          <w:tcPr>
            <w:tcW w:w="8287" w:type="dxa"/>
            <w:noWrap w:val="0"/>
            <w:vAlign w:val="center"/>
          </w:tcPr>
          <w:p w14:paraId="1585733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援疆资金</w:t>
            </w:r>
          </w:p>
        </w:tc>
      </w:tr>
      <w:tr w14:paraId="7DC6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restart"/>
            <w:noWrap w:val="0"/>
            <w:vAlign w:val="center"/>
          </w:tcPr>
          <w:p w14:paraId="57E091E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1554" w:type="dxa"/>
            <w:vMerge w:val="restart"/>
            <w:noWrap w:val="0"/>
            <w:vAlign w:val="center"/>
          </w:tcPr>
          <w:p w14:paraId="0697192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招标人联系方式</w:t>
            </w:r>
          </w:p>
        </w:tc>
        <w:tc>
          <w:tcPr>
            <w:tcW w:w="8287" w:type="dxa"/>
            <w:noWrap w:val="0"/>
            <w:vAlign w:val="center"/>
          </w:tcPr>
          <w:p w14:paraId="4F36DEA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单位：</w:t>
            </w:r>
            <w:r>
              <w:rPr>
                <w:rFonts w:hint="eastAsia" w:ascii="宋体" w:hAnsi="宋体" w:cs="宋体"/>
                <w:b w:val="0"/>
                <w:bCs/>
                <w:color w:val="auto"/>
                <w:sz w:val="24"/>
                <w:szCs w:val="24"/>
                <w:highlight w:val="none"/>
                <w:u w:val="none"/>
                <w:lang w:val="en-US" w:eastAsia="zh-CN"/>
              </w:rPr>
              <w:t>呼图壁县卫生健康委员会</w:t>
            </w:r>
          </w:p>
        </w:tc>
      </w:tr>
      <w:tr w14:paraId="7AE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9" w:type="dxa"/>
            <w:vMerge w:val="continue"/>
            <w:noWrap w:val="0"/>
            <w:vAlign w:val="center"/>
          </w:tcPr>
          <w:p w14:paraId="248B6657">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5E8BAF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AB385D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color w:val="auto"/>
                <w:sz w:val="24"/>
                <w:szCs w:val="24"/>
                <w:highlight w:val="none"/>
                <w:lang w:val="en-US" w:eastAsia="zh-CN"/>
              </w:rPr>
              <w:t>高志栋</w:t>
            </w:r>
          </w:p>
        </w:tc>
      </w:tr>
      <w:tr w14:paraId="5825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1546518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424AE1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4E3F7E2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Fonts w:hint="eastAsia" w:ascii="宋体" w:hAnsi="宋体" w:cs="宋体"/>
                <w:b w:val="0"/>
                <w:bCs/>
                <w:color w:val="auto"/>
                <w:sz w:val="24"/>
                <w:szCs w:val="24"/>
                <w:highlight w:val="none"/>
                <w:lang w:val="en-US" w:eastAsia="zh-CN"/>
              </w:rPr>
              <w:t>15276822527</w:t>
            </w:r>
          </w:p>
        </w:tc>
      </w:tr>
      <w:tr w14:paraId="690C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 w:type="dxa"/>
            <w:vMerge w:val="restart"/>
            <w:noWrap w:val="0"/>
            <w:vAlign w:val="center"/>
          </w:tcPr>
          <w:p w14:paraId="191ECB6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1554" w:type="dxa"/>
            <w:vMerge w:val="restart"/>
            <w:noWrap w:val="0"/>
            <w:vAlign w:val="center"/>
          </w:tcPr>
          <w:p w14:paraId="0C53CEE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代理机构联系方式</w:t>
            </w:r>
          </w:p>
        </w:tc>
        <w:tc>
          <w:tcPr>
            <w:tcW w:w="8287" w:type="dxa"/>
            <w:noWrap w:val="0"/>
            <w:vAlign w:val="center"/>
          </w:tcPr>
          <w:p w14:paraId="4181790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新疆诚信达招标代理有限责任公司</w:t>
            </w:r>
          </w:p>
        </w:tc>
      </w:tr>
      <w:tr w14:paraId="1631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9" w:type="dxa"/>
            <w:vMerge w:val="continue"/>
            <w:noWrap w:val="0"/>
            <w:vAlign w:val="center"/>
          </w:tcPr>
          <w:p w14:paraId="43B7082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9823899">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F65400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i w:val="0"/>
                <w:iCs w:val="0"/>
                <w:color w:val="auto"/>
                <w:kern w:val="0"/>
                <w:sz w:val="24"/>
                <w:szCs w:val="24"/>
                <w:highlight w:val="none"/>
                <w:u w:val="none"/>
                <w:lang w:val="en-US" w:eastAsia="zh-CN" w:bidi="ar"/>
              </w:rPr>
              <w:t>赵女士</w:t>
            </w:r>
          </w:p>
        </w:tc>
      </w:tr>
      <w:tr w14:paraId="49E2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6E0F519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34EBF5C">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ABF720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7"/>
                <w:rFonts w:hint="eastAsia" w:ascii="宋体" w:hAnsi="宋体" w:cs="宋体"/>
                <w:b w:val="0"/>
                <w:bCs/>
                <w:color w:val="auto"/>
                <w:sz w:val="24"/>
                <w:szCs w:val="24"/>
                <w:highlight w:val="none"/>
                <w:lang w:val="en-US" w:eastAsia="zh-CN" w:bidi="ar"/>
              </w:rPr>
              <w:t>13325589432</w:t>
            </w:r>
          </w:p>
        </w:tc>
      </w:tr>
      <w:tr w14:paraId="6985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vMerge w:val="continue"/>
            <w:noWrap w:val="0"/>
            <w:vAlign w:val="center"/>
          </w:tcPr>
          <w:p w14:paraId="1B84672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C625DD9">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AC78B1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29CB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2D72F9D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7</w:t>
            </w:r>
          </w:p>
        </w:tc>
        <w:tc>
          <w:tcPr>
            <w:tcW w:w="1554" w:type="dxa"/>
            <w:noWrap w:val="0"/>
            <w:vAlign w:val="center"/>
          </w:tcPr>
          <w:p w14:paraId="229151B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投标人资格要求</w:t>
            </w:r>
          </w:p>
        </w:tc>
        <w:tc>
          <w:tcPr>
            <w:tcW w:w="8287" w:type="dxa"/>
            <w:noWrap w:val="0"/>
            <w:vAlign w:val="center"/>
          </w:tcPr>
          <w:p w14:paraId="11BC1F5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E6D405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0ED1635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422DFBE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2CDBD1D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00FA336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71E9379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1751F16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2560F11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4DEBEC40">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3F59AA8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r>
      <w:tr w14:paraId="69DA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9" w:type="dxa"/>
            <w:noWrap/>
            <w:vAlign w:val="center"/>
          </w:tcPr>
          <w:p w14:paraId="42FCDFD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1554" w:type="dxa"/>
            <w:noWrap w:val="0"/>
            <w:vAlign w:val="center"/>
          </w:tcPr>
          <w:p w14:paraId="5208A79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评标方法</w:t>
            </w:r>
          </w:p>
        </w:tc>
        <w:tc>
          <w:tcPr>
            <w:tcW w:w="8287" w:type="dxa"/>
            <w:noWrap w:val="0"/>
            <w:vAlign w:val="center"/>
          </w:tcPr>
          <w:p w14:paraId="6C744B1F">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综合评分法</w:t>
            </w:r>
          </w:p>
        </w:tc>
      </w:tr>
      <w:tr w14:paraId="2C11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109AE01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 xml:space="preserve"> </w:t>
            </w:r>
            <w:r>
              <w:rPr>
                <w:rFonts w:hint="eastAsia" w:ascii="宋体" w:hAnsi="宋体" w:eastAsia="宋体" w:cs="宋体"/>
                <w:b w:val="0"/>
                <w:bCs/>
                <w:i w:val="0"/>
                <w:iCs w:val="0"/>
                <w:color w:val="auto"/>
                <w:kern w:val="0"/>
                <w:sz w:val="24"/>
                <w:szCs w:val="24"/>
                <w:highlight w:val="none"/>
                <w:u w:val="none"/>
                <w:lang w:val="en-US" w:eastAsia="zh-CN" w:bidi="ar"/>
              </w:rPr>
              <w:t>9</w:t>
            </w:r>
          </w:p>
        </w:tc>
        <w:tc>
          <w:tcPr>
            <w:tcW w:w="1554" w:type="dxa"/>
            <w:noWrap w:val="0"/>
            <w:vAlign w:val="center"/>
          </w:tcPr>
          <w:p w14:paraId="6FAF0B2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w:t>
            </w:r>
          </w:p>
        </w:tc>
        <w:tc>
          <w:tcPr>
            <w:tcW w:w="8287" w:type="dxa"/>
            <w:noWrap w:val="0"/>
            <w:vAlign w:val="center"/>
          </w:tcPr>
          <w:p w14:paraId="5774F8AC">
            <w:pPr>
              <w:pStyle w:val="22"/>
              <w:ind w:left="0" w:leftChars="0" w:firstLine="0" w:firstLineChars="0"/>
              <w:rPr>
                <w:rFonts w:hint="default" w:eastAsia="宋体"/>
                <w:color w:val="auto"/>
                <w:highlight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：20000</w:t>
            </w:r>
            <w:r>
              <w:rPr>
                <w:rFonts w:hint="eastAsia" w:ascii="宋体" w:hAnsi="宋体" w:eastAsia="宋体" w:cs="宋体"/>
                <w:b w:val="0"/>
                <w:bCs/>
                <w:i w:val="0"/>
                <w:iCs w:val="0"/>
                <w:color w:val="auto"/>
                <w:kern w:val="0"/>
                <w:sz w:val="24"/>
                <w:szCs w:val="24"/>
                <w:highlight w:val="none"/>
                <w:u w:val="none"/>
                <w:lang w:val="en-US" w:eastAsia="zh-CN" w:bidi="ar"/>
              </w:rPr>
              <w:t>元（大写</w:t>
            </w:r>
            <w:r>
              <w:rPr>
                <w:rFonts w:hint="eastAsia" w:ascii="宋体" w:hAnsi="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贰万</w:t>
            </w:r>
            <w:r>
              <w:rPr>
                <w:rFonts w:hint="eastAsia" w:ascii="宋体" w:hAnsi="宋体" w:eastAsia="宋体" w:cs="宋体"/>
                <w:b w:val="0"/>
                <w:bCs/>
                <w:i w:val="0"/>
                <w:iCs w:val="0"/>
                <w:color w:val="auto"/>
                <w:kern w:val="0"/>
                <w:sz w:val="24"/>
                <w:szCs w:val="24"/>
                <w:highlight w:val="none"/>
                <w:u w:val="none"/>
                <w:lang w:val="en-US" w:eastAsia="zh-CN" w:bidi="ar"/>
              </w:rPr>
              <w:t>元整）</w:t>
            </w:r>
          </w:p>
        </w:tc>
      </w:tr>
      <w:tr w14:paraId="737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2FBF2AB9">
            <w:pPr>
              <w:keepNext w:val="0"/>
              <w:keepLines w:val="0"/>
              <w:widowControl/>
              <w:suppressLineNumbers w:val="0"/>
              <w:jc w:val="center"/>
              <w:textAlignment w:val="center"/>
              <w:rPr>
                <w:rFonts w:hint="default" w:ascii="宋体" w:hAnsi="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10</w:t>
            </w:r>
          </w:p>
        </w:tc>
        <w:tc>
          <w:tcPr>
            <w:tcW w:w="1554" w:type="dxa"/>
            <w:noWrap w:val="0"/>
            <w:vAlign w:val="center"/>
          </w:tcPr>
          <w:p w14:paraId="5F37913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履约保证金</w:t>
            </w:r>
          </w:p>
        </w:tc>
        <w:tc>
          <w:tcPr>
            <w:tcW w:w="8287" w:type="dxa"/>
            <w:noWrap w:val="0"/>
            <w:vAlign w:val="center"/>
          </w:tcPr>
          <w:p w14:paraId="719B868F">
            <w:pPr>
              <w:spacing w:line="276" w:lineRule="auto"/>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olor w:val="auto"/>
                <w:sz w:val="24"/>
                <w:highlight w:val="none"/>
              </w:rPr>
              <w:t>是否</w:t>
            </w:r>
            <w:r>
              <w:rPr>
                <w:rFonts w:ascii="宋体" w:hAnsi="宋体"/>
                <w:color w:val="auto"/>
                <w:sz w:val="24"/>
                <w:highlight w:val="none"/>
              </w:rPr>
              <w:t>提交履约保证金：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r w14:paraId="61E5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restart"/>
            <w:noWrap w:val="0"/>
            <w:vAlign w:val="center"/>
          </w:tcPr>
          <w:p w14:paraId="07D7A84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1</w:t>
            </w:r>
          </w:p>
        </w:tc>
        <w:tc>
          <w:tcPr>
            <w:tcW w:w="1554" w:type="dxa"/>
            <w:vMerge w:val="restart"/>
            <w:noWrap w:val="0"/>
            <w:vAlign w:val="center"/>
          </w:tcPr>
          <w:p w14:paraId="4F1AA2D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相关账号</w:t>
            </w:r>
          </w:p>
        </w:tc>
        <w:tc>
          <w:tcPr>
            <w:tcW w:w="8287" w:type="dxa"/>
            <w:noWrap w:val="0"/>
            <w:vAlign w:val="center"/>
          </w:tcPr>
          <w:p w14:paraId="70A95D0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投标保证金缴纳账号</w:t>
            </w:r>
          </w:p>
        </w:tc>
      </w:tr>
      <w:tr w14:paraId="08A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303E1AF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4497BD8">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098AC7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账户名：新疆诚信达招标代理有限责任公司</w:t>
            </w:r>
          </w:p>
        </w:tc>
      </w:tr>
      <w:tr w14:paraId="778A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continue"/>
            <w:noWrap w:val="0"/>
            <w:vAlign w:val="center"/>
          </w:tcPr>
          <w:p w14:paraId="2D89E45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E83745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5DF908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开户行：招商银行股份有限公司乌鲁木齐苏州路支行</w:t>
            </w:r>
          </w:p>
        </w:tc>
      </w:tr>
      <w:tr w14:paraId="13C6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75739FB9">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8ABF407">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023AE7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帐号：991905775010601</w:t>
            </w:r>
          </w:p>
        </w:tc>
      </w:tr>
      <w:tr w14:paraId="3102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09" w:type="dxa"/>
            <w:vMerge w:val="continue"/>
            <w:noWrap w:val="0"/>
            <w:vAlign w:val="center"/>
          </w:tcPr>
          <w:p w14:paraId="596C0E9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B0863AA">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EC39DF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p>
        </w:tc>
      </w:tr>
      <w:tr w14:paraId="6D9B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9" w:type="dxa"/>
            <w:vMerge w:val="continue"/>
            <w:noWrap w:val="0"/>
            <w:vAlign w:val="center"/>
          </w:tcPr>
          <w:p w14:paraId="12A19905">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36E9B7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964360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投标保证金缴纳期限：开标时间及</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递交截止时间</w:t>
            </w:r>
            <w:r>
              <w:rPr>
                <w:rFonts w:hint="eastAsia" w:ascii="宋体" w:hAnsi="宋体" w:cs="宋体"/>
                <w:b w:val="0"/>
                <w:bCs/>
                <w:i w:val="0"/>
                <w:iCs w:val="0"/>
                <w:color w:val="auto"/>
                <w:kern w:val="0"/>
                <w:sz w:val="24"/>
                <w:szCs w:val="24"/>
                <w:highlight w:val="none"/>
                <w:u w:val="none"/>
                <w:lang w:val="en-US" w:eastAsia="zh-CN" w:bidi="ar"/>
              </w:rPr>
              <w:t>48小时</w:t>
            </w:r>
            <w:r>
              <w:rPr>
                <w:rFonts w:hint="eastAsia" w:ascii="宋体" w:hAnsi="宋体" w:eastAsia="宋体" w:cs="宋体"/>
                <w:b w:val="0"/>
                <w:bCs/>
                <w:i w:val="0"/>
                <w:iCs w:val="0"/>
                <w:color w:val="auto"/>
                <w:kern w:val="0"/>
                <w:sz w:val="24"/>
                <w:szCs w:val="24"/>
                <w:highlight w:val="none"/>
                <w:u w:val="none"/>
                <w:lang w:val="en-US" w:eastAsia="zh-CN" w:bidi="ar"/>
              </w:rPr>
              <w:t>前缴纳完毕（以到账时间为准），逾期不予受理。</w:t>
            </w:r>
            <w:r>
              <w:rPr>
                <w:rFonts w:hint="default" w:ascii="宋体" w:hAnsi="宋体" w:eastAsia="宋体" w:cs="宋体"/>
                <w:b w:val="0"/>
                <w:bCs/>
                <w:i w:val="0"/>
                <w:iCs w:val="0"/>
                <w:color w:val="auto"/>
                <w:kern w:val="0"/>
                <w:sz w:val="24"/>
                <w:szCs w:val="24"/>
                <w:highlight w:val="none"/>
                <w:u w:val="none"/>
                <w:lang w:val="en-US" w:eastAsia="zh-CN" w:bidi="ar"/>
              </w:rPr>
              <w:t>(若以保函方式提交的，必须在保证金交款截止时间前将加盖供应商公章的保函复印件提交至采购代理机构登记备案)。</w:t>
            </w:r>
          </w:p>
        </w:tc>
      </w:tr>
      <w:tr w14:paraId="7301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9" w:type="dxa"/>
            <w:vMerge w:val="restart"/>
            <w:noWrap w:val="0"/>
            <w:vAlign w:val="center"/>
          </w:tcPr>
          <w:p w14:paraId="5CD3883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4EB6475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w:t>
            </w:r>
          </w:p>
        </w:tc>
        <w:tc>
          <w:tcPr>
            <w:tcW w:w="8287" w:type="dxa"/>
            <w:noWrap w:val="0"/>
            <w:vAlign w:val="center"/>
          </w:tcPr>
          <w:p w14:paraId="5EE00F3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以中标价为基准价，参照国家发改委发改办价格【2003】857号文的计算方法收取。</w:t>
            </w:r>
          </w:p>
        </w:tc>
      </w:tr>
      <w:tr w14:paraId="6D7E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0F596E8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DA2A10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77CD22F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注：招标代理服务收费按差额定率累进法计算。</w:t>
            </w:r>
          </w:p>
        </w:tc>
      </w:tr>
      <w:tr w14:paraId="3F7D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noWrap w:val="0"/>
            <w:vAlign w:val="center"/>
          </w:tcPr>
          <w:p w14:paraId="42C1955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CFF45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05376C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支付方式：电汇、转账</w:t>
            </w:r>
          </w:p>
        </w:tc>
      </w:tr>
      <w:tr w14:paraId="38B3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vMerge w:val="continue"/>
            <w:noWrap w:val="0"/>
            <w:vAlign w:val="center"/>
          </w:tcPr>
          <w:p w14:paraId="71533C4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A1D0FB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2008B1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招标代理服务费缴纳账号和投标保证金账号相同</w:t>
            </w:r>
          </w:p>
        </w:tc>
      </w:tr>
      <w:tr w14:paraId="63E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09" w:type="dxa"/>
            <w:noWrap w:val="0"/>
            <w:vAlign w:val="center"/>
          </w:tcPr>
          <w:p w14:paraId="3431968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1</w:t>
            </w:r>
            <w:r>
              <w:rPr>
                <w:rFonts w:hint="eastAsia" w:ascii="宋体" w:hAnsi="宋体" w:cs="宋体"/>
                <w:b w:val="0"/>
                <w:bCs/>
                <w:i w:val="0"/>
                <w:iCs w:val="0"/>
                <w:color w:val="auto"/>
                <w:sz w:val="24"/>
                <w:szCs w:val="24"/>
                <w:highlight w:val="none"/>
                <w:u w:val="none"/>
                <w:lang w:val="en-US" w:eastAsia="zh-CN"/>
              </w:rPr>
              <w:t>3</w:t>
            </w:r>
          </w:p>
        </w:tc>
        <w:tc>
          <w:tcPr>
            <w:tcW w:w="1554" w:type="dxa"/>
            <w:noWrap w:val="0"/>
            <w:vAlign w:val="center"/>
          </w:tcPr>
          <w:p w14:paraId="37123FC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p>
        </w:tc>
        <w:tc>
          <w:tcPr>
            <w:tcW w:w="8287" w:type="dxa"/>
            <w:noWrap w:val="0"/>
            <w:vAlign w:val="center"/>
          </w:tcPr>
          <w:p w14:paraId="5E5F05E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加密电子</w:t>
            </w:r>
            <w:r>
              <w:rPr>
                <w:rFonts w:hint="eastAsia" w:ascii="宋体" w:hAnsi="宋体" w:eastAsia="宋体" w:cs="宋体"/>
                <w:b w:val="0"/>
                <w:bCs w:val="0"/>
                <w:color w:val="auto"/>
                <w:kern w:val="0"/>
                <w:sz w:val="24"/>
                <w:szCs w:val="24"/>
                <w:highlight w:val="none"/>
                <w:lang w:val="en-US" w:eastAsia="zh-CN" w:bidi="ar"/>
              </w:rPr>
              <w:t>响应文件</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w:t>
            </w:r>
            <w:r>
              <w:rPr>
                <w:rFonts w:hint="eastAsia" w:ascii="宋体" w:hAnsi="宋体" w:cs="宋体"/>
                <w:b w:val="0"/>
                <w:bCs w:val="0"/>
                <w:color w:val="auto"/>
                <w:kern w:val="0"/>
                <w:sz w:val="24"/>
                <w:szCs w:val="24"/>
                <w:highlight w:val="none"/>
                <w:lang w:val="en-US" w:eastAsia="zh-CN" w:bidi="ar"/>
              </w:rPr>
              <w:t>）</w:t>
            </w:r>
          </w:p>
        </w:tc>
      </w:tr>
      <w:tr w14:paraId="174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05750A9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7E3553A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p>
        </w:tc>
        <w:tc>
          <w:tcPr>
            <w:tcW w:w="8287" w:type="dxa"/>
            <w:noWrap w:val="0"/>
            <w:vAlign w:val="center"/>
          </w:tcPr>
          <w:p w14:paraId="5DEADE2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eastAsia="宋体" w:cs="宋体"/>
                <w:b w:val="0"/>
                <w:bCs/>
                <w:color w:val="auto"/>
                <w:sz w:val="24"/>
                <w:szCs w:val="24"/>
                <w:highlight w:val="none"/>
                <w:lang w:val="en-US" w:eastAsia="zh-CN" w:bidi="ar"/>
              </w:rPr>
              <w:t>正本壹份、副本肆份（胶装装订不能出现活页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tc>
      </w:tr>
      <w:tr w14:paraId="14E0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9" w:type="dxa"/>
            <w:noWrap w:val="0"/>
            <w:vAlign w:val="center"/>
          </w:tcPr>
          <w:p w14:paraId="409A7F1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794EAB1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中标单位响应文件U盘</w:t>
            </w:r>
          </w:p>
        </w:tc>
        <w:tc>
          <w:tcPr>
            <w:tcW w:w="8287" w:type="dxa"/>
            <w:noWrap w:val="0"/>
            <w:vAlign w:val="center"/>
          </w:tcPr>
          <w:p w14:paraId="522BCF0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w:t>
            </w:r>
            <w:r>
              <w:rPr>
                <w:rFonts w:hint="eastAsia" w:ascii="宋体" w:hAnsi="宋体" w:eastAsia="宋体" w:cs="宋体"/>
                <w:b w:val="0"/>
                <w:bCs/>
                <w:i w:val="0"/>
                <w:iCs w:val="0"/>
                <w:color w:val="auto"/>
                <w:kern w:val="0"/>
                <w:sz w:val="24"/>
                <w:szCs w:val="24"/>
                <w:highlight w:val="none"/>
                <w:u w:val="none"/>
                <w:lang w:val="en-US" w:eastAsia="zh-CN" w:bidi="ar"/>
              </w:rPr>
              <w:t>响应文件电子版一份（U盘PDF格式</w:t>
            </w:r>
            <w:r>
              <w:rPr>
                <w:rFonts w:hint="eastAsia" w:ascii="宋体" w:hAnsi="宋体" w:cs="宋体"/>
                <w:b w:val="0"/>
                <w:bCs/>
                <w:i w:val="0"/>
                <w:iCs w:val="0"/>
                <w:color w:val="auto"/>
                <w:kern w:val="0"/>
                <w:sz w:val="24"/>
                <w:szCs w:val="24"/>
                <w:highlight w:val="none"/>
                <w:u w:val="none"/>
                <w:lang w:val="en-US" w:eastAsia="zh-CN" w:bidi="ar"/>
              </w:rPr>
              <w:t>、Word</w:t>
            </w:r>
            <w:r>
              <w:rPr>
                <w:rFonts w:hint="eastAsia" w:ascii="宋体" w:hAnsi="宋体" w:eastAsia="宋体" w:cs="宋体"/>
                <w:b w:val="0"/>
                <w:bCs/>
                <w:i w:val="0"/>
                <w:iCs w:val="0"/>
                <w:color w:val="auto"/>
                <w:kern w:val="0"/>
                <w:sz w:val="24"/>
                <w:szCs w:val="24"/>
                <w:highlight w:val="none"/>
                <w:u w:val="none"/>
                <w:lang w:val="en-US" w:eastAsia="zh-CN" w:bidi="ar"/>
              </w:rPr>
              <w:t>格式，U盘内容需同正本内容保持一致）</w:t>
            </w:r>
          </w:p>
        </w:tc>
      </w:tr>
      <w:tr w14:paraId="015B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09" w:type="dxa"/>
            <w:noWrap w:val="0"/>
            <w:vAlign w:val="center"/>
          </w:tcPr>
          <w:p w14:paraId="1101DEB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3A3F36B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响应文件签字或盖章要求</w:t>
            </w:r>
          </w:p>
        </w:tc>
        <w:tc>
          <w:tcPr>
            <w:tcW w:w="8287" w:type="dxa"/>
            <w:noWrap w:val="0"/>
            <w:vAlign w:val="top"/>
          </w:tcPr>
          <w:p w14:paraId="0568F3E1">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投标格式中要求法定代表人签字或授权人签字或盖法人章的，必须签字或盖章，响应文件要求每一页加盖投标单位公章，否则做无效标处理。</w:t>
            </w:r>
          </w:p>
        </w:tc>
      </w:tr>
      <w:tr w14:paraId="3244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9" w:type="dxa"/>
            <w:noWrap w:val="0"/>
            <w:vAlign w:val="center"/>
          </w:tcPr>
          <w:p w14:paraId="1B15066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7</w:t>
            </w:r>
          </w:p>
        </w:tc>
        <w:tc>
          <w:tcPr>
            <w:tcW w:w="1554" w:type="dxa"/>
            <w:noWrap w:val="0"/>
            <w:vAlign w:val="top"/>
          </w:tcPr>
          <w:p w14:paraId="63033305">
            <w:pPr>
              <w:keepNext w:val="0"/>
              <w:keepLines w:val="0"/>
              <w:widowControl/>
              <w:suppressLineNumbers w:val="0"/>
              <w:jc w:val="center"/>
              <w:textAlignment w:val="top"/>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退还</w:t>
            </w:r>
          </w:p>
        </w:tc>
        <w:tc>
          <w:tcPr>
            <w:tcW w:w="8287" w:type="dxa"/>
            <w:noWrap w:val="0"/>
            <w:vAlign w:val="top"/>
          </w:tcPr>
          <w:p w14:paraId="3B95DA6F">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正本、副本、电子版U盘均不退还</w:t>
            </w:r>
          </w:p>
        </w:tc>
      </w:tr>
      <w:tr w14:paraId="273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9" w:type="dxa"/>
            <w:noWrap w:val="0"/>
            <w:vAlign w:val="center"/>
          </w:tcPr>
          <w:p w14:paraId="71B0330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18</w:t>
            </w:r>
          </w:p>
        </w:tc>
        <w:tc>
          <w:tcPr>
            <w:tcW w:w="1554" w:type="dxa"/>
            <w:noWrap w:val="0"/>
            <w:vAlign w:val="center"/>
          </w:tcPr>
          <w:p w14:paraId="0CD879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截止时间（开标时间）</w:t>
            </w:r>
          </w:p>
        </w:tc>
        <w:tc>
          <w:tcPr>
            <w:tcW w:w="8287" w:type="dxa"/>
            <w:noWrap w:val="0"/>
            <w:vAlign w:val="center"/>
          </w:tcPr>
          <w:p w14:paraId="1654FE2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val="0"/>
                <w:color w:val="auto"/>
                <w:kern w:val="0"/>
                <w:sz w:val="24"/>
                <w:szCs w:val="24"/>
                <w:highlight w:val="yellow"/>
                <w:lang w:val="en-US" w:eastAsia="zh-CN" w:bidi="ar"/>
              </w:rPr>
              <w:t>20</w:t>
            </w:r>
            <w:r>
              <w:rPr>
                <w:rFonts w:hint="eastAsia" w:ascii="宋体" w:hAnsi="宋体" w:cs="宋体"/>
                <w:b w:val="0"/>
                <w:bCs w:val="0"/>
                <w:color w:val="auto"/>
                <w:kern w:val="0"/>
                <w:sz w:val="24"/>
                <w:szCs w:val="24"/>
                <w:highlight w:val="yellow"/>
                <w:lang w:val="en-US" w:eastAsia="zh-CN" w:bidi="ar"/>
              </w:rPr>
              <w:t>25</w:t>
            </w:r>
            <w:r>
              <w:rPr>
                <w:rFonts w:hint="eastAsia" w:ascii="宋体" w:hAnsi="宋体" w:eastAsia="宋体" w:cs="宋体"/>
                <w:b w:val="0"/>
                <w:bCs w:val="0"/>
                <w:color w:val="auto"/>
                <w:kern w:val="0"/>
                <w:sz w:val="24"/>
                <w:szCs w:val="24"/>
                <w:highlight w:val="yellow"/>
                <w:lang w:val="en-US" w:eastAsia="zh-CN" w:bidi="ar"/>
              </w:rPr>
              <w:t>年</w:t>
            </w:r>
            <w:r>
              <w:rPr>
                <w:rFonts w:hint="eastAsia" w:ascii="宋体" w:hAnsi="宋体" w:cs="宋体"/>
                <w:b w:val="0"/>
                <w:bCs w:val="0"/>
                <w:color w:val="auto"/>
                <w:kern w:val="0"/>
                <w:sz w:val="24"/>
                <w:szCs w:val="24"/>
                <w:highlight w:val="yellow"/>
                <w:lang w:val="en-US" w:eastAsia="zh-CN" w:bidi="ar"/>
              </w:rPr>
              <w:t>7</w:t>
            </w:r>
            <w:r>
              <w:rPr>
                <w:rFonts w:hint="eastAsia" w:ascii="宋体" w:hAnsi="宋体" w:eastAsia="宋体" w:cs="宋体"/>
                <w:b w:val="0"/>
                <w:bCs w:val="0"/>
                <w:color w:val="auto"/>
                <w:kern w:val="0"/>
                <w:sz w:val="24"/>
                <w:szCs w:val="24"/>
                <w:highlight w:val="yellow"/>
                <w:lang w:val="en-US" w:eastAsia="zh-CN" w:bidi="ar"/>
              </w:rPr>
              <w:t>月</w:t>
            </w:r>
            <w:r>
              <w:rPr>
                <w:rFonts w:hint="eastAsia" w:ascii="宋体" w:hAnsi="宋体" w:cs="宋体"/>
                <w:b w:val="0"/>
                <w:bCs w:val="0"/>
                <w:color w:val="auto"/>
                <w:kern w:val="0"/>
                <w:sz w:val="24"/>
                <w:szCs w:val="24"/>
                <w:highlight w:val="yellow"/>
                <w:lang w:val="en-US" w:eastAsia="zh-CN" w:bidi="ar"/>
              </w:rPr>
              <w:t xml:space="preserve"> 21 </w:t>
            </w:r>
            <w:r>
              <w:rPr>
                <w:rFonts w:hint="eastAsia" w:ascii="宋体" w:hAnsi="宋体" w:eastAsia="宋体" w:cs="宋体"/>
                <w:b w:val="0"/>
                <w:bCs w:val="0"/>
                <w:color w:val="auto"/>
                <w:kern w:val="0"/>
                <w:sz w:val="24"/>
                <w:szCs w:val="24"/>
                <w:highlight w:val="yellow"/>
                <w:lang w:val="en-US" w:eastAsia="zh-CN" w:bidi="ar"/>
              </w:rPr>
              <w:t>日</w:t>
            </w:r>
            <w:r>
              <w:rPr>
                <w:rFonts w:hint="eastAsia" w:ascii="宋体" w:hAnsi="宋体" w:cs="宋体"/>
                <w:b w:val="0"/>
                <w:bCs w:val="0"/>
                <w:color w:val="auto"/>
                <w:kern w:val="0"/>
                <w:sz w:val="24"/>
                <w:szCs w:val="24"/>
                <w:highlight w:val="yellow"/>
                <w:lang w:val="en-US" w:eastAsia="zh-CN" w:bidi="ar"/>
              </w:rPr>
              <w:t>11</w:t>
            </w:r>
            <w:r>
              <w:rPr>
                <w:rFonts w:hint="eastAsia" w:ascii="宋体" w:hAnsi="宋体" w:eastAsia="宋体" w:cs="宋体"/>
                <w:b w:val="0"/>
                <w:bCs w:val="0"/>
                <w:color w:val="auto"/>
                <w:kern w:val="0"/>
                <w:sz w:val="24"/>
                <w:szCs w:val="24"/>
                <w:highlight w:val="yellow"/>
                <w:lang w:val="en-US" w:eastAsia="zh-CN" w:bidi="ar"/>
              </w:rPr>
              <w:t>时</w:t>
            </w:r>
            <w:r>
              <w:rPr>
                <w:rFonts w:hint="eastAsia" w:ascii="宋体" w:hAnsi="宋体" w:cs="宋体"/>
                <w:b w:val="0"/>
                <w:bCs w:val="0"/>
                <w:color w:val="auto"/>
                <w:kern w:val="0"/>
                <w:sz w:val="24"/>
                <w:szCs w:val="24"/>
                <w:highlight w:val="yellow"/>
                <w:lang w:val="en-US" w:eastAsia="zh-CN" w:bidi="ar"/>
              </w:rPr>
              <w:t>00</w:t>
            </w:r>
            <w:r>
              <w:rPr>
                <w:rFonts w:hint="eastAsia" w:ascii="宋体" w:hAnsi="宋体" w:eastAsia="宋体" w:cs="宋体"/>
                <w:b w:val="0"/>
                <w:bCs w:val="0"/>
                <w:color w:val="auto"/>
                <w:kern w:val="0"/>
                <w:sz w:val="24"/>
                <w:szCs w:val="24"/>
                <w:highlight w:val="yellow"/>
                <w:lang w:val="en-US" w:eastAsia="zh-CN" w:bidi="ar"/>
              </w:rPr>
              <w:t>分</w:t>
            </w:r>
            <w:r>
              <w:rPr>
                <w:rFonts w:hint="eastAsia" w:ascii="宋体" w:hAnsi="宋体" w:cs="宋体"/>
                <w:b w:val="0"/>
                <w:bCs w:val="0"/>
                <w:color w:val="auto"/>
                <w:kern w:val="0"/>
                <w:sz w:val="24"/>
                <w:szCs w:val="24"/>
                <w:highlight w:val="yellow"/>
                <w:lang w:val="en-US" w:eastAsia="zh-CN" w:bidi="ar"/>
              </w:rPr>
              <w:t>（北京时间）</w:t>
            </w:r>
          </w:p>
        </w:tc>
      </w:tr>
      <w:tr w14:paraId="2494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4B4BB38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19</w:t>
            </w:r>
          </w:p>
        </w:tc>
        <w:tc>
          <w:tcPr>
            <w:tcW w:w="1554" w:type="dxa"/>
            <w:noWrap w:val="0"/>
            <w:vAlign w:val="center"/>
          </w:tcPr>
          <w:p w14:paraId="60F5FE2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响应文件</w:t>
            </w:r>
          </w:p>
          <w:p w14:paraId="72A6630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p>
        </w:tc>
        <w:tc>
          <w:tcPr>
            <w:tcW w:w="8287" w:type="dxa"/>
            <w:noWrap w:val="0"/>
            <w:vAlign w:val="center"/>
          </w:tcPr>
          <w:p w14:paraId="467E27D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请登录政采云投标客户端投标。</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tc>
      </w:tr>
      <w:tr w14:paraId="6051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9" w:type="dxa"/>
            <w:vMerge w:val="restart"/>
            <w:noWrap w:val="0"/>
            <w:vAlign w:val="center"/>
          </w:tcPr>
          <w:p w14:paraId="7BE83225">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20</w:t>
            </w:r>
          </w:p>
        </w:tc>
        <w:tc>
          <w:tcPr>
            <w:tcW w:w="1554" w:type="dxa"/>
            <w:vMerge w:val="restart"/>
            <w:noWrap w:val="0"/>
            <w:vAlign w:val="center"/>
          </w:tcPr>
          <w:p w14:paraId="11E51D8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中标人公告媒体及期限</w:t>
            </w:r>
          </w:p>
        </w:tc>
        <w:tc>
          <w:tcPr>
            <w:tcW w:w="8287" w:type="dxa"/>
            <w:noWrap w:val="0"/>
            <w:vAlign w:val="top"/>
          </w:tcPr>
          <w:p w14:paraId="52CC12C8">
            <w:pPr>
              <w:keepNext w:val="0"/>
              <w:keepLines w:val="0"/>
              <w:widowControl/>
              <w:suppressLineNumbers w:val="0"/>
              <w:jc w:val="left"/>
              <w:textAlignment w:val="top"/>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公告媒体：</w:t>
            </w:r>
            <w:r>
              <w:rPr>
                <w:rStyle w:val="38"/>
                <w:rFonts w:hint="eastAsia" w:ascii="宋体" w:hAnsi="宋体" w:cs="宋体"/>
                <w:b w:val="0"/>
                <w:bCs/>
                <w:color w:val="auto"/>
                <w:sz w:val="24"/>
                <w:szCs w:val="24"/>
                <w:highlight w:val="none"/>
                <w:lang w:val="en-US" w:eastAsia="zh-CN" w:bidi="ar"/>
              </w:rPr>
              <w:t>新疆政府采购网</w:t>
            </w:r>
          </w:p>
        </w:tc>
      </w:tr>
      <w:tr w14:paraId="72B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5576068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05CA7C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top"/>
          </w:tcPr>
          <w:p w14:paraId="42350375">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公告期限：</w:t>
            </w:r>
            <w:r>
              <w:rPr>
                <w:rStyle w:val="39"/>
                <w:rFonts w:hint="eastAsia" w:ascii="宋体" w:hAnsi="宋体" w:eastAsia="宋体" w:cs="宋体"/>
                <w:b w:val="0"/>
                <w:bCs/>
                <w:color w:val="auto"/>
                <w:sz w:val="24"/>
                <w:szCs w:val="24"/>
                <w:highlight w:val="none"/>
                <w:lang w:val="en-US" w:eastAsia="zh-CN" w:bidi="ar"/>
              </w:rPr>
              <w:t xml:space="preserve"> 1</w:t>
            </w:r>
            <w:r>
              <w:rPr>
                <w:rStyle w:val="38"/>
                <w:rFonts w:hint="eastAsia" w:ascii="宋体" w:hAnsi="宋体" w:eastAsia="宋体" w:cs="宋体"/>
                <w:b w:val="0"/>
                <w:bCs/>
                <w:color w:val="auto"/>
                <w:sz w:val="24"/>
                <w:szCs w:val="24"/>
                <w:highlight w:val="none"/>
                <w:lang w:val="en-US" w:eastAsia="zh-CN" w:bidi="ar"/>
              </w:rPr>
              <w:t>个工作日</w:t>
            </w:r>
          </w:p>
        </w:tc>
      </w:tr>
      <w:tr w14:paraId="49BE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9" w:type="dxa"/>
            <w:vMerge w:val="restart"/>
            <w:noWrap w:val="0"/>
            <w:vAlign w:val="center"/>
          </w:tcPr>
          <w:p w14:paraId="0D06414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1</w:t>
            </w:r>
          </w:p>
        </w:tc>
        <w:tc>
          <w:tcPr>
            <w:tcW w:w="1554" w:type="dxa"/>
            <w:vMerge w:val="restart"/>
            <w:noWrap w:val="0"/>
            <w:vAlign w:val="center"/>
          </w:tcPr>
          <w:p w14:paraId="6BB9589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质疑须知</w:t>
            </w:r>
          </w:p>
        </w:tc>
        <w:tc>
          <w:tcPr>
            <w:tcW w:w="8287" w:type="dxa"/>
            <w:noWrap w:val="0"/>
            <w:vAlign w:val="center"/>
          </w:tcPr>
          <w:p w14:paraId="49FBBDD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接收质疑函的方式：递交纸质版及Word格式电子版质疑文件并加盖单位鲜章至接受单位</w:t>
            </w:r>
          </w:p>
        </w:tc>
      </w:tr>
      <w:tr w14:paraId="5AAF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9" w:type="dxa"/>
            <w:vMerge w:val="continue"/>
            <w:noWrap w:val="0"/>
            <w:vAlign w:val="center"/>
          </w:tcPr>
          <w:p w14:paraId="21EF638A">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D04B1F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80C5E6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接受质疑的单位：新疆诚信达招标代理有限责任公司</w:t>
            </w:r>
          </w:p>
        </w:tc>
      </w:tr>
      <w:tr w14:paraId="0A88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9" w:type="dxa"/>
            <w:vMerge w:val="continue"/>
            <w:noWrap w:val="0"/>
            <w:vAlign w:val="center"/>
          </w:tcPr>
          <w:p w14:paraId="7D7B3D3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343F5BB">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8C3C3C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8"/>
                <w:rFonts w:hint="eastAsia" w:ascii="宋体" w:hAnsi="宋体" w:cs="宋体"/>
                <w:b w:val="0"/>
                <w:bCs/>
                <w:color w:val="auto"/>
                <w:sz w:val="24"/>
                <w:szCs w:val="24"/>
                <w:highlight w:val="none"/>
                <w:lang w:val="en-US" w:eastAsia="zh-CN" w:bidi="ar"/>
              </w:rPr>
              <w:t>13325589432</w:t>
            </w:r>
          </w:p>
        </w:tc>
      </w:tr>
      <w:tr w14:paraId="3FFE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vMerge w:val="continue"/>
            <w:noWrap w:val="0"/>
            <w:vAlign w:val="center"/>
          </w:tcPr>
          <w:p w14:paraId="1D0EA29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A54C72A">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425994B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681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9" w:type="dxa"/>
            <w:vMerge w:val="restart"/>
            <w:noWrap w:val="0"/>
            <w:vAlign w:val="center"/>
          </w:tcPr>
          <w:p w14:paraId="66CE14A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2EC294A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投标有效期</w:t>
            </w:r>
          </w:p>
        </w:tc>
        <w:tc>
          <w:tcPr>
            <w:tcW w:w="8287" w:type="dxa"/>
            <w:vMerge w:val="restart"/>
            <w:noWrap w:val="0"/>
            <w:vAlign w:val="center"/>
          </w:tcPr>
          <w:p w14:paraId="029C875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投标截止期结束后</w:t>
            </w:r>
            <w:r>
              <w:rPr>
                <w:rStyle w:val="38"/>
                <w:rFonts w:hint="eastAsia" w:ascii="宋体" w:hAnsi="宋体" w:eastAsia="宋体" w:cs="宋体"/>
                <w:b w:val="0"/>
                <w:bCs/>
                <w:color w:val="auto"/>
                <w:sz w:val="24"/>
                <w:szCs w:val="24"/>
                <w:highlight w:val="none"/>
                <w:lang w:val="en-US" w:eastAsia="zh-CN" w:bidi="ar"/>
              </w:rPr>
              <w:t>90</w:t>
            </w:r>
            <w:r>
              <w:rPr>
                <w:rFonts w:hint="eastAsia" w:ascii="宋体" w:hAnsi="宋体" w:eastAsia="宋体" w:cs="宋体"/>
                <w:b w:val="0"/>
                <w:bCs/>
                <w:i w:val="0"/>
                <w:iCs w:val="0"/>
                <w:color w:val="auto"/>
                <w:kern w:val="0"/>
                <w:sz w:val="24"/>
                <w:szCs w:val="24"/>
                <w:highlight w:val="none"/>
                <w:u w:val="none"/>
                <w:lang w:val="en-US" w:eastAsia="zh-CN" w:bidi="ar"/>
              </w:rPr>
              <w:t>日历天，有效期不足将导致其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被拒绝。</w:t>
            </w:r>
          </w:p>
        </w:tc>
      </w:tr>
      <w:tr w14:paraId="07B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9" w:type="dxa"/>
            <w:vMerge w:val="continue"/>
            <w:noWrap w:val="0"/>
            <w:vAlign w:val="center"/>
          </w:tcPr>
          <w:p w14:paraId="250E080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EB3F3E">
            <w:pPr>
              <w:jc w:val="center"/>
              <w:rPr>
                <w:rFonts w:hint="eastAsia" w:ascii="宋体" w:hAnsi="宋体" w:eastAsia="宋体" w:cs="宋体"/>
                <w:b w:val="0"/>
                <w:bCs/>
                <w:i w:val="0"/>
                <w:iCs w:val="0"/>
                <w:color w:val="auto"/>
                <w:sz w:val="24"/>
                <w:szCs w:val="24"/>
                <w:highlight w:val="none"/>
                <w:u w:val="none"/>
              </w:rPr>
            </w:pPr>
          </w:p>
        </w:tc>
        <w:tc>
          <w:tcPr>
            <w:tcW w:w="8287" w:type="dxa"/>
            <w:vMerge w:val="continue"/>
            <w:noWrap w:val="0"/>
            <w:vAlign w:val="center"/>
          </w:tcPr>
          <w:p w14:paraId="165F619D">
            <w:pPr>
              <w:jc w:val="left"/>
              <w:rPr>
                <w:rFonts w:hint="eastAsia" w:ascii="宋体" w:hAnsi="宋体" w:eastAsia="宋体" w:cs="宋体"/>
                <w:b w:val="0"/>
                <w:bCs/>
                <w:i w:val="0"/>
                <w:iCs w:val="0"/>
                <w:color w:val="auto"/>
                <w:sz w:val="24"/>
                <w:szCs w:val="24"/>
                <w:highlight w:val="none"/>
                <w:u w:val="none"/>
              </w:rPr>
            </w:pPr>
          </w:p>
        </w:tc>
      </w:tr>
      <w:tr w14:paraId="2118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9" w:type="dxa"/>
            <w:noWrap w:val="0"/>
            <w:vAlign w:val="center"/>
          </w:tcPr>
          <w:p w14:paraId="38666CC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3</w:t>
            </w:r>
          </w:p>
        </w:tc>
        <w:tc>
          <w:tcPr>
            <w:tcW w:w="1554" w:type="dxa"/>
            <w:noWrap w:val="0"/>
            <w:vAlign w:val="center"/>
          </w:tcPr>
          <w:p w14:paraId="43D00D0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开标程序</w:t>
            </w:r>
          </w:p>
        </w:tc>
        <w:tc>
          <w:tcPr>
            <w:tcW w:w="8287" w:type="dxa"/>
            <w:noWrap w:val="0"/>
            <w:vAlign w:val="center"/>
          </w:tcPr>
          <w:p w14:paraId="0CA6736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（1）密封情况检查：密封性完好（2）开标顺序：</w:t>
            </w:r>
            <w:r>
              <w:rPr>
                <w:rFonts w:hint="eastAsia" w:ascii="宋体" w:hAnsi="宋体" w:eastAsia="宋体" w:cs="宋体"/>
                <w:b w:val="0"/>
                <w:bCs/>
                <w:i w:val="0"/>
                <w:iCs w:val="0"/>
                <w:color w:val="auto"/>
                <w:kern w:val="0"/>
                <w:sz w:val="24"/>
                <w:szCs w:val="24"/>
                <w:highlight w:val="none"/>
                <w:u w:val="none"/>
                <w:lang w:val="en-US" w:eastAsia="zh-CN" w:bidi="ar"/>
              </w:rPr>
              <w:t>按递交</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顺序</w:t>
            </w:r>
          </w:p>
        </w:tc>
      </w:tr>
      <w:tr w14:paraId="7C1B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9" w:type="dxa"/>
            <w:noWrap w:val="0"/>
            <w:vAlign w:val="center"/>
          </w:tcPr>
          <w:p w14:paraId="011E19B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62A4006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评标委员会</w:t>
            </w:r>
          </w:p>
        </w:tc>
        <w:tc>
          <w:tcPr>
            <w:tcW w:w="8287" w:type="dxa"/>
            <w:noWrap w:val="0"/>
            <w:vAlign w:val="center"/>
          </w:tcPr>
          <w:p w14:paraId="53687D8F">
            <w:pPr>
              <w:keepNext w:val="0"/>
              <w:keepLines w:val="0"/>
              <w:widowControl/>
              <w:numPr>
                <w:ilvl w:val="0"/>
                <w:numId w:val="5"/>
              </w:numPr>
              <w:suppressLineNumbers w:val="0"/>
              <w:jc w:val="left"/>
              <w:textAlignment w:val="center"/>
              <w:rPr>
                <w:rStyle w:val="38"/>
                <w:rFonts w:hint="eastAsia" w:ascii="宋体" w:hAnsi="宋体" w:cs="宋体"/>
                <w:b w:val="0"/>
                <w:bCs/>
                <w:color w:val="auto"/>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构成：</w:t>
            </w:r>
            <w:r>
              <w:rPr>
                <w:rStyle w:val="38"/>
                <w:rFonts w:hint="eastAsia" w:ascii="宋体" w:hAnsi="宋体" w:eastAsia="宋体" w:cs="宋体"/>
                <w:b w:val="0"/>
                <w:bCs/>
                <w:color w:val="auto"/>
                <w:sz w:val="24"/>
                <w:szCs w:val="24"/>
                <w:highlight w:val="none"/>
                <w:lang w:val="en-US" w:eastAsia="zh-CN" w:bidi="ar"/>
              </w:rPr>
              <w:t>专家</w:t>
            </w:r>
            <w:r>
              <w:rPr>
                <w:rStyle w:val="38"/>
                <w:rFonts w:hint="eastAsia" w:ascii="宋体" w:hAnsi="宋体" w:cs="宋体"/>
                <w:b w:val="0"/>
                <w:bCs/>
                <w:color w:val="auto"/>
                <w:sz w:val="24"/>
                <w:szCs w:val="24"/>
                <w:highlight w:val="none"/>
                <w:lang w:val="en-US" w:eastAsia="zh-CN" w:bidi="ar"/>
              </w:rPr>
              <w:t>5</w:t>
            </w:r>
            <w:r>
              <w:rPr>
                <w:rStyle w:val="38"/>
                <w:rFonts w:hint="eastAsia" w:ascii="宋体" w:hAnsi="宋体" w:eastAsia="宋体" w:cs="宋体"/>
                <w:b w:val="0"/>
                <w:bCs/>
                <w:color w:val="auto"/>
                <w:sz w:val="24"/>
                <w:szCs w:val="24"/>
                <w:highlight w:val="none"/>
                <w:lang w:val="en-US" w:eastAsia="zh-CN" w:bidi="ar"/>
              </w:rPr>
              <w:t>人</w:t>
            </w:r>
            <w:r>
              <w:rPr>
                <w:rFonts w:hint="eastAsia" w:ascii="宋体" w:hAnsi="宋体" w:eastAsia="宋体" w:cs="宋体"/>
                <w:b w:val="0"/>
                <w:bCs/>
                <w:i w:val="0"/>
                <w:iCs w:val="0"/>
                <w:color w:val="auto"/>
                <w:kern w:val="0"/>
                <w:sz w:val="24"/>
                <w:szCs w:val="24"/>
                <w:highlight w:val="none"/>
                <w:u w:val="none"/>
                <w:lang w:val="en-US" w:eastAsia="zh-CN" w:bidi="ar"/>
              </w:rPr>
              <w:t>；</w:t>
            </w:r>
          </w:p>
          <w:p w14:paraId="1BCF0A05">
            <w:pPr>
              <w:keepNext w:val="0"/>
              <w:keepLines w:val="0"/>
              <w:widowControl/>
              <w:numPr>
                <w:ilvl w:val="0"/>
                <w:numId w:val="5"/>
              </w:numPr>
              <w:suppressLineNumbers w:val="0"/>
              <w:jc w:val="left"/>
              <w:textAlignment w:val="center"/>
              <w:rPr>
                <w:rFonts w:hint="eastAsia" w:ascii="宋体" w:hAnsi="宋体" w:eastAsia="宋体" w:cs="宋体"/>
                <w:b w:val="0"/>
                <w:bCs/>
                <w:i w:val="0"/>
                <w:iCs w:val="0"/>
                <w:color w:val="auto"/>
                <w:sz w:val="24"/>
                <w:szCs w:val="24"/>
                <w:highlight w:val="none"/>
                <w:u w:val="none"/>
              </w:rPr>
            </w:pPr>
            <w:r>
              <w:rPr>
                <w:rStyle w:val="38"/>
                <w:rFonts w:hint="eastAsia" w:ascii="宋体" w:hAnsi="宋体" w:eastAsia="宋体" w:cs="宋体"/>
                <w:b w:val="0"/>
                <w:bCs/>
                <w:color w:val="auto"/>
                <w:sz w:val="24"/>
                <w:szCs w:val="24"/>
                <w:highlight w:val="none"/>
                <w:lang w:val="en-US" w:eastAsia="zh-CN" w:bidi="ar"/>
              </w:rPr>
              <w:t>评标专家确定方式：由招标代理在开标前</w:t>
            </w:r>
            <w:r>
              <w:rPr>
                <w:rStyle w:val="38"/>
                <w:rFonts w:hint="eastAsia" w:ascii="宋体" w:hAnsi="宋体" w:cs="宋体"/>
                <w:b w:val="0"/>
                <w:bCs/>
                <w:color w:val="auto"/>
                <w:sz w:val="24"/>
                <w:szCs w:val="24"/>
                <w:highlight w:val="none"/>
                <w:lang w:val="en-US" w:eastAsia="zh-CN" w:bidi="ar"/>
              </w:rPr>
              <w:t>48小时</w:t>
            </w:r>
            <w:r>
              <w:rPr>
                <w:rStyle w:val="38"/>
                <w:rFonts w:hint="eastAsia" w:ascii="宋体" w:hAnsi="宋体" w:eastAsia="宋体" w:cs="宋体"/>
                <w:b w:val="0"/>
                <w:bCs/>
                <w:color w:val="auto"/>
                <w:sz w:val="24"/>
                <w:szCs w:val="24"/>
                <w:highlight w:val="none"/>
                <w:lang w:val="en-US" w:eastAsia="zh-CN" w:bidi="ar"/>
              </w:rPr>
              <w:t>在</w:t>
            </w:r>
            <w:r>
              <w:rPr>
                <w:rStyle w:val="38"/>
                <w:rFonts w:hint="eastAsia" w:ascii="宋体" w:hAnsi="宋体" w:cs="宋体"/>
                <w:b w:val="0"/>
                <w:bCs/>
                <w:color w:val="auto"/>
                <w:sz w:val="24"/>
                <w:szCs w:val="24"/>
                <w:highlight w:val="none"/>
                <w:lang w:val="en-US" w:eastAsia="zh-CN" w:bidi="ar"/>
              </w:rPr>
              <w:t>政采云</w:t>
            </w:r>
            <w:r>
              <w:rPr>
                <w:rStyle w:val="38"/>
                <w:rFonts w:hint="eastAsia" w:ascii="宋体" w:hAnsi="宋体" w:eastAsia="宋体" w:cs="宋体"/>
                <w:b w:val="0"/>
                <w:bCs/>
                <w:color w:val="auto"/>
                <w:sz w:val="24"/>
                <w:szCs w:val="24"/>
                <w:highlight w:val="none"/>
                <w:lang w:val="en-US" w:eastAsia="zh-CN" w:bidi="ar"/>
              </w:rPr>
              <w:t>专家库中随机抽取此次评标专家。</w:t>
            </w:r>
          </w:p>
        </w:tc>
      </w:tr>
      <w:tr w14:paraId="367D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9" w:type="dxa"/>
            <w:noWrap w:val="0"/>
            <w:vAlign w:val="center"/>
          </w:tcPr>
          <w:p w14:paraId="0E969B2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5476F89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w:t>
            </w:r>
          </w:p>
        </w:tc>
        <w:tc>
          <w:tcPr>
            <w:tcW w:w="8287" w:type="dxa"/>
            <w:noWrap w:val="0"/>
            <w:vAlign w:val="center"/>
          </w:tcPr>
          <w:p w14:paraId="6209D57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各投标人的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将提交</w:t>
            </w:r>
            <w:r>
              <w:rPr>
                <w:rFonts w:hint="eastAsia" w:ascii="宋体" w:hAnsi="宋体" w:cs="宋体"/>
                <w:b w:val="0"/>
                <w:bCs/>
                <w:i w:val="0"/>
                <w:iCs w:val="0"/>
                <w:color w:val="auto"/>
                <w:kern w:val="0"/>
                <w:sz w:val="24"/>
                <w:szCs w:val="24"/>
                <w:highlight w:val="none"/>
                <w:u w:val="none"/>
                <w:lang w:val="en-US" w:eastAsia="zh-CN" w:bidi="ar"/>
              </w:rPr>
              <w:t>评标委员会</w:t>
            </w:r>
            <w:r>
              <w:rPr>
                <w:rFonts w:hint="eastAsia" w:ascii="宋体" w:hAnsi="宋体" w:eastAsia="宋体" w:cs="宋体"/>
                <w:b w:val="0"/>
                <w:bCs/>
                <w:i w:val="0"/>
                <w:iCs w:val="0"/>
                <w:color w:val="auto"/>
                <w:kern w:val="0"/>
                <w:sz w:val="24"/>
                <w:szCs w:val="24"/>
                <w:highlight w:val="none"/>
                <w:u w:val="none"/>
                <w:lang w:val="en-US" w:eastAsia="zh-CN" w:bidi="ar"/>
              </w:rPr>
              <w:t>审核；即使投标人所提交的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通过了审核，在评标过程中乃至确定中标人后，如发现投标人所提供的资格类文件不合法或不真实、或</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中存在虚假资料的，招标人仍可废除中标人其中标资格并追究其法律责任。</w:t>
            </w:r>
          </w:p>
        </w:tc>
      </w:tr>
      <w:tr w14:paraId="5CDB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noWrap w:val="0"/>
            <w:vAlign w:val="center"/>
          </w:tcPr>
          <w:p w14:paraId="0EA8668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665098A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退投标保证金需携带资料</w:t>
            </w:r>
          </w:p>
        </w:tc>
        <w:tc>
          <w:tcPr>
            <w:tcW w:w="8287" w:type="dxa"/>
            <w:noWrap w:val="0"/>
            <w:vAlign w:val="center"/>
          </w:tcPr>
          <w:p w14:paraId="40B8A358">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1、未中标的投标人的投标保证金，将在中标通知书发出后5个工作日内无息退还。</w:t>
            </w:r>
          </w:p>
          <w:p w14:paraId="698A0895">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2、中标方的投标保证金，将在领取中标通知书、缴纳招标代理服务费和签订合同后5个工作日内无息退还。（合同应当自中标通知书发出之日起30日内签订完成）</w:t>
            </w:r>
          </w:p>
          <w:p w14:paraId="7EC612B8">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3、退还保证金时，需提供:</w:t>
            </w:r>
          </w:p>
          <w:p w14:paraId="2C9D0817">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74A41A3E">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35036A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2D41E60A">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p w14:paraId="506661ED">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09B48470">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3DB6BED4">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（注：未中标的投标人退还投标保证金时提供（1）、（2）中标人提供（1）、（2）、（3））</w:t>
            </w:r>
          </w:p>
        </w:tc>
      </w:tr>
      <w:tr w14:paraId="0CF5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57826DC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27</w:t>
            </w:r>
          </w:p>
        </w:tc>
        <w:tc>
          <w:tcPr>
            <w:tcW w:w="1554" w:type="dxa"/>
            <w:noWrap w:val="0"/>
            <w:vAlign w:val="center"/>
          </w:tcPr>
          <w:p w14:paraId="00032C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bCs/>
                <w:color w:val="auto"/>
                <w:sz w:val="24"/>
                <w:highlight w:val="none"/>
                <w:lang w:eastAsia="zh-CN"/>
              </w:rPr>
              <w:t>投标</w:t>
            </w:r>
            <w:r>
              <w:rPr>
                <w:rFonts w:hint="eastAsia" w:ascii="宋体" w:hAnsi="宋体"/>
                <w:b/>
                <w:bCs/>
                <w:color w:val="auto"/>
                <w:sz w:val="24"/>
                <w:highlight w:val="none"/>
              </w:rPr>
              <w:t>价格包括</w:t>
            </w:r>
          </w:p>
        </w:tc>
        <w:tc>
          <w:tcPr>
            <w:tcW w:w="8287" w:type="dxa"/>
            <w:noWrap w:val="0"/>
            <w:vAlign w:val="center"/>
          </w:tcPr>
          <w:p w14:paraId="1FB85C4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val="0"/>
                <w:bCs w:val="0"/>
                <w:color w:val="auto"/>
                <w:sz w:val="24"/>
                <w:highlight w:val="none"/>
              </w:rPr>
              <w:t>投标货物（包括备品备件、专用工具等）的价格（包括投标货物运输（含保险）、安装、调试、检验、</w:t>
            </w:r>
            <w:r>
              <w:rPr>
                <w:rFonts w:hint="eastAsia" w:ascii="宋体" w:hAnsi="宋体"/>
                <w:b w:val="0"/>
                <w:bCs w:val="0"/>
                <w:color w:val="auto"/>
                <w:sz w:val="24"/>
                <w:highlight w:val="none"/>
                <w:lang w:eastAsia="zh-CN"/>
              </w:rPr>
              <w:t>接口及接口预留费、</w:t>
            </w:r>
            <w:r>
              <w:rPr>
                <w:rFonts w:hint="eastAsia" w:ascii="宋体" w:hAnsi="宋体"/>
                <w:b w:val="0"/>
                <w:bCs w:val="0"/>
                <w:color w:val="auto"/>
                <w:sz w:val="24"/>
                <w:highlight w:val="none"/>
              </w:rPr>
              <w:t>技术服务、培训和</w:t>
            </w:r>
            <w:r>
              <w:rPr>
                <w:rFonts w:hint="eastAsia" w:ascii="宋体" w:hAnsi="宋体"/>
                <w:b w:val="0"/>
                <w:bCs w:val="0"/>
                <w:color w:val="auto"/>
                <w:sz w:val="24"/>
                <w:highlight w:val="none"/>
                <w:lang w:eastAsia="zh-CN"/>
              </w:rPr>
              <w:t>利润、税金及完成项目的</w:t>
            </w:r>
            <w:r>
              <w:rPr>
                <w:rFonts w:ascii="宋体" w:hAnsi="宋体"/>
                <w:b w:val="0"/>
                <w:bCs w:val="0"/>
                <w:color w:val="auto"/>
                <w:sz w:val="24"/>
                <w:highlight w:val="none"/>
              </w:rPr>
              <w:t>所有伴随服务</w:t>
            </w:r>
            <w:r>
              <w:rPr>
                <w:rFonts w:hint="eastAsia" w:ascii="宋体" w:hAnsi="宋体"/>
                <w:b w:val="0"/>
                <w:bCs w:val="0"/>
                <w:color w:val="auto"/>
                <w:sz w:val="24"/>
                <w:highlight w:val="none"/>
              </w:rPr>
              <w:t>等费用</w:t>
            </w:r>
          </w:p>
        </w:tc>
      </w:tr>
      <w:tr w14:paraId="5EF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509" w:type="dxa"/>
            <w:noWrap w:val="0"/>
            <w:vAlign w:val="center"/>
          </w:tcPr>
          <w:p w14:paraId="5D31B704">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8</w:t>
            </w:r>
          </w:p>
        </w:tc>
        <w:tc>
          <w:tcPr>
            <w:tcW w:w="1554" w:type="dxa"/>
            <w:noWrap w:val="0"/>
            <w:vAlign w:val="center"/>
          </w:tcPr>
          <w:p w14:paraId="02FEEAC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小、微企业投标产品价格扣除</w:t>
            </w:r>
          </w:p>
        </w:tc>
        <w:tc>
          <w:tcPr>
            <w:tcW w:w="8287" w:type="dxa"/>
            <w:noWrap w:val="0"/>
            <w:vAlign w:val="center"/>
          </w:tcPr>
          <w:p w14:paraId="484FD5BE">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%的扣除，用扣除后的价格参与评审，具体扣除比例由采购人确定，在评审过程中确定给予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价格扣除。</w:t>
            </w:r>
          </w:p>
          <w:p w14:paraId="0297BB64">
            <w:pPr>
              <w:pStyle w:val="22"/>
              <w:ind w:left="0" w:leftChars="0" w:firstLine="0" w:firstLineChars="0"/>
              <w:rPr>
                <w:rFonts w:hint="default"/>
                <w:color w:val="auto"/>
                <w:highlight w:val="none"/>
                <w:lang w:val="en-US"/>
              </w:rPr>
            </w:pPr>
            <w:r>
              <w:rPr>
                <w:rFonts w:hint="eastAsia" w:cs="宋体"/>
                <w:b/>
                <w:bCs w:val="0"/>
                <w:i w:val="0"/>
                <w:iCs w:val="0"/>
                <w:color w:val="auto"/>
                <w:kern w:val="0"/>
                <w:sz w:val="24"/>
                <w:szCs w:val="24"/>
                <w:highlight w:val="none"/>
                <w:u w:val="none"/>
                <w:lang w:val="en-US" w:eastAsia="zh-CN"/>
              </w:rPr>
              <w:t>注：本项目为专门面向中小企业，不享受价格比例扣除。</w:t>
            </w:r>
          </w:p>
        </w:tc>
      </w:tr>
      <w:tr w14:paraId="5221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09" w:type="dxa"/>
            <w:vMerge w:val="restart"/>
            <w:noWrap w:val="0"/>
            <w:vAlign w:val="center"/>
          </w:tcPr>
          <w:p w14:paraId="186C91DA">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9</w:t>
            </w:r>
          </w:p>
        </w:tc>
        <w:tc>
          <w:tcPr>
            <w:tcW w:w="1554" w:type="dxa"/>
            <w:vMerge w:val="restart"/>
            <w:noWrap w:val="0"/>
            <w:vAlign w:val="center"/>
          </w:tcPr>
          <w:p w14:paraId="009D96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备注</w:t>
            </w:r>
          </w:p>
        </w:tc>
        <w:tc>
          <w:tcPr>
            <w:tcW w:w="8287" w:type="dxa"/>
            <w:noWrap w:val="0"/>
            <w:vAlign w:val="center"/>
          </w:tcPr>
          <w:p w14:paraId="0DEC1D0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中部分加粗、加下划线、废标、无效标、投标被拒绝字样的条款，为招标的实质性要求和条件，着重提醒各投标人注意，并认真查看</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中的每一个条款及要求，因误读</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而造成的后果，招标人概不负责。</w:t>
            </w:r>
          </w:p>
        </w:tc>
      </w:tr>
      <w:tr w14:paraId="3C1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09" w:type="dxa"/>
            <w:vMerge w:val="continue"/>
            <w:noWrap w:val="0"/>
            <w:vAlign w:val="center"/>
          </w:tcPr>
          <w:p w14:paraId="2F7294E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DFFBC37">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1DE243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中有弄虚作假的内容，其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作废。（如假证书、假业绩、隐瞒不良行为记录、夸大荣誉、使用非本单位在职员工的相关证件及不符合</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规定的条款等）；在签订合同之前，招标人如发现投标人的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有弄虚作假内容，招标人可拒绝与其签订合同。并将其列入政府采购黑名单库。</w:t>
            </w:r>
          </w:p>
        </w:tc>
      </w:tr>
    </w:tbl>
    <w:p w14:paraId="54828E5D">
      <w:pPr>
        <w:pStyle w:val="7"/>
        <w:rPr>
          <w:rFonts w:hint="eastAsia"/>
          <w:color w:val="auto"/>
          <w:highlight w:val="none"/>
          <w:lang w:val="en-US" w:eastAsia="zh-CN"/>
        </w:rPr>
      </w:pPr>
    </w:p>
    <w:p w14:paraId="21823765">
      <w:pPr>
        <w:pStyle w:val="3"/>
        <w:numPr>
          <w:ilvl w:val="0"/>
          <w:numId w:val="0"/>
        </w:numPr>
        <w:spacing w:before="100" w:beforeAutospacing="1" w:after="100" w:afterAutospacing="1" w:line="400" w:lineRule="atLeast"/>
        <w:jc w:val="center"/>
        <w:rPr>
          <w:rFonts w:hint="default" w:ascii="宋体" w:hAnsi="宋体" w:eastAsia="宋体" w:cs="宋体"/>
          <w:color w:val="auto"/>
          <w:sz w:val="36"/>
          <w:szCs w:val="36"/>
          <w:highlight w:val="none"/>
          <w:lang w:val="en-US"/>
        </w:rPr>
      </w:pPr>
      <w:r>
        <w:rPr>
          <w:rFonts w:hint="eastAsia" w:ascii="宋体" w:hAnsi="宋体" w:eastAsia="宋体" w:cs="宋体"/>
          <w:b/>
          <w:bCs w:val="0"/>
          <w:color w:val="auto"/>
          <w:sz w:val="36"/>
          <w:szCs w:val="36"/>
          <w:highlight w:val="none"/>
          <w:lang w:val="en-US" w:eastAsia="zh-CN"/>
        </w:rPr>
        <w:t xml:space="preserve">第二部分 </w:t>
      </w:r>
      <w:bookmarkEnd w:id="1"/>
      <w:bookmarkEnd w:id="2"/>
      <w:bookmarkEnd w:id="3"/>
      <w:bookmarkEnd w:id="4"/>
      <w:bookmarkEnd w:id="5"/>
      <w:bookmarkEnd w:id="6"/>
      <w:r>
        <w:rPr>
          <w:rFonts w:hint="eastAsia" w:ascii="宋体" w:hAnsi="宋体" w:eastAsia="宋体" w:cs="宋体"/>
          <w:b/>
          <w:bCs w:val="0"/>
          <w:color w:val="auto"/>
          <w:sz w:val="36"/>
          <w:szCs w:val="36"/>
          <w:highlight w:val="none"/>
          <w:lang w:val="en-US" w:eastAsia="zh-CN"/>
        </w:rPr>
        <w:t>招标说明</w:t>
      </w:r>
    </w:p>
    <w:p w14:paraId="43A729DA">
      <w:pPr>
        <w:jc w:val="center"/>
        <w:rPr>
          <w:rFonts w:hint="default"/>
          <w:color w:val="auto"/>
          <w:sz w:val="32"/>
          <w:szCs w:val="32"/>
          <w:highlight w:val="none"/>
          <w:lang w:val="en-US"/>
        </w:rPr>
      </w:pPr>
      <w:r>
        <w:rPr>
          <w:rFonts w:hint="eastAsia" w:ascii="宋体" w:hAnsi="宋体" w:cs="宋体"/>
          <w:b/>
          <w:bCs w:val="0"/>
          <w:color w:val="auto"/>
          <w:sz w:val="32"/>
          <w:szCs w:val="32"/>
          <w:highlight w:val="none"/>
          <w:lang w:val="en-US" w:eastAsia="zh-CN"/>
        </w:rPr>
        <w:t xml:space="preserve">第一章 </w:t>
      </w:r>
      <w:r>
        <w:rPr>
          <w:rFonts w:hint="eastAsia" w:ascii="宋体" w:hAnsi="宋体" w:eastAsia="宋体" w:cs="宋体"/>
          <w:b/>
          <w:bCs w:val="0"/>
          <w:color w:val="auto"/>
          <w:sz w:val="32"/>
          <w:szCs w:val="32"/>
          <w:highlight w:val="none"/>
          <w:lang w:val="en-US" w:eastAsia="zh-CN"/>
        </w:rPr>
        <w:t>总则</w:t>
      </w:r>
    </w:p>
    <w:p w14:paraId="6EFDD67A">
      <w:pPr>
        <w:spacing w:line="440" w:lineRule="exact"/>
        <w:ind w:firstLine="472" w:firstLineChars="196"/>
        <w:rPr>
          <w:rFonts w:hint="eastAsia" w:ascii="宋体" w:hAnsi="宋体" w:eastAsia="宋体" w:cs="宋体"/>
          <w:b/>
          <w:color w:val="auto"/>
          <w:sz w:val="24"/>
          <w:szCs w:val="24"/>
          <w:highlight w:val="none"/>
        </w:rPr>
      </w:pPr>
      <w:bookmarkStart w:id="7" w:name="_Toc10335"/>
      <w:r>
        <w:rPr>
          <w:rFonts w:hint="eastAsia" w:ascii="宋体" w:hAnsi="宋体" w:eastAsia="宋体" w:cs="宋体"/>
          <w:b/>
          <w:color w:val="auto"/>
          <w:sz w:val="24"/>
          <w:szCs w:val="24"/>
          <w:highlight w:val="none"/>
        </w:rPr>
        <w:t>1. 适用范围</w:t>
      </w:r>
    </w:p>
    <w:p w14:paraId="27DE7B7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color w:val="auto"/>
          <w:sz w:val="24"/>
          <w:szCs w:val="24"/>
          <w:highlight w:val="none"/>
        </w:rPr>
        <w:t>仅适用于</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本次招标活动。</w:t>
      </w:r>
    </w:p>
    <w:p w14:paraId="277CE3CA">
      <w:pPr>
        <w:tabs>
          <w:tab w:val="left" w:pos="118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投标资格</w:t>
      </w:r>
    </w:p>
    <w:p w14:paraId="0BEE435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具有承担本项目的能力以及符合下述条件的（制造商、代理商）均为合格的投标人：</w:t>
      </w:r>
    </w:p>
    <w:p w14:paraId="090ADA0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2EA827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15DDA2C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E2E79A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A05CD8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8FBF38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9645EB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1116E64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4CA9C4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FA52E2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2612F08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555006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投标人存在下列情形之一的，拒绝其参加本次投标（已投标的按无效标处理）：</w:t>
      </w:r>
    </w:p>
    <w:p w14:paraId="7A589F3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人不具有独立法人资格的附属机构（单位）；</w:t>
      </w:r>
    </w:p>
    <w:p w14:paraId="0AC0C7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）为本标段提供招标代理服务的；</w:t>
      </w:r>
    </w:p>
    <w:p w14:paraId="4723E73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）法定代表人为同一人的两个及两个以上法人，母公司、全资子公司及其控股公司，在同一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招标中同时投标的；</w:t>
      </w:r>
    </w:p>
    <w:p w14:paraId="6F22E6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）被责令停业的；</w:t>
      </w:r>
    </w:p>
    <w:p w14:paraId="3D61295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）被暂停或取消投标资格的；</w:t>
      </w:r>
    </w:p>
    <w:p w14:paraId="2316263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）财产被接管或冻结的；</w:t>
      </w:r>
    </w:p>
    <w:p w14:paraId="6971527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）在最近三年内有骗取中标或严重违约或重大质量问题的，受到行政处罚的。</w:t>
      </w:r>
    </w:p>
    <w:p w14:paraId="738C8C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有下列情形之一的，视为投标人串通投标，其投标无效：</w:t>
      </w:r>
    </w:p>
    <w:p w14:paraId="71B019C8">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由同一单位或者个人编制。</w:t>
      </w:r>
    </w:p>
    <w:p w14:paraId="40917D19">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7E9ED58E">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载明的项目管理成员或者联系人员为同一人。</w:t>
      </w:r>
    </w:p>
    <w:p w14:paraId="757672E7">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异常一致或者投标报价呈规律性差异。</w:t>
      </w:r>
    </w:p>
    <w:p w14:paraId="3EE3B226">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相互混装。</w:t>
      </w:r>
    </w:p>
    <w:p w14:paraId="0EFA5F9A">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7BACB7F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2.4投标人在本次招标活动中，必须遵守《中华人民共和国政府采购法》的规定。</w:t>
      </w:r>
    </w:p>
    <w:p w14:paraId="4A7B685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定义</w:t>
      </w:r>
    </w:p>
    <w:p w14:paraId="6D3179C8">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下列术语和缩写的定义为：</w:t>
      </w:r>
    </w:p>
    <w:p w14:paraId="6D3422B7">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“采购人”系指</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呼图壁县卫生健康委员会</w:t>
      </w:r>
      <w:r>
        <w:rPr>
          <w:rFonts w:hint="eastAsia" w:ascii="宋体" w:hAnsi="宋体" w:eastAsia="宋体" w:cs="宋体"/>
          <w:color w:val="auto"/>
          <w:sz w:val="24"/>
          <w:szCs w:val="24"/>
          <w:highlight w:val="none"/>
        </w:rPr>
        <w:t>。</w:t>
      </w:r>
    </w:p>
    <w:p w14:paraId="15F0703A">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“招标代理机构”系指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41A22A99">
      <w:pPr>
        <w:tabs>
          <w:tab w:val="left" w:pos="900"/>
        </w:tabs>
        <w:spacing w:line="44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“招标方”系指采购人和招标代理机构的统称。</w:t>
      </w:r>
    </w:p>
    <w:p w14:paraId="201DBBBD">
      <w:pPr>
        <w:tabs>
          <w:tab w:val="left" w:pos="118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“投标人”系指有资格的（制造商、代理商）及投标表现人。</w:t>
      </w:r>
    </w:p>
    <w:p w14:paraId="4B1AD5FC">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“中标方”系指经</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评定后，</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lang w:val="en-US" w:eastAsia="zh-CN"/>
        </w:rPr>
        <w:t>完全实质性响应</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lang w:val="en-US" w:eastAsia="zh-CN"/>
        </w:rPr>
        <w:t>且报价最低的供应商</w:t>
      </w:r>
      <w:r>
        <w:rPr>
          <w:rFonts w:hint="eastAsia" w:ascii="宋体" w:hAnsi="宋体" w:eastAsia="宋体" w:cs="宋体"/>
          <w:color w:val="auto"/>
          <w:sz w:val="24"/>
          <w:szCs w:val="24"/>
          <w:highlight w:val="none"/>
        </w:rPr>
        <w:t>。</w:t>
      </w:r>
    </w:p>
    <w:p w14:paraId="40A62D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“服务”</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rPr>
        <w:t>第四部分</w:t>
      </w:r>
      <w:r>
        <w:rPr>
          <w:rFonts w:hint="eastAsia" w:ascii="宋体" w:hAnsi="宋体" w:cs="宋体"/>
          <w:color w:val="auto"/>
          <w:sz w:val="24"/>
          <w:szCs w:val="24"/>
          <w:highlight w:val="none"/>
          <w:lang w:val="en-US" w:eastAsia="zh-CN"/>
        </w:rPr>
        <w:t>采购服务及要求</w:t>
      </w:r>
      <w:r>
        <w:rPr>
          <w:rFonts w:hint="eastAsia" w:ascii="宋体" w:hAnsi="宋体" w:eastAsia="宋体" w:cs="宋体"/>
          <w:color w:val="auto"/>
          <w:sz w:val="24"/>
          <w:szCs w:val="24"/>
          <w:highlight w:val="none"/>
        </w:rPr>
        <w:t>(财库[2013]189号)所述所有货物及相关服务。</w:t>
      </w:r>
    </w:p>
    <w:p w14:paraId="6D481C6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3.6.1采购信息安全产品的，应当采购经国家认证的信息安全产品；供应货物中的相关产品，制造商、代理商应提供由中国信息安全认证中心按国家标准认证颁发的有效认证证书。</w:t>
      </w:r>
    </w:p>
    <w:p w14:paraId="5F6D70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“节能产品”或者“环保产品”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指财政部发布的《节能产品政府采购清单》或者《环境标志产品政府采购清单》的产品。</w:t>
      </w:r>
    </w:p>
    <w:p w14:paraId="3948A8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“进口产品”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是指通过中国海关报关验放进入中国境内且产自关境外的产品，详见《关于政府采购进口产品管理有关问题的通知》(财库[2007]119号)。</w:t>
      </w:r>
    </w:p>
    <w:p w14:paraId="0BF74A1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“服务”</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中规定投标人须承担的质保、技术协助、培训及其他类似的责任。</w:t>
      </w:r>
    </w:p>
    <w:p w14:paraId="477B17A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“响应”系指投标人根据招标代理机构发布的</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并按规定投标的行为。</w:t>
      </w:r>
    </w:p>
    <w:p w14:paraId="7BF4EB1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投标费用</w:t>
      </w:r>
    </w:p>
    <w:p w14:paraId="1EE4E0D6">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无论投标结果如何，凡参与招标、投标活动有关的所有费用将由投标人自行承担。</w:t>
      </w:r>
    </w:p>
    <w:p w14:paraId="03782B2A">
      <w:pPr>
        <w:tabs>
          <w:tab w:val="left" w:pos="1185"/>
        </w:tabs>
        <w:spacing w:line="440" w:lineRule="exact"/>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4.2  投标人被视为熟悉本招标项目的各种情况以及与履行合同有关的一切情况。</w:t>
      </w:r>
      <w:bookmarkStart w:id="8" w:name="_Toc497239285"/>
    </w:p>
    <w:p w14:paraId="0237F0E3">
      <w:pPr>
        <w:pStyle w:val="32"/>
        <w:spacing w:line="440" w:lineRule="exact"/>
        <w:jc w:val="both"/>
        <w:outlineLvl w:val="1"/>
        <w:rPr>
          <w:rFonts w:hint="eastAsia" w:ascii="宋体" w:hAnsi="宋体" w:eastAsia="宋体" w:cs="宋体"/>
          <w:b/>
          <w:color w:val="auto"/>
          <w:kern w:val="2"/>
          <w:sz w:val="24"/>
          <w:szCs w:val="24"/>
          <w:highlight w:val="none"/>
        </w:rPr>
      </w:pPr>
    </w:p>
    <w:p w14:paraId="191A5989">
      <w:pPr>
        <w:pStyle w:val="32"/>
        <w:spacing w:line="440" w:lineRule="exact"/>
        <w:jc w:val="center"/>
        <w:outlineLvl w:val="1"/>
        <w:rPr>
          <w:rFonts w:ascii="宋体" w:hAnsi="宋体"/>
          <w:b/>
          <w:color w:val="auto"/>
          <w:kern w:val="2"/>
          <w:sz w:val="32"/>
          <w:szCs w:val="32"/>
          <w:highlight w:val="none"/>
        </w:rPr>
      </w:pPr>
      <w:r>
        <w:rPr>
          <w:rFonts w:hint="eastAsia" w:ascii="宋体" w:hAnsi="宋体"/>
          <w:b/>
          <w:color w:val="auto"/>
          <w:kern w:val="2"/>
          <w:sz w:val="32"/>
          <w:szCs w:val="32"/>
          <w:highlight w:val="none"/>
          <w:lang w:val="en-US" w:eastAsia="zh-CN"/>
        </w:rPr>
        <w:t xml:space="preserve">第二章 </w:t>
      </w:r>
      <w:bookmarkEnd w:id="8"/>
      <w:r>
        <w:rPr>
          <w:rFonts w:hint="eastAsia" w:ascii="宋体" w:hAnsi="宋体"/>
          <w:b/>
          <w:color w:val="auto"/>
          <w:kern w:val="2"/>
          <w:sz w:val="32"/>
          <w:szCs w:val="32"/>
          <w:highlight w:val="none"/>
          <w:lang w:val="en-US" w:eastAsia="zh-CN"/>
        </w:rPr>
        <w:t>招标文件</w:t>
      </w:r>
    </w:p>
    <w:p w14:paraId="7EA5E24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5.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说明</w:t>
      </w:r>
    </w:p>
    <w:p w14:paraId="5C71E9FE">
      <w:pPr>
        <w:tabs>
          <w:tab w:val="left" w:pos="1185"/>
        </w:tabs>
        <w:spacing w:line="44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组成如下：</w:t>
      </w:r>
    </w:p>
    <w:p w14:paraId="455299CA">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竞争性谈判</w:t>
      </w:r>
      <w:r>
        <w:rPr>
          <w:rFonts w:hint="eastAsia" w:ascii="宋体" w:hAnsi="宋体"/>
          <w:color w:val="auto"/>
          <w:sz w:val="24"/>
          <w:szCs w:val="24"/>
          <w:highlight w:val="none"/>
        </w:rPr>
        <w:t>公告</w:t>
      </w:r>
    </w:p>
    <w:p w14:paraId="0C05888E">
      <w:pPr>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第一部分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投标人须知前附表</w:t>
      </w:r>
    </w:p>
    <w:p w14:paraId="78F43BE3">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第二部分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招标说明</w:t>
      </w:r>
    </w:p>
    <w:p w14:paraId="126BB01B">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第三部分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投标说明</w:t>
      </w:r>
    </w:p>
    <w:p w14:paraId="2F527C5C">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第四部分</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采购服务及要求</w:t>
      </w:r>
    </w:p>
    <w:p w14:paraId="47EADBF1">
      <w:pPr>
        <w:tabs>
          <w:tab w:val="left" w:pos="5857"/>
        </w:tabs>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第五部分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合同部分</w:t>
      </w:r>
      <w:r>
        <w:rPr>
          <w:rFonts w:hint="eastAsia" w:ascii="宋体" w:hAnsi="宋体"/>
          <w:color w:val="auto"/>
          <w:sz w:val="24"/>
          <w:szCs w:val="24"/>
          <w:highlight w:val="none"/>
          <w:lang w:eastAsia="zh-CN"/>
        </w:rPr>
        <w:tab/>
      </w:r>
    </w:p>
    <w:p w14:paraId="228FBF80">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第六部分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w:t>
      </w:r>
    </w:p>
    <w:p w14:paraId="5CC30DDA">
      <w:pPr>
        <w:tabs>
          <w:tab w:val="left" w:pos="1185"/>
        </w:tabs>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投标人应详细阅读</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的全部内容。如果投标人未按照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要求提交全部资料或者</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没有对</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在各方面的要求做出实质性响应，将导致其投标被拒绝。</w:t>
      </w:r>
    </w:p>
    <w:p w14:paraId="12123D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6.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的修改或补充</w:t>
      </w:r>
    </w:p>
    <w:p w14:paraId="6BC6877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　澄清或者修改的内容可能影响</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编制的，在投标截止</w:t>
      </w:r>
      <w:r>
        <w:rPr>
          <w:rFonts w:hint="eastAsia" w:ascii="宋体" w:hAnsi="宋体"/>
          <w:color w:val="auto"/>
          <w:sz w:val="24"/>
          <w:szCs w:val="24"/>
          <w:highlight w:val="none"/>
        </w:rPr>
        <w:t>期</w:t>
      </w:r>
      <w:r>
        <w:rPr>
          <w:rFonts w:hint="eastAsia" w:ascii="宋体" w:hAnsi="宋体"/>
          <w:color w:val="auto"/>
          <w:sz w:val="24"/>
          <w:szCs w:val="24"/>
          <w:highlight w:val="none"/>
          <w:u w:val="single"/>
          <w:lang w:val="en-US" w:eastAsia="zh-CN"/>
        </w:rPr>
        <w:t>10日</w:t>
      </w:r>
      <w:r>
        <w:rPr>
          <w:rFonts w:hint="eastAsia" w:ascii="宋体" w:hAnsi="宋体"/>
          <w:color w:val="auto"/>
          <w:sz w:val="24"/>
          <w:szCs w:val="24"/>
          <w:highlight w:val="none"/>
          <w:u w:val="single"/>
        </w:rPr>
        <w:t>前</w:t>
      </w:r>
      <w:r>
        <w:rPr>
          <w:rFonts w:hint="eastAsia" w:ascii="宋体" w:hAnsi="宋体"/>
          <w:color w:val="auto"/>
          <w:sz w:val="24"/>
          <w:szCs w:val="24"/>
          <w:highlight w:val="none"/>
        </w:rPr>
        <w:t>的</w:t>
      </w:r>
      <w:r>
        <w:rPr>
          <w:rFonts w:hint="eastAsia" w:ascii="宋体" w:hAnsi="宋体"/>
          <w:color w:val="auto"/>
          <w:sz w:val="24"/>
          <w:szCs w:val="24"/>
          <w:highlight w:val="none"/>
        </w:rPr>
        <w:t>任何时间，招标方可主动或依据投标人要求澄清的问题而修改或补充</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，并以书面形式或网上公告通知所有投标人，投标人在收到该通知后应立即以电报或传真的形式予以确认。</w:t>
      </w:r>
    </w:p>
    <w:p w14:paraId="02240DB2">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　为使投标人在准备投标时有适当的时间考虑</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的修改，招标方有权决定推迟投标截止时间和开标时间，并将此变更通知所有的投标人。</w:t>
      </w:r>
    </w:p>
    <w:p w14:paraId="01D9D3CA">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的修改和补充文件将构成</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的一部分，并且对投标人具有优先约束力。</w:t>
      </w:r>
    </w:p>
    <w:p w14:paraId="0EAD0C92">
      <w:pPr>
        <w:widowControl/>
        <w:ind w:firstLine="480" w:firstLineChars="20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质疑须知</w:t>
      </w:r>
    </w:p>
    <w:p w14:paraId="74FB1DFB">
      <w:pPr>
        <w:widowControl/>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投标人如需提出质疑的，应在法定质疑期内一次性提出针对同一采购程序环节的质疑。</w:t>
      </w:r>
    </w:p>
    <w:p w14:paraId="667C392C">
      <w:pPr>
        <w:pStyle w:val="32"/>
        <w:spacing w:line="440" w:lineRule="exact"/>
        <w:jc w:val="center"/>
        <w:outlineLvl w:val="0"/>
        <w:rPr>
          <w:rFonts w:ascii="宋体" w:hAnsi="宋体"/>
          <w:b/>
          <w:color w:val="auto"/>
          <w:kern w:val="2"/>
          <w:sz w:val="24"/>
          <w:szCs w:val="24"/>
          <w:highlight w:val="none"/>
        </w:rPr>
      </w:pPr>
    </w:p>
    <w:p w14:paraId="440AFD83">
      <w:pPr>
        <w:pStyle w:val="32"/>
        <w:spacing w:line="440" w:lineRule="exact"/>
        <w:jc w:val="center"/>
        <w:outlineLvl w:val="0"/>
        <w:rPr>
          <w:rFonts w:ascii="宋体" w:hAnsi="宋体"/>
          <w:b/>
          <w:color w:val="auto"/>
          <w:kern w:val="2"/>
          <w:sz w:val="36"/>
          <w:szCs w:val="20"/>
          <w:highlight w:val="none"/>
        </w:rPr>
      </w:pPr>
      <w:bookmarkStart w:id="9" w:name="_Toc497239286"/>
      <w:r>
        <w:rPr>
          <w:rFonts w:hint="eastAsia" w:ascii="宋体" w:hAnsi="宋体"/>
          <w:b/>
          <w:color w:val="auto"/>
          <w:kern w:val="2"/>
          <w:sz w:val="36"/>
          <w:szCs w:val="20"/>
          <w:highlight w:val="none"/>
          <w:lang w:val="en-US" w:eastAsia="zh-CN"/>
        </w:rPr>
        <w:t xml:space="preserve">第三部分  </w:t>
      </w:r>
      <w:r>
        <w:rPr>
          <w:rFonts w:hint="eastAsia" w:ascii="宋体" w:hAnsi="宋体"/>
          <w:b/>
          <w:color w:val="auto"/>
          <w:kern w:val="2"/>
          <w:sz w:val="36"/>
          <w:szCs w:val="20"/>
          <w:highlight w:val="none"/>
        </w:rPr>
        <w:t>投标说明</w:t>
      </w:r>
      <w:bookmarkEnd w:id="9"/>
    </w:p>
    <w:p w14:paraId="73226A84">
      <w:pPr>
        <w:spacing w:line="440" w:lineRule="exact"/>
        <w:ind w:firstLine="2891" w:firstLineChars="900"/>
        <w:outlineLvl w:val="1"/>
        <w:rPr>
          <w:rFonts w:ascii="宋体" w:hAnsi="宋体"/>
          <w:b/>
          <w:color w:val="auto"/>
          <w:sz w:val="32"/>
          <w:highlight w:val="none"/>
        </w:rPr>
      </w:pPr>
      <w:bookmarkStart w:id="10" w:name="_Toc497239287"/>
      <w:r>
        <w:rPr>
          <w:rFonts w:hint="eastAsia" w:ascii="宋体" w:hAnsi="宋体"/>
          <w:b/>
          <w:color w:val="auto"/>
          <w:sz w:val="32"/>
          <w:highlight w:val="none"/>
          <w:lang w:val="en-US" w:eastAsia="zh-CN"/>
        </w:rPr>
        <w:t xml:space="preserve">第一章 </w:t>
      </w:r>
      <w:r>
        <w:rPr>
          <w:rFonts w:hint="eastAsia" w:ascii="宋体" w:hAnsi="宋体"/>
          <w:b/>
          <w:color w:val="auto"/>
          <w:sz w:val="32"/>
          <w:highlight w:val="none"/>
        </w:rPr>
        <w:t>对投标人的资质要求</w:t>
      </w:r>
      <w:bookmarkEnd w:id="10"/>
    </w:p>
    <w:p w14:paraId="15B42E9B">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开标会的资质要求、开标时间及</w:t>
      </w:r>
      <w:r>
        <w:rPr>
          <w:rFonts w:hint="eastAsia" w:ascii="宋体" w:hAnsi="宋体" w:eastAsia="宋体" w:cs="宋体"/>
          <w:b/>
          <w:color w:val="auto"/>
          <w:sz w:val="24"/>
          <w:szCs w:val="24"/>
          <w:highlight w:val="none"/>
          <w:lang w:eastAsia="zh-CN"/>
        </w:rPr>
        <w:t>地址</w:t>
      </w:r>
    </w:p>
    <w:p w14:paraId="7A6F2B4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本项目开标的时间、</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已在投标人须知前附表列清。</w:t>
      </w:r>
    </w:p>
    <w:p w14:paraId="2418C1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招标人将邀请所有投标人派代表参加开标会，投标人必须提交能够证明其具有履行本招标项目合同能力的资质证明文件，作为</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的一部分，具体要求如下：</w:t>
      </w:r>
    </w:p>
    <w:p w14:paraId="5C6C3CC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1418832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6BA0B15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6FE16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3039C9D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6B6021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8F6468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639C126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20AA1D4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73C3B1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00F346B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3CD340D5">
      <w:pPr>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说明：其中（</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）项为投标时资格审查的必备条件，以上资料必须单独提交，如果缺项则视为对</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 xml:space="preserve">资格审查内容的不响应，投标将被拒绝； </w:t>
      </w:r>
    </w:p>
    <w:p w14:paraId="352048C6">
      <w:pPr>
        <w:spacing w:line="440" w:lineRule="exact"/>
        <w:ind w:firstLine="592" w:firstLineChars="2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所有资格证明文件，</w:t>
      </w:r>
      <w:r>
        <w:rPr>
          <w:rFonts w:hint="eastAsia" w:ascii="宋体" w:hAnsi="宋体" w:eastAsia="宋体" w:cs="宋体"/>
          <w:b/>
          <w:bCs/>
          <w:color w:val="auto"/>
          <w:sz w:val="24"/>
          <w:szCs w:val="24"/>
          <w:highlight w:val="none"/>
          <w:em w:val="dot"/>
        </w:rPr>
        <w:t>在正本中资格证明文件的复印件须加盖公章</w:t>
      </w:r>
      <w:r>
        <w:rPr>
          <w:rFonts w:hint="eastAsia" w:ascii="宋体" w:hAnsi="宋体" w:eastAsia="宋体" w:cs="宋体"/>
          <w:bCs/>
          <w:color w:val="auto"/>
          <w:sz w:val="24"/>
          <w:szCs w:val="24"/>
          <w:highlight w:val="none"/>
        </w:rPr>
        <w:t>，以备开标时与原件核对（有特别说明的除外），副本可为</w:t>
      </w:r>
      <w:r>
        <w:rPr>
          <w:rFonts w:hint="eastAsia" w:ascii="宋体" w:hAnsi="宋体" w:eastAsia="宋体" w:cs="宋体"/>
          <w:bCs/>
          <w:color w:val="auto"/>
          <w:sz w:val="24"/>
          <w:szCs w:val="24"/>
          <w:highlight w:val="none"/>
          <w:lang w:val="en-US" w:eastAsia="zh-CN"/>
        </w:rPr>
        <w:t>正本的</w:t>
      </w:r>
      <w:r>
        <w:rPr>
          <w:rFonts w:hint="eastAsia" w:ascii="宋体" w:hAnsi="宋体" w:eastAsia="宋体" w:cs="宋体"/>
          <w:bCs/>
          <w:color w:val="auto"/>
          <w:sz w:val="24"/>
          <w:szCs w:val="24"/>
          <w:highlight w:val="none"/>
        </w:rPr>
        <w:t>复印件。</w:t>
      </w:r>
    </w:p>
    <w:p w14:paraId="2A6EB3F4">
      <w:pPr>
        <w:spacing w:line="440" w:lineRule="exact"/>
        <w:ind w:firstLine="592" w:firstLineChars="247"/>
        <w:rPr>
          <w:rFonts w:ascii="宋体" w:hAnsi="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所有资格证明文件必须满足</w:t>
      </w:r>
      <w:r>
        <w:rPr>
          <w:rFonts w:hint="eastAsia" w:ascii="宋体" w:hAnsi="宋体" w:cs="宋体"/>
          <w:bCs/>
          <w:color w:val="auto"/>
          <w:sz w:val="24"/>
          <w:szCs w:val="24"/>
          <w:highlight w:val="none"/>
          <w:lang w:val="en-US" w:eastAsia="zh-CN"/>
        </w:rPr>
        <w:t>招标文件</w:t>
      </w:r>
      <w:r>
        <w:rPr>
          <w:rFonts w:hint="eastAsia" w:ascii="宋体" w:hAnsi="宋体" w:eastAsia="宋体" w:cs="宋体"/>
          <w:bCs/>
          <w:color w:val="auto"/>
          <w:sz w:val="24"/>
          <w:szCs w:val="24"/>
          <w:highlight w:val="none"/>
        </w:rPr>
        <w:t>的要求，否则将导致废标。</w:t>
      </w:r>
    </w:p>
    <w:p w14:paraId="13861988">
      <w:pPr>
        <w:spacing w:line="440" w:lineRule="exact"/>
        <w:ind w:firstLine="3213" w:firstLineChars="1000"/>
        <w:outlineLvl w:val="1"/>
        <w:rPr>
          <w:rFonts w:ascii="宋体" w:hAnsi="宋体"/>
          <w:b/>
          <w:color w:val="auto"/>
          <w:sz w:val="32"/>
          <w:szCs w:val="32"/>
          <w:highlight w:val="none"/>
        </w:rPr>
      </w:pPr>
      <w:bookmarkStart w:id="11" w:name="_Toc497239288"/>
      <w:r>
        <w:rPr>
          <w:rFonts w:hint="eastAsia" w:ascii="宋体" w:hAnsi="宋体"/>
          <w:b/>
          <w:color w:val="auto"/>
          <w:sz w:val="32"/>
          <w:szCs w:val="32"/>
          <w:highlight w:val="none"/>
          <w:lang w:val="en-US" w:eastAsia="zh-CN"/>
        </w:rPr>
        <w:t>第二章 投标文件</w:t>
      </w:r>
      <w:r>
        <w:rPr>
          <w:rFonts w:hint="eastAsia" w:ascii="宋体" w:hAnsi="宋体"/>
          <w:b/>
          <w:color w:val="auto"/>
          <w:sz w:val="32"/>
          <w:szCs w:val="32"/>
          <w:highlight w:val="none"/>
        </w:rPr>
        <w:t>的编写</w:t>
      </w:r>
      <w:bookmarkEnd w:id="11"/>
    </w:p>
    <w:p w14:paraId="0458CA91">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要求</w:t>
      </w:r>
    </w:p>
    <w:p w14:paraId="5F72F72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themeFill="background1"/>
        </w:rPr>
        <w:t>2.1  投标人应详细阅读</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中的条款、规范、表示、条件和格式等所有内容，按</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的要求份数提供</w:t>
      </w:r>
      <w:r>
        <w:rPr>
          <w:rFonts w:hint="eastAsia" w:ascii="宋体" w:hAnsi="宋体" w:cs="宋体"/>
          <w:color w:val="auto"/>
          <w:sz w:val="24"/>
          <w:szCs w:val="24"/>
          <w:highlight w:val="none"/>
          <w:shd w:val="clear" w:fill="FFFFFF" w:themeFill="background1"/>
          <w:lang w:val="en-US" w:eastAsia="zh-CN"/>
        </w:rPr>
        <w:t>投标文件</w:t>
      </w:r>
      <w:r>
        <w:rPr>
          <w:rFonts w:hint="eastAsia" w:ascii="宋体" w:hAnsi="宋体" w:eastAsia="宋体" w:cs="宋体"/>
          <w:color w:val="auto"/>
          <w:sz w:val="24"/>
          <w:szCs w:val="24"/>
          <w:highlight w:val="none"/>
          <w:shd w:val="clear" w:fill="FFFFFF" w:themeFill="background1"/>
        </w:rPr>
        <w:t>，并保证所提供全部材料的真实性，使其投标对</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rPr>
        <w:t>做出实质性响应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否则，其投标视为无效。</w:t>
      </w:r>
    </w:p>
    <w:p w14:paraId="3A3BB0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允许投标人对本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3F077F6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语言和度量单位</w:t>
      </w:r>
    </w:p>
    <w:p w14:paraId="64A2874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及投标人和招标方就招标、投标交换的文件和往来信件，须以中文书写。</w:t>
      </w:r>
    </w:p>
    <w:p w14:paraId="0D4986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除在</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的技术规格中另有规定外，计量单位应使用中华人民共和国法定计量单位。</w:t>
      </w:r>
    </w:p>
    <w:p w14:paraId="715220A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的组成</w:t>
      </w:r>
    </w:p>
    <w:p w14:paraId="4FA9B1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投标人编写的</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应包括下列内容：</w:t>
      </w:r>
    </w:p>
    <w:p w14:paraId="41476BE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72B3C4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（2）投标资格证明文件；</w:t>
      </w:r>
    </w:p>
    <w:p w14:paraId="0CC25F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（3）所投设备的相关技术证明资料；</w:t>
      </w:r>
    </w:p>
    <w:p w14:paraId="0BAD298B">
      <w:pPr>
        <w:spacing w:line="440" w:lineRule="exact"/>
        <w:ind w:firstLine="480" w:firstLineChars="200"/>
        <w:rPr>
          <w:rFonts w:hint="eastAsia"/>
          <w:color w:val="auto"/>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中所要求的采购货物需求及技术规格、合同特殊条款中要求提交的文件、资料等。</w:t>
      </w:r>
    </w:p>
    <w:p w14:paraId="74C27C77">
      <w:pPr>
        <w:spacing w:line="440" w:lineRule="exact"/>
        <w:ind w:firstLine="360" w:firstLineChars="15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投标人的服务承诺应按不低于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中要求的服务标准做出响应。</w:t>
      </w:r>
    </w:p>
    <w:p w14:paraId="0D10D825">
      <w:pPr>
        <w:spacing w:line="440" w:lineRule="exact"/>
        <w:ind w:firstLine="360" w:firstLineChars="15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4.2.1</w:t>
      </w:r>
      <w:r>
        <w:rPr>
          <w:rFonts w:hint="eastAsia" w:ascii="宋体" w:hAnsi="宋体" w:cs="宋体"/>
          <w:b/>
          <w:color w:val="auto"/>
          <w:sz w:val="24"/>
          <w:szCs w:val="24"/>
          <w:highlight w:val="none"/>
          <w:u w:val="single"/>
          <w:lang w:val="en-US" w:eastAsia="zh-CN"/>
        </w:rPr>
        <w:t>投标文件</w:t>
      </w:r>
      <w:r>
        <w:rPr>
          <w:rFonts w:hint="eastAsia" w:ascii="宋体" w:hAnsi="宋体" w:eastAsia="宋体" w:cs="宋体"/>
          <w:b/>
          <w:color w:val="auto"/>
          <w:sz w:val="24"/>
          <w:szCs w:val="24"/>
          <w:highlight w:val="none"/>
          <w:u w:val="single"/>
        </w:rPr>
        <w:t>正本中所提供资料需加盖公章，副本为正本的复印件，正、副本不一致时，以正本为准。</w:t>
      </w:r>
    </w:p>
    <w:p w14:paraId="0F861B8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开标一览表</w:t>
      </w:r>
    </w:p>
    <w:p w14:paraId="034C587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提交开标一览表是为了便于开标时唱标，投标人必须按本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所附的格式填写，签字并加盖公章，开标一览表中小写和大写不符，以大写为准。开标一览表中的大小写均须按法定格式正确填写。投标报价没有同时填报大写和小写的，其投标将被拒绝。</w:t>
      </w:r>
    </w:p>
    <w:p w14:paraId="0D66E70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格式</w:t>
      </w:r>
    </w:p>
    <w:p w14:paraId="096BB06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提供的范本格式认真填写</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、开标一览表。</w:t>
      </w:r>
    </w:p>
    <w:p w14:paraId="58F343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5.2投标人应严格按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的格式要求及附件向招标公司提交</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，否则视为不响应</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要求，如</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没有提供格式的，投标人可自行设置。</w:t>
      </w:r>
    </w:p>
    <w:p w14:paraId="67E0DC64">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5.3投标人应将</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按规定的顺序编排、并应编制目录、逐页标注连续页码。</w:t>
      </w:r>
    </w:p>
    <w:p w14:paraId="4ADBA4C3">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投标报价</w:t>
      </w:r>
    </w:p>
    <w:p w14:paraId="47D7C359">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  投标报价超预算金额（最高限价）的，其报价无效，不进入评标阶段。</w:t>
      </w:r>
    </w:p>
    <w:p w14:paraId="69ACB1E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投标人应在明细报价表上标明综合单价和总价。</w:t>
      </w:r>
    </w:p>
    <w:p w14:paraId="08F3CBD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（1）开标一览表内容与</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中相应内容不一致的，以开标一览表为准；</w:t>
      </w:r>
    </w:p>
    <w:p w14:paraId="52652E2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ADF35E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（3）综合单价金额小数点有明显错位的，以开标一览表的总价为准，并修改综合单价；</w:t>
      </w:r>
    </w:p>
    <w:p w14:paraId="0BB3B8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（4）总价金额与按综合单价汇总金额不一致的，以综合单价金额计算结果为准。</w:t>
      </w:r>
    </w:p>
    <w:p w14:paraId="139AF45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同时出现两种以上不一致的，按照前款规定的顺序修正。修正后的报价经投标人确认后产生约束力，投标人不确认的，其投标无效。</w:t>
      </w:r>
    </w:p>
    <w:p w14:paraId="39154DA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投标人如果免费提供某项产品、部件或服务，除在价格栏中填写“0”外，还必须在备注栏中声明免费或赠送。</w:t>
      </w:r>
    </w:p>
    <w:p w14:paraId="0934675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投标报价时应注意包括下列几项费用：</w:t>
      </w:r>
    </w:p>
    <w:p w14:paraId="071AD8C6">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中特别要求的备品备件、易损件和专用工具的费用；</w:t>
      </w:r>
    </w:p>
    <w:p w14:paraId="3481D5A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中特别要求的安装、调试、培训、运输、保险及其它附带服务的全部费用；</w:t>
      </w:r>
    </w:p>
    <w:p w14:paraId="66B3D28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（3）投标人提供的在中华人民共和国制造的货物，其货物的投标价即交货价中，包括制造、组装该货物所使用的零部件及原材料已付的全部关税、销售税和其他税。</w:t>
      </w:r>
    </w:p>
    <w:p w14:paraId="732D647D">
      <w:pPr>
        <w:spacing w:line="440" w:lineRule="exact"/>
        <w:ind w:left="48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6.5 投标人应对投标</w:t>
      </w:r>
      <w:r>
        <w:rPr>
          <w:rFonts w:hint="eastAsia" w:ascii="宋体" w:hAnsi="宋体" w:eastAsia="宋体" w:cs="宋体"/>
          <w:color w:val="auto"/>
          <w:sz w:val="24"/>
          <w:szCs w:val="24"/>
          <w:highlight w:val="none"/>
          <w:lang w:val="en-US" w:eastAsia="zh-CN"/>
        </w:rPr>
        <w:t>服</w:t>
      </w:r>
      <w:r>
        <w:rPr>
          <w:rFonts w:hint="eastAsia" w:ascii="宋体" w:hAnsi="宋体" w:eastAsia="宋体" w:cs="宋体"/>
          <w:color w:val="auto"/>
          <w:sz w:val="24"/>
          <w:szCs w:val="24"/>
          <w:highlight w:val="none"/>
        </w:rPr>
        <w:t>物提供完整的详细的书面说明。</w:t>
      </w:r>
    </w:p>
    <w:p w14:paraId="680A89ED">
      <w:pPr>
        <w:spacing w:line="440" w:lineRule="exact"/>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投标报价的货币单位</w:t>
      </w:r>
    </w:p>
    <w:p w14:paraId="0C18CE1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投标报价单位为人民币。各项价格必须清楚、准确、详细。</w:t>
      </w:r>
    </w:p>
    <w:p w14:paraId="634C272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投标有效期</w:t>
      </w:r>
    </w:p>
    <w:p w14:paraId="5048159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从开标之日起，投标有效期为</w:t>
      </w:r>
      <w:r>
        <w:rPr>
          <w:rFonts w:hint="eastAsia" w:ascii="宋体" w:hAnsi="宋体" w:eastAsia="宋体" w:cs="宋体"/>
          <w:color w:val="auto"/>
          <w:sz w:val="24"/>
          <w:szCs w:val="24"/>
          <w:highlight w:val="none"/>
          <w:u w:val="single"/>
        </w:rPr>
        <w:t>九十</w:t>
      </w:r>
      <w:r>
        <w:rPr>
          <w:rFonts w:hint="eastAsia" w:ascii="宋体" w:hAnsi="宋体" w:eastAsia="宋体" w:cs="宋体"/>
          <w:color w:val="auto"/>
          <w:sz w:val="24"/>
          <w:szCs w:val="24"/>
          <w:highlight w:val="none"/>
        </w:rPr>
        <w:t>天（如不满足将导致废标）。</w:t>
      </w:r>
    </w:p>
    <w:p w14:paraId="21D1AE1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在特殊情况下，招标方可与投标人协商延长</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的有效期。</w:t>
      </w:r>
    </w:p>
    <w:p w14:paraId="0FFFABB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的签署规定</w:t>
      </w:r>
    </w:p>
    <w:p w14:paraId="113D1137">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w:t>
      </w:r>
      <w:r>
        <w:rPr>
          <w:rFonts w:hint="eastAsia" w:ascii="宋体" w:hAnsi="宋体" w:cs="宋体"/>
          <w:color w:val="auto"/>
          <w:sz w:val="24"/>
          <w:szCs w:val="24"/>
          <w:highlight w:val="none"/>
          <w:lang w:val="en-US" w:eastAsia="zh-CN"/>
        </w:rPr>
        <w:t>请在政采云客户端投标。</w:t>
      </w:r>
    </w:p>
    <w:p w14:paraId="3C18B24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应清楚工整，一般不准修改。个别非实质性修改之处必须由投标人的法定代表人（负责人）或经其正式授权的代表在修改的每一页上签字或盖投标单位公章后才有效。</w:t>
      </w:r>
    </w:p>
    <w:p w14:paraId="53DF490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应由法人代表或法人授权代表在规定的签章处逐一签署或加盖单位公章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rPr>
        <w:t>方为有效。</w:t>
      </w:r>
    </w:p>
    <w:p w14:paraId="61D763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w:t>
      </w: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eastAsia="宋体" w:cs="宋体"/>
          <w:b w:val="0"/>
          <w:bCs/>
          <w:color w:val="auto"/>
          <w:sz w:val="24"/>
          <w:szCs w:val="24"/>
          <w:highlight w:val="none"/>
          <w:lang w:val="en-US" w:eastAsia="zh-CN" w:bidi="ar"/>
        </w:rPr>
        <w:t>正本壹份、副本肆份（胶装装订不能出现活页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p w14:paraId="288C6216">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9.5  </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的正本与副本应当完全一致。当正本和副本之间出现差异时，以正本为准。</w:t>
      </w:r>
    </w:p>
    <w:p w14:paraId="74AA441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电报、电话、传真、电子邮件等形式的投标概不接受。</w:t>
      </w:r>
    </w:p>
    <w:p w14:paraId="05AA09F9">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投标保证金</w:t>
      </w:r>
    </w:p>
    <w:p w14:paraId="6C10CDE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招标方因投标人的违规行为而受到损害时将不予退还投标人的投标保证金，将其作为所受损害的补偿。</w:t>
      </w:r>
    </w:p>
    <w:p w14:paraId="26EA6FF7">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w:t>
      </w: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r>
        <w:rPr>
          <w:rFonts w:hint="eastAsia" w:ascii="宋体" w:hAnsi="宋体" w:eastAsia="宋体" w:cs="宋体"/>
          <w:color w:val="auto"/>
          <w:sz w:val="24"/>
          <w:szCs w:val="24"/>
          <w:highlight w:val="none"/>
          <w:lang w:eastAsia="zh-CN"/>
        </w:rPr>
        <w:t>。</w:t>
      </w:r>
    </w:p>
    <w:p w14:paraId="466C92E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投标人提交投标保证金缴纳期限：开标时间及</w:t>
      </w:r>
      <w:r>
        <w:rPr>
          <w:rFonts w:hint="eastAsia" w:hAnsi="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w:t>
      </w:r>
      <w:r>
        <w:rPr>
          <w:rFonts w:hint="eastAsia" w:hAnsi="宋体" w:cs="宋体"/>
          <w:color w:val="auto"/>
          <w:sz w:val="24"/>
          <w:szCs w:val="24"/>
          <w:highlight w:val="none"/>
          <w:lang w:val="en-US" w:eastAsia="zh-CN"/>
        </w:rPr>
        <w:t>48小时</w:t>
      </w:r>
      <w:r>
        <w:rPr>
          <w:rFonts w:hint="eastAsia" w:ascii="宋体" w:hAnsi="宋体" w:eastAsia="宋体" w:cs="宋体"/>
          <w:color w:val="auto"/>
          <w:sz w:val="24"/>
          <w:szCs w:val="24"/>
          <w:highlight w:val="none"/>
        </w:rPr>
        <w:t>前缴纳完毕（以到账时间为准），逾期不予受理。</w:t>
      </w:r>
    </w:p>
    <w:p w14:paraId="44003698">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投标保证金交入：见</w:t>
      </w:r>
      <w:r>
        <w:rPr>
          <w:rFonts w:hint="eastAsia" w:ascii="宋体" w:hAnsi="宋体" w:eastAsia="宋体" w:cs="宋体"/>
          <w:color w:val="auto"/>
          <w:sz w:val="24"/>
          <w:szCs w:val="24"/>
          <w:highlight w:val="none"/>
          <w:lang w:eastAsia="zh-CN"/>
        </w:rPr>
        <w:t>投标人须知前附表</w:t>
      </w:r>
    </w:p>
    <w:p w14:paraId="6DF1201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未中标的投标人的投标保证金，将在中标通知书发出后5个工作日内无息退还。</w:t>
      </w:r>
    </w:p>
    <w:p w14:paraId="12708A86">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10.5  中标方的投标保证金，将在领取中标通知书，缴纳</w:t>
      </w:r>
      <w:r>
        <w:rPr>
          <w:rFonts w:hint="eastAsia" w:ascii="宋体" w:hAnsi="宋体" w:eastAsia="宋体" w:cs="宋体"/>
          <w:color w:val="auto"/>
          <w:sz w:val="24"/>
          <w:szCs w:val="24"/>
          <w:highlight w:val="none"/>
          <w:lang w:val="en-US" w:eastAsia="zh-CN"/>
        </w:rPr>
        <w:t>招标代理服务费和</w:t>
      </w:r>
      <w:r>
        <w:rPr>
          <w:rFonts w:hint="eastAsia" w:ascii="宋体" w:hAnsi="宋体" w:eastAsia="宋体" w:cs="宋体"/>
          <w:color w:val="auto"/>
          <w:sz w:val="24"/>
          <w:szCs w:val="24"/>
          <w:highlight w:val="none"/>
        </w:rPr>
        <w:t>签订合同后5个工作日内无息退还</w:t>
      </w:r>
      <w:r>
        <w:rPr>
          <w:rFonts w:hint="eastAsia" w:ascii="宋体" w:hAnsi="宋体" w:eastAsia="宋体" w:cs="宋体"/>
          <w:color w:val="auto"/>
          <w:sz w:val="24"/>
          <w:szCs w:val="24"/>
          <w:highlight w:val="none"/>
          <w:lang w:eastAsia="zh-CN"/>
        </w:rPr>
        <w:t>。</w:t>
      </w:r>
    </w:p>
    <w:p w14:paraId="05591A81">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退还保证金时，需提供</w:t>
      </w:r>
      <w:r>
        <w:rPr>
          <w:rFonts w:hint="eastAsia" w:ascii="宋体" w:hAnsi="宋体" w:eastAsia="宋体" w:cs="宋体"/>
          <w:color w:val="auto"/>
          <w:sz w:val="24"/>
          <w:szCs w:val="24"/>
          <w:highlight w:val="none"/>
          <w:lang w:val="en-US" w:eastAsia="zh-CN"/>
        </w:rPr>
        <w:t>:</w:t>
      </w:r>
    </w:p>
    <w:p w14:paraId="64F20A60">
      <w:pPr>
        <w:keepNext w:val="0"/>
        <w:keepLines w:val="0"/>
        <w:widowControl/>
        <w:suppressLineNumbers w:val="0"/>
        <w:tabs>
          <w:tab w:val="right" w:pos="9506"/>
        </w:tabs>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r>
        <w:rPr>
          <w:rFonts w:hint="eastAsia" w:ascii="宋体" w:hAnsi="宋体" w:cs="宋体"/>
          <w:b w:val="0"/>
          <w:bCs/>
          <w:i w:val="0"/>
          <w:iCs w:val="0"/>
          <w:color w:val="auto"/>
          <w:kern w:val="0"/>
          <w:sz w:val="24"/>
          <w:szCs w:val="24"/>
          <w:highlight w:val="none"/>
          <w:u w:val="none"/>
          <w:lang w:val="en-US" w:eastAsia="zh-CN" w:bidi="ar"/>
        </w:rPr>
        <w:tab/>
      </w:r>
    </w:p>
    <w:p w14:paraId="477468EB">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515698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63FBB3F5">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color w:val="auto"/>
          <w:kern w:val="0"/>
          <w:sz w:val="24"/>
          <w:szCs w:val="24"/>
          <w:highlight w:val="none"/>
          <w:lang w:val="en-US" w:eastAsia="zh-CN" w:bidi="ar"/>
        </w:rPr>
        <w:t xml:space="preserve"> </w:t>
      </w:r>
    </w:p>
    <w:p w14:paraId="317D031D">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61DE7890">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300DDACA">
      <w:pPr>
        <w:pStyle w:val="7"/>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注：未中标的投标人退还投标保证金时提供（1）、（2）中标人提供（1）、（2）、（3）</w:t>
      </w:r>
    </w:p>
    <w:p w14:paraId="1C344EA7">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在评标过程中，如发现下列情况之一的，其投标将被拒绝；</w:t>
      </w:r>
    </w:p>
    <w:p w14:paraId="5E72F3A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技术规格中的响应与事实不符或虚假投标的；</w:t>
      </w:r>
    </w:p>
    <w:p w14:paraId="4019EA2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（2）投标人复制</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的技术规格相关部分内容作为其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w:t>
      </w:r>
    </w:p>
    <w:p w14:paraId="0171212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中规定废标的其它技术条款；</w:t>
      </w:r>
    </w:p>
    <w:p w14:paraId="544D5D4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带“*”要求的内容的；</w:t>
      </w:r>
    </w:p>
    <w:p w14:paraId="5DD7F06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重要参数的。</w:t>
      </w:r>
    </w:p>
    <w:p w14:paraId="0A8C6A1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以下情形被视为投标无效；</w:t>
      </w:r>
    </w:p>
    <w:p w14:paraId="30F6ED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（1）未按规定提交投标保证金的投标；</w:t>
      </w:r>
    </w:p>
    <w:p w14:paraId="6D42F5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有重大负偏离的；</w:t>
      </w:r>
    </w:p>
    <w:p w14:paraId="2EBE25E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（3）投标人拒绝修正错误的；</w:t>
      </w:r>
    </w:p>
    <w:p w14:paraId="77330DC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的关键内容字迹模糊，无法辨认的；</w:t>
      </w:r>
    </w:p>
    <w:p w14:paraId="2E31DF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（5）投标有效期不足的；</w:t>
      </w:r>
    </w:p>
    <w:p w14:paraId="765B14F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（6）投标人的报价超出预算金额（或最高限价）的；</w:t>
      </w:r>
    </w:p>
    <w:p w14:paraId="3B9E2C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（7）其他违反相关法律法规规定的行为的；</w:t>
      </w:r>
    </w:p>
    <w:p w14:paraId="69F5BE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认为是其他应当否决的投标。</w:t>
      </w:r>
    </w:p>
    <w:p w14:paraId="029CE52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下列任何情况发生时，投标保证金将不予退还，转为违约金：</w:t>
      </w:r>
    </w:p>
    <w:p w14:paraId="2AF3377B">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投标人在投标截止期后，投标有效期内撤回投标；</w:t>
      </w:r>
    </w:p>
    <w:p w14:paraId="5182D9AB">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标人在规定期限内未按规定</w:t>
      </w:r>
      <w:r>
        <w:rPr>
          <w:rFonts w:hint="eastAsia" w:ascii="宋体" w:hAnsi="宋体" w:eastAsia="宋体" w:cs="宋体"/>
          <w:color w:val="auto"/>
          <w:sz w:val="24"/>
          <w:szCs w:val="24"/>
          <w:highlight w:val="none"/>
          <w:lang w:val="en-US" w:eastAsia="zh-CN"/>
        </w:rPr>
        <w:t>未和招标人签订合同</w:t>
      </w:r>
      <w:r>
        <w:rPr>
          <w:rFonts w:hint="eastAsia" w:ascii="宋体" w:hAnsi="宋体" w:eastAsia="宋体" w:cs="宋体"/>
          <w:color w:val="auto"/>
          <w:sz w:val="24"/>
          <w:szCs w:val="24"/>
          <w:highlight w:val="none"/>
        </w:rPr>
        <w:t>；</w:t>
      </w:r>
    </w:p>
    <w:p w14:paraId="3C6A70FA">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中标方未按投标人须知规定缴纳招标代理费；</w:t>
      </w:r>
    </w:p>
    <w:p w14:paraId="4774D776">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以他人名义投标或者以其他方式弄虚作假，骗取中标；</w:t>
      </w:r>
    </w:p>
    <w:p w14:paraId="2C36EA35">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打架斗殴，扰乱标场秩序；</w:t>
      </w:r>
    </w:p>
    <w:p w14:paraId="0F3531FC">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中或《</w:t>
      </w:r>
      <w:r>
        <w:rPr>
          <w:rFonts w:hint="eastAsia" w:ascii="宋体" w:hAnsi="宋体" w:eastAsia="宋体" w:cs="宋体"/>
          <w:color w:val="auto"/>
          <w:sz w:val="24"/>
          <w:szCs w:val="24"/>
          <w:highlight w:val="none"/>
          <w:lang w:val="en-US" w:eastAsia="zh-CN"/>
        </w:rPr>
        <w:t>政府采购非招标采购方式管理办法</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条规定的其他不予退还投标保证金的情形。</w:t>
      </w:r>
    </w:p>
    <w:p w14:paraId="529215B9">
      <w:pPr>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上述不予退还投标保证金的情况并给招标代理机构造成损失的，还要承担赔偿责任。</w:t>
      </w:r>
      <w:bookmarkStart w:id="12" w:name="_Toc497239289"/>
    </w:p>
    <w:p w14:paraId="5FC0CC5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有下列情形之一的，视为投标人串通投标，其投标无效：</w:t>
      </w:r>
    </w:p>
    <w:p w14:paraId="3222EEB1">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同一项目中不同投标人的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由同一单位或者个人编制，例如：不同单位的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出自同一台电脑，或者出自同一把投标锁或计价锁：</w:t>
      </w:r>
    </w:p>
    <w:p w14:paraId="41A53622">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1.不同投标人的电子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上传计算机的网卡MAC 地址、CPU 序列号和硬盘序列号等硬件信息均相同的（开标现场上传电子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的除外）；</w:t>
      </w:r>
    </w:p>
    <w:p w14:paraId="5123B16B">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2.不同投标人的组价工程最清单 XML 标准接口文件记录的计价软件加密锁序列号信总有一条及以上相同或出自同一电子文档的，或者记录的硬件信息中存在一条及以上的计算机网卡 MAG 地址（如有）、CPU 序列号和硬盘序列号等硬件信息均相同的：</w:t>
      </w:r>
    </w:p>
    <w:p w14:paraId="6B58648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3.不同投标人的电子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（已标价工程量清单 XML 电子文档除外）编制时的计算机硬件信息中存在一条及以上的计算机网卡 MAC 地址（</w:t>
      </w:r>
      <w:r>
        <w:rPr>
          <w:rFonts w:hint="eastAsia" w:ascii="宋体" w:hAnsi="宋体" w:cs="Times New Roman"/>
          <w:color w:val="auto"/>
          <w:sz w:val="24"/>
          <w:highlight w:val="none"/>
          <w:lang w:val="en-US" w:eastAsia="zh-CN"/>
        </w:rPr>
        <w:t>如</w:t>
      </w:r>
      <w:r>
        <w:rPr>
          <w:rFonts w:hint="eastAsia" w:ascii="宋体" w:hAnsi="宋体" w:cs="Times New Roman"/>
          <w:color w:val="auto"/>
          <w:sz w:val="24"/>
          <w:highlight w:val="none"/>
        </w:rPr>
        <w:t>有）、CPU序列号和硬盘序列号均相同的；</w:t>
      </w:r>
    </w:p>
    <w:p w14:paraId="7089C84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 xml:space="preserve">4. 投标人递交的已标价工程量清单 </w:t>
      </w:r>
      <w:r>
        <w:rPr>
          <w:rFonts w:hint="eastAsia" w:ascii="宋体" w:hAnsi="宋体" w:cs="Times New Roman"/>
          <w:color w:val="auto"/>
          <w:sz w:val="24"/>
          <w:highlight w:val="none"/>
          <w:lang w:val="en-US" w:eastAsia="zh-CN"/>
        </w:rPr>
        <w:t>X</w:t>
      </w:r>
      <w:r>
        <w:rPr>
          <w:rFonts w:hint="eastAsia" w:ascii="宋体" w:hAnsi="宋体" w:cs="Times New Roman"/>
          <w:color w:val="auto"/>
          <w:sz w:val="24"/>
          <w:highlight w:val="none"/>
        </w:rPr>
        <w:t>ML 电子文档</w:t>
      </w:r>
      <w:r>
        <w:rPr>
          <w:rFonts w:hint="eastAsia" w:ascii="宋体" w:hAnsi="宋体" w:cs="Times New Roman"/>
          <w:color w:val="auto"/>
          <w:sz w:val="24"/>
          <w:highlight w:val="none"/>
          <w:lang w:val="en-US" w:eastAsia="zh-CN"/>
        </w:rPr>
        <w:t>未</w:t>
      </w:r>
      <w:r>
        <w:rPr>
          <w:rFonts w:hint="eastAsia" w:ascii="宋体" w:hAnsi="宋体" w:cs="Times New Roman"/>
          <w:color w:val="auto"/>
          <w:sz w:val="24"/>
          <w:highlight w:val="none"/>
        </w:rPr>
        <w:t>按照规定记录软硬件信息的，或者记录的软硬件信息经电子招标投标交易平台认定被篡改的；</w:t>
      </w:r>
    </w:p>
    <w:p w14:paraId="09E79F6F">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5.不同投标人的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经查重分析，内容异常一致或者实质性相同的；</w:t>
      </w:r>
    </w:p>
    <w:p w14:paraId="121F70E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6.不同投标人的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由同一投标人的附屈设备打印、复印的。</w:t>
      </w:r>
    </w:p>
    <w:p w14:paraId="6D7CC03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(二）不同投标人委托同一单位或者个人办事投标車宜，例如：委托同一人办理同一项目投标的不同环节的；</w:t>
      </w:r>
    </w:p>
    <w:p w14:paraId="0ABE459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(三）不同投标人的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载明的项目管理成员为同一人或同一单位；</w:t>
      </w:r>
    </w:p>
    <w:p w14:paraId="2A3C50DB">
      <w:pPr>
        <w:spacing w:line="360" w:lineRule="auto"/>
        <w:ind w:firstLine="720" w:firstLineChars="300"/>
        <w:rPr>
          <w:rFonts w:hint="eastAsia" w:ascii="宋体" w:hAnsi="宋体" w:cs="Times New Roman"/>
          <w:color w:val="auto"/>
          <w:sz w:val="24"/>
          <w:highlight w:val="none"/>
        </w:rPr>
      </w:pPr>
      <w:r>
        <w:rPr>
          <w:rFonts w:hint="eastAsia" w:ascii="宋体" w:hAnsi="宋体" w:cs="Times New Roman"/>
          <w:color w:val="auto"/>
          <w:sz w:val="24"/>
          <w:highlight w:val="none"/>
        </w:rPr>
        <w:t>（四）不同投标人的投标报价量规律性差异或者</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异常一致；</w:t>
      </w:r>
    </w:p>
    <w:p w14:paraId="2FBFD097">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(五）不同投标人的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互相混装；</w:t>
      </w:r>
    </w:p>
    <w:p w14:paraId="2E6B1733">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（六）不同投标人的投标保证金从同一单位或个人的账户转出，或者不同投标人的投标保证金虽然经由投标人自己的基本账户转出，但所需的资金均是来自同一单位或个人的账户的；</w:t>
      </w:r>
    </w:p>
    <w:p w14:paraId="0ADAAF41">
      <w:pPr>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cs="Times New Roman"/>
          <w:color w:val="auto"/>
          <w:sz w:val="24"/>
          <w:highlight w:val="none"/>
        </w:rPr>
        <w:t>(</w:t>
      </w:r>
      <w:r>
        <w:rPr>
          <w:rFonts w:hint="eastAsia" w:ascii="宋体" w:hAnsi="宋体" w:eastAsia="宋体" w:cs="宋体"/>
          <w:color w:val="auto"/>
          <w:sz w:val="24"/>
          <w:szCs w:val="24"/>
          <w:highlight w:val="none"/>
          <w:lang w:val="en-US" w:eastAsia="zh-CN"/>
        </w:rPr>
        <w:t>七）法律、法规、规章规定的串通投标的其他行为，</w:t>
      </w:r>
    </w:p>
    <w:p w14:paraId="26DF6D50">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10.10投标人在本次招标活动中，必须遵守《中华人民共和国政府采购法》和《中华人民共和国招标投标法》的规定。</w:t>
      </w:r>
    </w:p>
    <w:p w14:paraId="2F4C83A1">
      <w:pPr>
        <w:spacing w:line="440" w:lineRule="exact"/>
        <w:ind w:firstLine="480" w:firstLineChars="200"/>
        <w:rPr>
          <w:rFonts w:hint="eastAsia" w:ascii="宋体" w:hAnsi="宋体" w:eastAsia="宋体" w:cs="宋体"/>
          <w:color w:val="auto"/>
          <w:sz w:val="24"/>
          <w:szCs w:val="24"/>
          <w:highlight w:val="none"/>
          <w:lang w:val="en-US" w:eastAsia="zh-CN"/>
        </w:rPr>
      </w:pPr>
    </w:p>
    <w:p w14:paraId="5C64FD44">
      <w:pPr>
        <w:spacing w:line="440" w:lineRule="exact"/>
        <w:ind w:firstLine="480"/>
        <w:jc w:val="center"/>
        <w:outlineLvl w:val="1"/>
        <w:rPr>
          <w:rFonts w:ascii="宋体" w:hAnsi="宋体"/>
          <w:b/>
          <w:color w:val="auto"/>
          <w:sz w:val="32"/>
          <w:szCs w:val="32"/>
          <w:highlight w:val="none"/>
        </w:rPr>
      </w:pPr>
      <w:r>
        <w:rPr>
          <w:rFonts w:hint="eastAsia" w:ascii="宋体" w:hAnsi="宋体"/>
          <w:b/>
          <w:color w:val="auto"/>
          <w:sz w:val="32"/>
          <w:szCs w:val="32"/>
          <w:highlight w:val="none"/>
          <w:lang w:val="en-US" w:eastAsia="zh-CN"/>
        </w:rPr>
        <w:t>第三章 投标文件</w:t>
      </w:r>
      <w:r>
        <w:rPr>
          <w:rFonts w:hint="eastAsia" w:ascii="宋体" w:hAnsi="宋体"/>
          <w:b/>
          <w:color w:val="auto"/>
          <w:sz w:val="32"/>
          <w:szCs w:val="32"/>
          <w:highlight w:val="none"/>
        </w:rPr>
        <w:t>的递交</w:t>
      </w:r>
      <w:bookmarkEnd w:id="12"/>
    </w:p>
    <w:p w14:paraId="27FDBEA5">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的标记</w:t>
      </w:r>
    </w:p>
    <w:p w14:paraId="0D31ACAE">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任何不完整或不满足</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将被拒绝。</w:t>
      </w:r>
    </w:p>
    <w:p w14:paraId="0978F1F9">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由于不可抗拒原因或无法控制的事件而导致的丢失或损坏投标包装体内的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时，招标方将不负责任。</w:t>
      </w:r>
    </w:p>
    <w:p w14:paraId="352D40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2</w:t>
      </w:r>
      <w:r>
        <w:rPr>
          <w:rFonts w:ascii="宋体" w:hAnsi="宋体"/>
          <w:b/>
          <w:color w:val="auto"/>
          <w:sz w:val="24"/>
          <w:szCs w:val="24"/>
          <w:highlight w:val="none"/>
        </w:rPr>
        <w:t xml:space="preserve">. </w:t>
      </w:r>
      <w:r>
        <w:rPr>
          <w:rFonts w:hint="eastAsia" w:ascii="宋体" w:hAnsi="宋体"/>
          <w:b/>
          <w:color w:val="auto"/>
          <w:sz w:val="24"/>
          <w:szCs w:val="24"/>
          <w:highlight w:val="none"/>
        </w:rPr>
        <w:t>投标截止时间</w:t>
      </w:r>
    </w:p>
    <w:p w14:paraId="746FC729">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的递交不得迟于</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规定的截止时间，以密封形式递交至指定开标</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w:t>
      </w:r>
    </w:p>
    <w:p w14:paraId="5A0A73F8">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　所有</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不论派人送交还是通过邮寄的方式递交，都必须在招标方规定的投标截止时间之前送达</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指定</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，在此之后送达的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，为无效投标，</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将一律被拒绝。</w:t>
      </w:r>
    </w:p>
    <w:p w14:paraId="623C4141">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出现因</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的修改而推迟投标截止时间的情况时，投标人则需按招标方的书面修改通知重新规定的投标时间递交。</w:t>
      </w:r>
    </w:p>
    <w:p w14:paraId="5D489E67">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3</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的修改和撤销</w:t>
      </w:r>
    </w:p>
    <w:p w14:paraId="364C4C0E">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　投标人在递交</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后，可在规定的投标截止时间之前，对其</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以书面通知的形式进行修改或撤消。该通知须有投标人的法人代表或其委托代理人的签字，并得到招标方的确认。</w:t>
      </w:r>
    </w:p>
    <w:p w14:paraId="02B00F6C">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修改的书面材料或撤消通知应按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要求进行密封、标注和递交，并注明“修改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”或“撤消投标”字样，修改或撤销的内容须按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的要求签署、盖章，并作为</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的组成部分。</w:t>
      </w:r>
    </w:p>
    <w:p w14:paraId="41290C5F">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.3</w:t>
      </w:r>
      <w:r>
        <w:rPr>
          <w:rFonts w:hint="eastAsia" w:ascii="宋体" w:hAnsi="宋体"/>
          <w:color w:val="auto"/>
          <w:sz w:val="24"/>
          <w:szCs w:val="24"/>
          <w:highlight w:val="none"/>
        </w:rPr>
        <w:t>　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修改的书面材料应于投标截止日前送达招标方，投标截止时间以后不得修改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w:t>
      </w:r>
    </w:p>
    <w:p w14:paraId="5F68E913">
      <w:pPr>
        <w:spacing w:line="440" w:lineRule="exact"/>
        <w:ind w:firstLine="480" w:firstLineChars="200"/>
        <w:rPr>
          <w:rFonts w:ascii="宋体" w:hAnsi="宋体"/>
          <w:b/>
          <w:color w:val="auto"/>
          <w:sz w:val="32"/>
          <w:szCs w:val="32"/>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.4  </w:t>
      </w:r>
      <w:r>
        <w:rPr>
          <w:rFonts w:hint="eastAsia" w:ascii="宋体" w:hAnsi="宋体"/>
          <w:color w:val="auto"/>
          <w:sz w:val="24"/>
          <w:szCs w:val="24"/>
          <w:highlight w:val="none"/>
        </w:rPr>
        <w:t>投标人不得在开标后至投标有效期期满前撤销</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，否则招标方将不予退还其投标保证金。</w:t>
      </w:r>
    </w:p>
    <w:p w14:paraId="7552572B">
      <w:pPr>
        <w:spacing w:line="440" w:lineRule="exact"/>
        <w:jc w:val="center"/>
        <w:outlineLvl w:val="1"/>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 xml:space="preserve">第四章 </w:t>
      </w:r>
      <w:r>
        <w:rPr>
          <w:rFonts w:hint="eastAsia" w:ascii="宋体" w:hAnsi="宋体" w:cs="Times New Roman"/>
          <w:b/>
          <w:color w:val="auto"/>
          <w:sz w:val="32"/>
          <w:szCs w:val="32"/>
          <w:highlight w:val="none"/>
          <w:lang w:val="en-US" w:eastAsia="zh-CN"/>
        </w:rPr>
        <w:t>评标委员会</w:t>
      </w:r>
    </w:p>
    <w:p w14:paraId="5A123569">
      <w:pPr>
        <w:spacing w:line="440" w:lineRule="exact"/>
        <w:ind w:left="481" w:leftChars="229"/>
        <w:rPr>
          <w:rFonts w:hint="eastAsia" w:ascii="宋体" w:hAnsi="宋体" w:eastAsia="宋体"/>
          <w:b/>
          <w:color w:val="auto"/>
          <w:sz w:val="24"/>
          <w:szCs w:val="24"/>
          <w:highlight w:val="none"/>
          <w:lang w:eastAsia="zh-CN"/>
        </w:rPr>
      </w:pPr>
      <w:bookmarkStart w:id="13" w:name="_Toc532473472"/>
      <w:bookmarkStart w:id="14" w:name="_Toc515647780"/>
      <w:bookmarkStart w:id="15" w:name="_Toc65166579"/>
      <w:bookmarkStart w:id="16" w:name="_Toc19296"/>
      <w:bookmarkStart w:id="17" w:name="_Toc520356165"/>
      <w:bookmarkStart w:id="18" w:name="_Toc21372"/>
      <w:r>
        <w:rPr>
          <w:rFonts w:ascii="宋体" w:hAnsi="宋体"/>
          <w:b/>
          <w:color w:val="auto"/>
          <w:sz w:val="24"/>
          <w:szCs w:val="24"/>
          <w:highlight w:val="none"/>
        </w:rPr>
        <w:t>1</w:t>
      </w: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评标委员会</w:t>
      </w:r>
    </w:p>
    <w:p w14:paraId="42F83E9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招标方将根据《中华人民共和国政府采购法》和《中华人民共和国招投标法》，依法组建本次</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，负责本次招标的评标活动。</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负责向招标方推荐一至三名中标候选人，并标明排列顺序。</w:t>
      </w:r>
    </w:p>
    <w:p w14:paraId="134CFE3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.2</w:t>
      </w:r>
      <w:r>
        <w:rPr>
          <w:rFonts w:hint="eastAsia" w:ascii="宋体" w:hAnsi="宋体"/>
          <w:color w:val="auto"/>
          <w:spacing w:val="-2"/>
          <w:sz w:val="24"/>
          <w:szCs w:val="24"/>
          <w:highlight w:val="none"/>
        </w:rPr>
        <w:t>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人选于开标前确定。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成员名单在中标结果确定前保密。</w:t>
      </w:r>
    </w:p>
    <w:p w14:paraId="05EAF58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.3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由有关技术、经济等方面的</w:t>
      </w:r>
      <w:r>
        <w:rPr>
          <w:rFonts w:hint="eastAsia" w:ascii="宋体" w:hAnsi="宋体"/>
          <w:color w:val="auto"/>
          <w:spacing w:val="-2"/>
          <w:sz w:val="24"/>
          <w:szCs w:val="24"/>
          <w:highlight w:val="none"/>
          <w:lang w:val="en-US" w:eastAsia="zh-CN"/>
        </w:rPr>
        <w:t>5名专家</w:t>
      </w:r>
      <w:r>
        <w:rPr>
          <w:rFonts w:hint="eastAsia" w:ascii="宋体" w:hAnsi="宋体"/>
          <w:color w:val="auto"/>
          <w:spacing w:val="-2"/>
          <w:sz w:val="24"/>
          <w:szCs w:val="24"/>
          <w:highlight w:val="none"/>
        </w:rPr>
        <w:t>组成。</w:t>
      </w:r>
    </w:p>
    <w:p w14:paraId="38A35CF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.4  </w:t>
      </w:r>
      <w:r>
        <w:rPr>
          <w:rFonts w:hint="eastAsia" w:ascii="宋体" w:hAnsi="宋体"/>
          <w:color w:val="auto"/>
          <w:spacing w:val="-2"/>
          <w:sz w:val="24"/>
          <w:szCs w:val="24"/>
          <w:highlight w:val="none"/>
        </w:rPr>
        <w:t>按前款规定，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的成员，由</w:t>
      </w:r>
      <w:r>
        <w:rPr>
          <w:rFonts w:hint="eastAsia" w:ascii="宋体" w:hAnsi="宋体"/>
          <w:color w:val="auto"/>
          <w:spacing w:val="-2"/>
          <w:sz w:val="24"/>
          <w:szCs w:val="24"/>
          <w:highlight w:val="none"/>
          <w:lang w:val="en-US" w:eastAsia="zh-CN"/>
        </w:rPr>
        <w:t>招标代理机构</w:t>
      </w:r>
      <w:r>
        <w:rPr>
          <w:rFonts w:hint="eastAsia" w:ascii="宋体" w:hAnsi="宋体"/>
          <w:color w:val="auto"/>
          <w:spacing w:val="-2"/>
          <w:sz w:val="24"/>
          <w:szCs w:val="24"/>
          <w:highlight w:val="none"/>
        </w:rPr>
        <w:t>从</w:t>
      </w:r>
      <w:r>
        <w:rPr>
          <w:rFonts w:hint="eastAsia" w:ascii="宋体" w:hAnsi="宋体"/>
          <w:color w:val="auto"/>
          <w:spacing w:val="-2"/>
          <w:sz w:val="24"/>
          <w:szCs w:val="24"/>
          <w:highlight w:val="none"/>
          <w:lang w:val="en-US" w:eastAsia="zh-CN"/>
        </w:rPr>
        <w:t>政采云</w:t>
      </w:r>
      <w:r>
        <w:rPr>
          <w:rFonts w:hint="eastAsia" w:ascii="宋体" w:hAnsi="宋体"/>
          <w:color w:val="auto"/>
          <w:spacing w:val="-2"/>
          <w:sz w:val="24"/>
          <w:szCs w:val="24"/>
          <w:highlight w:val="none"/>
        </w:rPr>
        <w:t>专家库采取随机抽取的方式确定。对于技术复杂、专业性要求较高或者国家有特殊要求的招标项目，采取随机抽取的方式抽取的专家不能满足评标工作需要时，将采取直接确定的方式选定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的人选。</w:t>
      </w:r>
    </w:p>
    <w:bookmarkEnd w:id="13"/>
    <w:bookmarkEnd w:id="14"/>
    <w:bookmarkEnd w:id="15"/>
    <w:bookmarkEnd w:id="16"/>
    <w:bookmarkEnd w:id="17"/>
    <w:bookmarkEnd w:id="18"/>
    <w:p w14:paraId="3521AD8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w:t>
      </w:r>
      <w:r>
        <w:rPr>
          <w:rFonts w:hint="eastAsia" w:ascii="宋体" w:hAnsi="宋体"/>
          <w:color w:val="auto"/>
          <w:spacing w:val="-2"/>
          <w:sz w:val="24"/>
          <w:szCs w:val="24"/>
          <w:highlight w:val="none"/>
        </w:rPr>
        <w:t>　评标专家的条件和回避规定。</w:t>
      </w:r>
    </w:p>
    <w:p w14:paraId="23E8E1C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.5.1</w:t>
      </w:r>
      <w:r>
        <w:rPr>
          <w:rFonts w:hint="eastAsia" w:ascii="宋体" w:hAnsi="宋体"/>
          <w:color w:val="auto"/>
          <w:spacing w:val="-2"/>
          <w:sz w:val="24"/>
          <w:szCs w:val="24"/>
          <w:highlight w:val="none"/>
        </w:rPr>
        <w:t>　评标专家应符合下列条件：</w:t>
      </w:r>
    </w:p>
    <w:p w14:paraId="2CE078B9">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熟悉有关政府采购和招标投标的法律法规；</w:t>
      </w:r>
    </w:p>
    <w:p w14:paraId="33F2E587">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在相关专业领域工作满八年并具有高级职称或者同等专业水平；</w:t>
      </w:r>
    </w:p>
    <w:p w14:paraId="246553B4">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具有与招标项目相关的实践经验；</w:t>
      </w:r>
    </w:p>
    <w:p w14:paraId="53E941F2">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能够认真、公正、诚实、廉洁的履行职责。</w:t>
      </w:r>
    </w:p>
    <w:p w14:paraId="2397F3A6">
      <w:pPr>
        <w:spacing w:line="440" w:lineRule="exact"/>
        <w:ind w:left="474" w:leftChars="224" w:hanging="4" w:hangingChars="2"/>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.5.2  </w:t>
      </w:r>
      <w:r>
        <w:rPr>
          <w:rFonts w:hint="eastAsia" w:ascii="宋体" w:hAnsi="宋体"/>
          <w:color w:val="auto"/>
          <w:spacing w:val="-2"/>
          <w:sz w:val="24"/>
          <w:szCs w:val="24"/>
          <w:highlight w:val="none"/>
        </w:rPr>
        <w:t>有下列情形之一的，不得担任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w:t>
      </w:r>
    </w:p>
    <w:p w14:paraId="182B22DA">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与投标人或者投标人主要负责人有近亲关系的；</w:t>
      </w:r>
    </w:p>
    <w:p w14:paraId="45C3322B">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与项目主管部门或者行政监督部门的人员有近亲关系的；</w:t>
      </w:r>
    </w:p>
    <w:p w14:paraId="2C9113F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与投标人有经济利益关系，可能影响对投标公正评审的；</w:t>
      </w:r>
    </w:p>
    <w:p w14:paraId="0108FBF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曾因在招标、评标以及其他与招标投标有关活动中从事违法行为而受过行政处罚或刑事处罚的。</w:t>
      </w:r>
    </w:p>
    <w:p w14:paraId="1C77761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成员有前款规定情形之一的，应当主动提出回避。</w:t>
      </w:r>
    </w:p>
    <w:p w14:paraId="00634575">
      <w:pPr>
        <w:spacing w:line="440" w:lineRule="exact"/>
        <w:ind w:firstLine="480" w:firstLineChars="200"/>
        <w:rPr>
          <w:rFonts w:ascii="宋体" w:hAnsi="宋体"/>
          <w:color w:val="auto"/>
          <w:spacing w:val="-2"/>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4</w:t>
      </w:r>
      <w:r>
        <w:rPr>
          <w:rFonts w:ascii="宋体" w:hAnsi="宋体"/>
          <w:bCs/>
          <w:color w:val="auto"/>
          <w:sz w:val="24"/>
          <w:szCs w:val="24"/>
          <w:highlight w:val="none"/>
        </w:rPr>
        <w:t>.6</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成员应当熟悉并认真研究</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，至少应了解和熟悉以下内容：</w:t>
      </w:r>
    </w:p>
    <w:p w14:paraId="701A610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招标目的；</w:t>
      </w:r>
    </w:p>
    <w:p w14:paraId="79F4FABE">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招标项目的范围、性质；</w:t>
      </w:r>
    </w:p>
    <w:p w14:paraId="74B1ADD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中规定的主要技术要求、标准和商务条款；</w:t>
      </w:r>
    </w:p>
    <w:p w14:paraId="76AE83EE">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招标文件</w:t>
      </w:r>
      <w:r>
        <w:rPr>
          <w:rFonts w:hint="eastAsia" w:ascii="宋体" w:hAnsi="宋体"/>
          <w:color w:val="auto"/>
          <w:spacing w:val="-2"/>
          <w:sz w:val="24"/>
          <w:szCs w:val="24"/>
          <w:highlight w:val="none"/>
        </w:rPr>
        <w:t>规定的评标标准、评标方法和在评标过程中应考虑的相关因素。</w:t>
      </w:r>
    </w:p>
    <w:p w14:paraId="703A943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.7  </w:t>
      </w:r>
      <w:r>
        <w:rPr>
          <w:rFonts w:hint="eastAsia" w:ascii="宋体" w:hAnsi="宋体"/>
          <w:color w:val="auto"/>
          <w:spacing w:val="-2"/>
          <w:sz w:val="24"/>
          <w:szCs w:val="24"/>
          <w:highlight w:val="none"/>
        </w:rPr>
        <w:t>招标方应当向</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提供评标所需的重要信息和数据。</w:t>
      </w:r>
    </w:p>
    <w:p w14:paraId="272BCF1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.8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规定的评标标准和方法，对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进行系统地评审和比较。</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中没有规定的标准和方法不得作为评标的依据。</w:t>
      </w:r>
    </w:p>
    <w:p w14:paraId="75457F8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.9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成员应当客观、公正地履行职责，遵守职业道德，并对所提出的评审意见承担个人责任。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成员不得与任何投标人或者与招标结果有利害关系的人员进行私下接触，不得收受投标人、中介人或其他有利害关系人的财物或好处。</w:t>
      </w:r>
    </w:p>
    <w:p w14:paraId="7B0185F7">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.10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成员和与本次评标活动有关的工作人员，不得透露对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的评审和比较、中标候选人的推荐情况以及与评标有关的其他情况。</w:t>
      </w:r>
    </w:p>
    <w:p w14:paraId="530F835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.11</w:t>
      </w:r>
      <w:r>
        <w:rPr>
          <w:rFonts w:hint="eastAsia" w:ascii="宋体" w:hAnsi="宋体"/>
          <w:color w:val="auto"/>
          <w:spacing w:val="-2"/>
          <w:sz w:val="24"/>
          <w:szCs w:val="24"/>
          <w:highlight w:val="none"/>
        </w:rPr>
        <w:t>　与评标活动有关的工作人员，是指</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成员以外的、因参与评标监督工作或者事务性工作而知悉有关评标情况的所有人员。</w:t>
      </w:r>
    </w:p>
    <w:p w14:paraId="61F9CDCC">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14.12   采购人或采购代理机构将按投标须知前附表中规定</w:t>
      </w:r>
      <w:r>
        <w:rPr>
          <w:rFonts w:hint="eastAsia" w:ascii="宋体" w:hAnsi="宋体" w:eastAsia="宋体" w:cs="宋体"/>
          <w:color w:val="auto"/>
          <w:sz w:val="24"/>
          <w:szCs w:val="24"/>
          <w:highlight w:val="none"/>
        </w:rPr>
        <w:t>的时间查询投标人的信用记录。</w:t>
      </w:r>
    </w:p>
    <w:p w14:paraId="5B0C102B">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14.13</w:t>
      </w:r>
      <w:r>
        <w:rPr>
          <w:rFonts w:hint="eastAsia" w:ascii="宋体" w:hAnsi="宋体" w:eastAsia="宋体" w:cs="宋体"/>
          <w:color w:val="auto"/>
          <w:sz w:val="24"/>
          <w:szCs w:val="24"/>
          <w:highlight w:val="none"/>
        </w:rPr>
        <w:t>投标人在中国政府采购网（www.ccgp.gov.cn）被列入政府采购严重违法失信行为记录名单，或在“信用中国”网站（www.creditchina.gov.cn）被列入失信被执行人、重大税收违法案件当事人名单，投标将被认定为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2C12DB1">
      <w:pPr>
        <w:spacing w:line="360" w:lineRule="auto"/>
        <w:ind w:left="849" w:leftChars="401" w:hanging="7" w:hangingChars="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0830903">
      <w:pPr>
        <w:pStyle w:val="6"/>
        <w:spacing w:line="360" w:lineRule="auto"/>
        <w:ind w:left="843" w:leftChars="228" w:hanging="364" w:hangingChars="15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14.14</w:t>
      </w:r>
      <w:r>
        <w:rPr>
          <w:rFonts w:hint="eastAsia" w:ascii="宋体" w:hAnsi="宋体" w:eastAsia="宋体" w:cs="宋体"/>
          <w:color w:val="auto"/>
          <w:sz w:val="24"/>
          <w:szCs w:val="24"/>
          <w:highlight w:val="none"/>
        </w:rPr>
        <w:t xml:space="preserve">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5B69FE3F">
      <w:pPr>
        <w:spacing w:line="440" w:lineRule="exact"/>
        <w:jc w:val="center"/>
        <w:rPr>
          <w:rFonts w:ascii="宋体" w:hAnsi="宋体"/>
          <w:b/>
          <w:color w:val="auto"/>
          <w:sz w:val="32"/>
          <w:szCs w:val="32"/>
          <w:highlight w:val="none"/>
        </w:rPr>
      </w:pPr>
    </w:p>
    <w:p w14:paraId="21F750B7">
      <w:pPr>
        <w:spacing w:line="440" w:lineRule="exact"/>
        <w:jc w:val="center"/>
        <w:outlineLvl w:val="1"/>
        <w:rPr>
          <w:rFonts w:ascii="宋体" w:hAnsi="宋体"/>
          <w:b/>
          <w:color w:val="auto"/>
          <w:sz w:val="32"/>
          <w:szCs w:val="32"/>
          <w:highlight w:val="none"/>
        </w:rPr>
      </w:pPr>
      <w:bookmarkStart w:id="19" w:name="_Toc497239291"/>
      <w:r>
        <w:rPr>
          <w:rFonts w:hint="eastAsia" w:ascii="宋体" w:hAnsi="宋体"/>
          <w:b/>
          <w:color w:val="auto"/>
          <w:sz w:val="32"/>
          <w:szCs w:val="32"/>
          <w:highlight w:val="none"/>
          <w:lang w:val="en-US" w:eastAsia="zh-CN"/>
        </w:rPr>
        <w:t xml:space="preserve">第五章 </w:t>
      </w:r>
      <w:r>
        <w:rPr>
          <w:rFonts w:hint="eastAsia" w:ascii="宋体" w:hAnsi="宋体"/>
          <w:b/>
          <w:color w:val="auto"/>
          <w:sz w:val="32"/>
          <w:szCs w:val="32"/>
          <w:highlight w:val="none"/>
        </w:rPr>
        <w:t>开　标</w:t>
      </w:r>
      <w:bookmarkEnd w:id="19"/>
    </w:p>
    <w:p w14:paraId="69DC6996">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z w:val="24"/>
          <w:szCs w:val="24"/>
          <w:highlight w:val="none"/>
        </w:rPr>
        <w:t>开标</w:t>
      </w:r>
    </w:p>
    <w:p w14:paraId="4D6246A8">
      <w:pPr>
        <w:spacing w:line="440" w:lineRule="exact"/>
        <w:ind w:firstLine="480" w:firstLineChars="200"/>
        <w:rPr>
          <w:rFonts w:ascii="宋体" w:hAnsi="宋体"/>
          <w:color w:val="auto"/>
          <w:sz w:val="24"/>
          <w:szCs w:val="24"/>
          <w:highlight w:val="none"/>
        </w:rPr>
      </w:pPr>
      <w:bookmarkStart w:id="20" w:name="_Toc497239292"/>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本次招标按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须知</w:t>
      </w:r>
      <w:r>
        <w:rPr>
          <w:rFonts w:hint="eastAsia" w:ascii="宋体" w:hAnsi="宋体"/>
          <w:color w:val="auto"/>
          <w:sz w:val="24"/>
          <w:szCs w:val="24"/>
          <w:highlight w:val="none"/>
          <w:lang w:val="en-US" w:eastAsia="zh-CN"/>
        </w:rPr>
        <w:t>前附表</w:t>
      </w:r>
      <w:r>
        <w:rPr>
          <w:rFonts w:hint="eastAsia" w:ascii="宋体" w:hAnsi="宋体"/>
          <w:color w:val="auto"/>
          <w:sz w:val="24"/>
          <w:szCs w:val="24"/>
          <w:highlight w:val="none"/>
        </w:rPr>
        <w:t>中规定的时间和</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进行公开开标，允许</w:t>
      </w:r>
      <w:r>
        <w:rPr>
          <w:rFonts w:hint="eastAsia" w:ascii="宋体" w:hAnsi="宋体"/>
          <w:color w:val="auto"/>
          <w:sz w:val="24"/>
          <w:szCs w:val="24"/>
          <w:highlight w:val="none"/>
          <w:lang w:val="en-US" w:eastAsia="zh-CN"/>
        </w:rPr>
        <w:t>符合条件的供应商</w:t>
      </w:r>
      <w:r>
        <w:rPr>
          <w:rFonts w:hint="eastAsia" w:ascii="宋体" w:hAnsi="宋体"/>
          <w:color w:val="auto"/>
          <w:sz w:val="24"/>
          <w:szCs w:val="24"/>
          <w:highlight w:val="none"/>
        </w:rPr>
        <w:t>参加开标会。</w:t>
      </w:r>
    </w:p>
    <w:p w14:paraId="25F823D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15.2 </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0DE38C5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15.3 </w:t>
      </w:r>
      <w:r>
        <w:rPr>
          <w:rFonts w:hint="default" w:ascii="宋体" w:hAnsi="宋体" w:eastAsia="宋体" w:cs="宋体"/>
          <w:b w:val="0"/>
          <w:bCs w:val="0"/>
          <w:color w:val="auto"/>
          <w:kern w:val="0"/>
          <w:sz w:val="24"/>
          <w:szCs w:val="24"/>
          <w:highlight w:val="none"/>
          <w:lang w:val="en-US" w:eastAsia="zh-CN" w:bidi="ar"/>
        </w:rPr>
        <w:t>本项目实行网上投标，采用加密电子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(供应商须使用CA加密设备通过政采云电子投标客户端制作</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)。若供应商参与投标，自行承担投标一切费用。</w:t>
      </w:r>
    </w:p>
    <w:p w14:paraId="65E7575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15.4 </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53B2D4F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15.5 </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p w14:paraId="29159174">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15.6 </w:t>
      </w:r>
      <w:r>
        <w:rPr>
          <w:rFonts w:hint="default" w:ascii="宋体" w:hAnsi="宋体" w:eastAsia="宋体" w:cs="宋体"/>
          <w:b w:val="0"/>
          <w:bCs w:val="0"/>
          <w:color w:val="auto"/>
          <w:kern w:val="0"/>
          <w:sz w:val="24"/>
          <w:szCs w:val="24"/>
          <w:highlight w:val="none"/>
          <w:lang w:val="en-US" w:eastAsia="zh-CN" w:bidi="ar"/>
        </w:rPr>
        <w:t>供应商在开标时须使用制作加密电子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所使用的CA锁及电脑，电脑须提前配置好浏览器（建议使用谷歌浏览器），以便开标时解锁。</w:t>
      </w:r>
    </w:p>
    <w:p w14:paraId="68B198C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15.7</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5163DC1">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15.8 </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6DDE2B0D">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15.9 </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color w:val="auto"/>
          <w:kern w:val="2"/>
          <w:sz w:val="24"/>
          <w:szCs w:val="24"/>
          <w:highlight w:val="none"/>
          <w:lang w:val="en-US" w:eastAsia="zh-CN" w:bidi="ar-SA"/>
        </w:rPr>
        <w:t>（本项目专门面向中小企业）</w:t>
      </w:r>
    </w:p>
    <w:p w14:paraId="436C47EF">
      <w:pPr>
        <w:spacing w:line="440" w:lineRule="exact"/>
        <w:ind w:firstLine="480" w:firstLineChars="200"/>
        <w:jc w:val="center"/>
        <w:outlineLvl w:val="1"/>
        <w:rPr>
          <w:rFonts w:hint="eastAsia" w:ascii="宋体" w:hAnsi="宋体"/>
          <w:b/>
          <w:bCs/>
          <w:color w:val="auto"/>
          <w:sz w:val="32"/>
          <w:highlight w:val="none"/>
        </w:rPr>
      </w:pPr>
      <w:r>
        <w:rPr>
          <w:rFonts w:hint="eastAsia" w:ascii="宋体" w:hAnsi="宋体" w:cs="宋体"/>
          <w:color w:val="auto"/>
          <w:sz w:val="24"/>
          <w:szCs w:val="24"/>
          <w:highlight w:val="none"/>
          <w:lang w:val="en-US" w:eastAsia="zh-CN"/>
        </w:rPr>
        <w:t xml:space="preserve"> 16. </w:t>
      </w:r>
      <w:r>
        <w:rPr>
          <w:rFonts w:hint="eastAsia" w:ascii="宋体" w:hAnsi="宋体" w:cs="宋体"/>
          <w:color w:val="auto"/>
          <w:sz w:val="24"/>
          <w:szCs w:val="24"/>
          <w:highlight w:val="none"/>
        </w:rPr>
        <w:t>已经进行资格预审的，可以不再对供应商资格进行审查，资格预审合格的供应商在评审阶段资格发生变化的，应当通知采购人和采购代理机构。</w:t>
      </w:r>
    </w:p>
    <w:p w14:paraId="64613900">
      <w:pPr>
        <w:spacing w:line="440" w:lineRule="exact"/>
        <w:ind w:firstLine="643" w:firstLineChars="200"/>
        <w:jc w:val="center"/>
        <w:outlineLvl w:val="1"/>
        <w:rPr>
          <w:rFonts w:ascii="宋体" w:hAnsi="宋体"/>
          <w:b/>
          <w:bCs/>
          <w:color w:val="auto"/>
          <w:sz w:val="32"/>
          <w:highlight w:val="none"/>
        </w:rPr>
      </w:pPr>
      <w:r>
        <w:rPr>
          <w:rFonts w:hint="eastAsia" w:ascii="宋体" w:hAnsi="宋体"/>
          <w:b/>
          <w:bCs/>
          <w:color w:val="auto"/>
          <w:sz w:val="32"/>
          <w:highlight w:val="none"/>
          <w:lang w:val="en-US" w:eastAsia="zh-CN"/>
        </w:rPr>
        <w:t xml:space="preserve">第六章 </w:t>
      </w:r>
      <w:r>
        <w:rPr>
          <w:rFonts w:hint="eastAsia" w:ascii="宋体" w:hAnsi="宋体"/>
          <w:b/>
          <w:bCs/>
          <w:color w:val="auto"/>
          <w:sz w:val="32"/>
          <w:highlight w:val="none"/>
        </w:rPr>
        <w:t>评　标</w:t>
      </w:r>
      <w:bookmarkEnd w:id="20"/>
    </w:p>
    <w:p w14:paraId="10FE645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17. </w:t>
      </w:r>
      <w:r>
        <w:rPr>
          <w:rFonts w:hint="eastAsia" w:ascii="宋体" w:hAnsi="宋体"/>
          <w:b/>
          <w:color w:val="auto"/>
          <w:sz w:val="24"/>
          <w:szCs w:val="24"/>
          <w:highlight w:val="none"/>
        </w:rPr>
        <w:t>评标</w:t>
      </w:r>
    </w:p>
    <w:p w14:paraId="0A1901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评标的依据为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50CFA575">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w:t>
      </w:r>
      <w:r>
        <w:rPr>
          <w:rFonts w:hint="eastAsia" w:ascii="宋体" w:hAnsi="宋体" w:eastAsia="宋体" w:cs="宋体"/>
          <w:color w:val="auto"/>
          <w:sz w:val="24"/>
          <w:szCs w:val="24"/>
          <w:highlight w:val="none"/>
        </w:rPr>
        <w:t>符合性审查是指依据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的规定，从商务和技术角度对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的有效性和完整性进行审查，以确定是否对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的实质性要求做出响应，填写“商务符合性审查表”。</w:t>
      </w:r>
    </w:p>
    <w:p w14:paraId="3DBF9BE0">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有关事项作出澄清或者说明（如有）</w:t>
      </w:r>
    </w:p>
    <w:p w14:paraId="4B87CE8E">
      <w:pPr>
        <w:pStyle w:val="11"/>
        <w:numPr>
          <w:ilvl w:val="0"/>
          <w:numId w:val="6"/>
        </w:numPr>
        <w:spacing w:before="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合格的投标人进行</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w:t>
      </w:r>
    </w:p>
    <w:p w14:paraId="31B2A697">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规定的评分办法对各供应商进行评分，并告知各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在规定时间内填写最终报价；</w:t>
      </w:r>
    </w:p>
    <w:p w14:paraId="1CBF1283">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待所有供应商填写完毕最终报价并上交主持人后，主持人当众宣布各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最终报价；</w:t>
      </w:r>
    </w:p>
    <w:p w14:paraId="11AB0876">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进行比较和评价</w:t>
      </w:r>
    </w:p>
    <w:p w14:paraId="2C1B8401">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全部实质性要求的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规定的评审因素的量化指标进行评审打分，以评审得分从高到低顺序确定中标候选人。</w:t>
      </w:r>
    </w:p>
    <w:p w14:paraId="2A6A2D4A">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每位成员独立对每个有效投标人的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进行评价、打分；然后汇总每个投标人的得分，计算得分平均值，以平均值由高到低进行排序，按排序顺序推荐中标候选人。分值计算保留小数点后</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位，第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位四舍五入。</w:t>
      </w:r>
    </w:p>
    <w:p w14:paraId="44148EA3">
      <w:pPr>
        <w:pStyle w:val="11"/>
        <w:numPr>
          <w:ilvl w:val="0"/>
          <w:numId w:val="6"/>
        </w:numPr>
        <w:spacing w:before="0" w:line="360" w:lineRule="auto"/>
        <w:ind w:left="0"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确定中标候选人名单，或者根据采购人委托直接确定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D0A1441">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采购代理机构核对评标结果。</w:t>
      </w:r>
    </w:p>
    <w:p w14:paraId="74E72FF5">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评审标准中应考虑下列因素：</w:t>
      </w:r>
    </w:p>
    <w:p w14:paraId="7D77836A">
      <w:pPr>
        <w:pStyle w:val="11"/>
        <w:spacing w:before="0" w:line="360" w:lineRule="auto"/>
        <w:ind w:firstLine="540" w:firstLineChars="22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%的扣除，用扣除后的价格参与评审，具体扣除比例由采购人确定，在评审过程中，将根据采购项目的特性，在</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p>
    <w:p w14:paraId="2EEC46E9">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2.联合协议中约定，小型、微型企业和监狱企业的协议合同金额占到联合体协议合同总金额30%以上的，可给予联合体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p w14:paraId="5748F603">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联合体各方均为小型、微型企业和监狱企业的，联合体视同为小型、微型企业和监狱企业。</w:t>
      </w:r>
    </w:p>
    <w:p w14:paraId="723B730B">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采购人采购产品属于节能产品、环境标志产品品目清单范围内，且投标人所投产品具有有效期内的产品认证证书，在评标时予以优先采购，具体优惠措施为：在技术部分打分项中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每有一项产品为政府采购节能产品（不包括强制节能产品）或环境标志产品</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0.5分（如果两者皆是加1分），最多</w:t>
      </w:r>
      <w:r>
        <w:rPr>
          <w:rFonts w:hint="eastAsia" w:ascii="宋体" w:hAnsi="宋体" w:eastAsia="宋体" w:cs="宋体"/>
          <w:color w:val="auto"/>
          <w:sz w:val="24"/>
          <w:szCs w:val="24"/>
          <w:highlight w:val="none"/>
          <w:lang w:eastAsia="zh-CN"/>
        </w:rPr>
        <w:t>加2</w:t>
      </w:r>
      <w:r>
        <w:rPr>
          <w:rFonts w:hint="eastAsia" w:ascii="宋体" w:hAnsi="宋体" w:eastAsia="宋体" w:cs="宋体"/>
          <w:color w:val="auto"/>
          <w:sz w:val="24"/>
          <w:szCs w:val="24"/>
          <w:highlight w:val="none"/>
        </w:rPr>
        <w:t>分。</w:t>
      </w:r>
    </w:p>
    <w:p w14:paraId="697053D9">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投标人所投产品列入无线局域网产品清单，应提供相关证明，在评标时予以优先采购，具体优惠措施为：在技术部分打分项中加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 。</w:t>
      </w:r>
    </w:p>
    <w:p w14:paraId="1652C99C">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4.如采购人所采购产品为政府强制采购的节能产品，投标人所投产品的品牌及型号必须为清单中有效期内产品并提供证明文件，否则其投标将作为无效投标被拒绝。</w:t>
      </w:r>
    </w:p>
    <w:p w14:paraId="303B7C33">
      <w:pPr>
        <w:pStyle w:val="11"/>
        <w:tabs>
          <w:tab w:val="left" w:pos="567"/>
        </w:tabs>
        <w:spacing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5.其他政府采购政策要求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F724F5">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6.同品牌处理办法：</w:t>
      </w:r>
    </w:p>
    <w:p w14:paraId="322669C4">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核心产品</w:t>
      </w:r>
      <w:r>
        <w:rPr>
          <w:rFonts w:hint="eastAsia" w:ascii="宋体" w:hAnsi="宋体" w:eastAsia="宋体" w:cs="宋体"/>
          <w:color w:val="auto"/>
          <w:sz w:val="24"/>
          <w:szCs w:val="24"/>
          <w:highlight w:val="none"/>
          <w:u w:val="single"/>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19E61086">
      <w:pPr>
        <w:pStyle w:val="11"/>
        <w:spacing w:before="0" w:line="360" w:lineRule="auto"/>
        <w:ind w:left="-181" w:leftChars="-86" w:firstLine="660" w:firstLineChars="2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7.中标候选人并列时的处理方式：</w:t>
      </w:r>
    </w:p>
    <w:p w14:paraId="1B443307">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综合得分相同，按报价由低向高依次排序</w:t>
      </w:r>
      <w:r>
        <w:rPr>
          <w:rFonts w:hint="eastAsia" w:ascii="宋体" w:hAnsi="宋体" w:eastAsia="宋体" w:cs="宋体"/>
          <w:color w:val="auto"/>
          <w:sz w:val="24"/>
          <w:szCs w:val="24"/>
          <w:highlight w:val="none"/>
        </w:rPr>
        <w:t>。</w:t>
      </w:r>
    </w:p>
    <w:p w14:paraId="436913F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18. </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的澄清</w:t>
      </w:r>
    </w:p>
    <w:p w14:paraId="3CC86FE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18.1</w:t>
      </w:r>
      <w:r>
        <w:rPr>
          <w:rFonts w:hint="eastAsia" w:ascii="宋体" w:hAnsi="宋体"/>
          <w:color w:val="auto"/>
          <w:spacing w:val="-2"/>
          <w:sz w:val="24"/>
          <w:szCs w:val="24"/>
          <w:highlight w:val="none"/>
        </w:rPr>
        <w:t>　为有助于对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74A2141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18.2</w:t>
      </w:r>
      <w:r>
        <w:rPr>
          <w:rFonts w:hint="eastAsia" w:ascii="宋体" w:hAnsi="宋体"/>
          <w:color w:val="auto"/>
          <w:spacing w:val="-2"/>
          <w:sz w:val="24"/>
          <w:szCs w:val="24"/>
          <w:highlight w:val="none"/>
        </w:rPr>
        <w:t>　答疑和澄清的内容应是书面的，但不得对投标的价格、技术指标和参数等内容进行实质性修改。澄清文件须由投标人法定代表人或其授权代表签字或加盖投标人公章，并作为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的组成部分。</w:t>
      </w:r>
    </w:p>
    <w:p w14:paraId="67E40D0F">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19. </w:t>
      </w:r>
      <w:r>
        <w:rPr>
          <w:rFonts w:hint="eastAsia" w:ascii="宋体" w:hAnsi="宋体"/>
          <w:b/>
          <w:color w:val="auto"/>
          <w:sz w:val="24"/>
          <w:szCs w:val="24"/>
          <w:highlight w:val="none"/>
        </w:rPr>
        <w:t>对</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的评估和比较</w:t>
      </w:r>
    </w:p>
    <w:p w14:paraId="17B879E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19.1</w:t>
      </w:r>
      <w:r>
        <w:rPr>
          <w:rFonts w:hint="eastAsia" w:ascii="宋体" w:hAnsi="宋体"/>
          <w:color w:val="auto"/>
          <w:spacing w:val="-2"/>
          <w:sz w:val="24"/>
          <w:szCs w:val="24"/>
          <w:highlight w:val="none"/>
        </w:rPr>
        <w:t>　对实质性响应的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进行评估和比较。</w:t>
      </w:r>
    </w:p>
    <w:p w14:paraId="498B355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w:t>
      </w:r>
      <w:r>
        <w:rPr>
          <w:rFonts w:hint="eastAsia" w:ascii="宋体" w:hAnsi="宋体"/>
          <w:color w:val="auto"/>
          <w:spacing w:val="-2"/>
          <w:sz w:val="24"/>
          <w:szCs w:val="24"/>
          <w:highlight w:val="none"/>
        </w:rPr>
        <w:t>2　对以下因素进行评估和比较：</w:t>
      </w:r>
    </w:p>
    <w:p w14:paraId="663BF6DE">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的审查和响应性的确定；</w:t>
      </w:r>
    </w:p>
    <w:p w14:paraId="3D4CCEEA">
      <w:pPr>
        <w:numPr>
          <w:ilvl w:val="0"/>
          <w:numId w:val="7"/>
        </w:numPr>
        <w:tabs>
          <w:tab w:val="left" w:pos="540"/>
        </w:tabs>
        <w:spacing w:line="440" w:lineRule="exact"/>
        <w:ind w:left="540" w:firstLine="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中投标人的财务、技术和生产/供货能力的确定；</w:t>
      </w:r>
    </w:p>
    <w:p w14:paraId="11C0A347">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对投标产品技术性能先进性和经济性的确定；</w:t>
      </w:r>
    </w:p>
    <w:p w14:paraId="51387FE9">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对投标人售后服务机构设置和能力的确定；</w:t>
      </w:r>
    </w:p>
    <w:p w14:paraId="74D09655">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技术规格偏差的调整确定；</w:t>
      </w:r>
    </w:p>
    <w:p w14:paraId="6D725A33">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商务偏差的调整确定；</w:t>
      </w:r>
    </w:p>
    <w:p w14:paraId="17A39D9C">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对投标人的技术、商务澄清内容答复的确定；</w:t>
      </w:r>
    </w:p>
    <w:p w14:paraId="5DD56FA3">
      <w:pPr>
        <w:numPr>
          <w:ilvl w:val="0"/>
          <w:numId w:val="7"/>
        </w:numPr>
        <w:tabs>
          <w:tab w:val="left" w:pos="540"/>
          <w:tab w:val="left" w:pos="126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 xml:space="preserve">  对近三年经营业绩表的业绩评估确定；</w:t>
      </w:r>
    </w:p>
    <w:p w14:paraId="00FFD8E1">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其他特殊要求因素（如节能、安全和环保等）。</w:t>
      </w:r>
    </w:p>
    <w:p w14:paraId="53B4DA8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20. </w:t>
      </w:r>
      <w:r>
        <w:rPr>
          <w:rFonts w:hint="eastAsia" w:ascii="宋体" w:hAnsi="宋体"/>
          <w:b/>
          <w:color w:val="auto"/>
          <w:sz w:val="24"/>
          <w:szCs w:val="24"/>
          <w:highlight w:val="none"/>
        </w:rPr>
        <w:t>评标过程的保密</w:t>
      </w:r>
    </w:p>
    <w:p w14:paraId="5CF4C236">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20.1  </w:t>
      </w:r>
      <w:r>
        <w:rPr>
          <w:rFonts w:hint="eastAsia" w:ascii="宋体" w:hAnsi="宋体"/>
          <w:color w:val="auto"/>
          <w:spacing w:val="-2"/>
          <w:sz w:val="24"/>
          <w:szCs w:val="24"/>
          <w:highlight w:val="none"/>
        </w:rPr>
        <w:t>开标后，凡是属于审查、澄清、评价和比较的有关资料以及授标建议等，</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成员或参与评标的有关工作人员均不得向投标人或其他无关的人员透露，违者给予警告、取消担任</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成员的资格，不得再参加任何投标项目的评标。</w:t>
      </w:r>
    </w:p>
    <w:p w14:paraId="55BA7072">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20.2 </w:t>
      </w:r>
      <w:r>
        <w:rPr>
          <w:rFonts w:hint="eastAsia" w:ascii="宋体" w:hAnsi="宋体"/>
          <w:color w:val="auto"/>
          <w:spacing w:val="-2"/>
          <w:sz w:val="24"/>
          <w:szCs w:val="24"/>
          <w:highlight w:val="none"/>
        </w:rPr>
        <w:t>投标人在评标过程中，所进行的试图影响评标结果的不符合《中华人民共和国政府采购法》</w:t>
      </w:r>
      <w:r>
        <w:rPr>
          <w:rFonts w:hint="eastAsia" w:ascii="宋体" w:hAnsi="宋体"/>
          <w:color w:val="auto"/>
          <w:sz w:val="24"/>
          <w:szCs w:val="24"/>
          <w:highlight w:val="none"/>
        </w:rPr>
        <w:t>和《中华人民共和国招标投标法》</w:t>
      </w:r>
      <w:r>
        <w:rPr>
          <w:rFonts w:hint="eastAsia" w:ascii="宋体" w:hAnsi="宋体"/>
          <w:color w:val="auto"/>
          <w:spacing w:val="-2"/>
          <w:sz w:val="24"/>
          <w:szCs w:val="24"/>
          <w:highlight w:val="none"/>
        </w:rPr>
        <w:t>及本次招标有关规定的活动，将被取消中标资格。</w:t>
      </w:r>
    </w:p>
    <w:p w14:paraId="648D5D2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21. </w:t>
      </w:r>
      <w:r>
        <w:rPr>
          <w:rFonts w:hint="eastAsia" w:ascii="宋体" w:hAnsi="宋体"/>
          <w:b/>
          <w:color w:val="auto"/>
          <w:sz w:val="24"/>
          <w:szCs w:val="24"/>
          <w:highlight w:val="none"/>
        </w:rPr>
        <w:t>初步评审</w:t>
      </w:r>
    </w:p>
    <w:p w14:paraId="5876880E">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 xml:space="preserve">21.1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可以以书面方式要求投标人对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中含义不明确、对同类问题表述不一致或者有明显文字和计算错误的内容作必要的澄清、说明或补正。澄清、说明或补正应以书面方式进行</w:t>
      </w:r>
      <w:r>
        <w:rPr>
          <w:rFonts w:ascii="宋体" w:hAnsi="宋体"/>
          <w:color w:val="auto"/>
          <w:spacing w:val="-2"/>
          <w:sz w:val="24"/>
          <w:szCs w:val="24"/>
          <w:highlight w:val="none"/>
        </w:rPr>
        <w:t>,</w:t>
      </w:r>
      <w:r>
        <w:rPr>
          <w:rFonts w:hint="eastAsia" w:ascii="宋体" w:hAnsi="宋体"/>
          <w:color w:val="auto"/>
          <w:spacing w:val="-2"/>
          <w:sz w:val="24"/>
          <w:szCs w:val="24"/>
          <w:highlight w:val="none"/>
        </w:rPr>
        <w:t>且不得超出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的范围或者改变</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51D58B8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2　招标方不接受不符合国家有关部门相关规定的投标报价或优惠方案。</w:t>
      </w:r>
    </w:p>
    <w:p w14:paraId="7EC660A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3　在评标过程中，</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发现投标人以他人名义投标、串通投标、以行贿手段谋取中标或者以其他弄虚作假方式投标的，该投标人的投标应作废标处理。</w:t>
      </w:r>
    </w:p>
    <w:p w14:paraId="129482F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投标人的资格条件不符合国家有关规定和</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要求的，或者拒不按照要求对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进行澄清、说明或补正的，</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可以否决其投标。</w:t>
      </w:r>
    </w:p>
    <w:p w14:paraId="26391A3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5</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应当审查每一</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提出的所有实质性要求和条件做出满足。未能在实质上满足的投标，应作废标处理。</w:t>
      </w:r>
    </w:p>
    <w:p w14:paraId="6639EC0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6　投标人不得误导、干扰招标方的评标活动，否则将废除其投标。</w:t>
      </w:r>
    </w:p>
    <w:p w14:paraId="7D71515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7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，审查并逐项列出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的全部投标偏差。投标偏差分为重大偏差和细微偏差。</w:t>
      </w:r>
    </w:p>
    <w:p w14:paraId="638942A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8</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下列情况属于重大偏差：</w:t>
      </w:r>
    </w:p>
    <w:p w14:paraId="5A5A6D3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）没有按照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要求提供投标保证金的；</w:t>
      </w:r>
    </w:p>
    <w:p w14:paraId="596F48A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2</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没有投标人授权代表签字和加盖公章的；</w:t>
      </w:r>
    </w:p>
    <w:p w14:paraId="41D3BFE2">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3</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中附有招标方不能接受的条件的；</w:t>
      </w:r>
    </w:p>
    <w:p w14:paraId="1B435D97">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4</w:t>
      </w:r>
      <w:r>
        <w:rPr>
          <w:rFonts w:hint="eastAsia" w:ascii="宋体" w:hAnsi="宋体"/>
          <w:color w:val="auto"/>
          <w:spacing w:val="-2"/>
          <w:sz w:val="24"/>
          <w:szCs w:val="24"/>
          <w:highlight w:val="none"/>
        </w:rPr>
        <w:t>）不符合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中规定的其他实质性要求的。</w:t>
      </w:r>
    </w:p>
    <w:p w14:paraId="4D89CB8F">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有上述情形之一的，为未能对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做出实质性满足的投标，并作废标处理。</w:t>
      </w:r>
    </w:p>
    <w:p w14:paraId="61B8D3B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9</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细微偏差是指投标实质上满足了</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要求，但在个别地方存在漏项或者提供了不完整的技术信息和数据等情况，并且补正这些遗漏或不完整不会对其他投标人造成不公平的结果。细微偏差不影响</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的有效性。</w:t>
      </w:r>
    </w:p>
    <w:p w14:paraId="7345EBB0">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应当要求存在细小偏差的投标人在评标结束前以书面形式予以补正。拒绝补正的，在详细评审时可以对细微偏差作不利于该投标人的量化。</w:t>
      </w:r>
    </w:p>
    <w:p w14:paraId="426A39D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0</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根据本规定否决不合格投标或者界定为废标后，因有效投标不足三个使得投标明显缺乏竞争性时，根据《中华人民共和国政府采购法》</w:t>
      </w:r>
      <w:r>
        <w:rPr>
          <w:rFonts w:hint="eastAsia" w:ascii="宋体" w:hAnsi="宋体"/>
          <w:color w:val="auto"/>
          <w:sz w:val="24"/>
          <w:szCs w:val="24"/>
          <w:highlight w:val="none"/>
        </w:rPr>
        <w:t>及《中华人民共和国招标投标法》</w:t>
      </w:r>
      <w:r>
        <w:rPr>
          <w:rFonts w:hint="eastAsia" w:ascii="宋体" w:hAnsi="宋体"/>
          <w:color w:val="auto"/>
          <w:spacing w:val="-2"/>
          <w:sz w:val="24"/>
          <w:szCs w:val="24"/>
          <w:highlight w:val="none"/>
        </w:rPr>
        <w:t>的相关规定，将作废标处理。</w:t>
      </w:r>
    </w:p>
    <w:p w14:paraId="130C20C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1</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条款的审查：</w:t>
      </w:r>
    </w:p>
    <w:p w14:paraId="72BBF81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）开标后，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将组织对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进行审查，检查</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是否完整，是否出现计算性错误，</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正本是否满足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的格式要求；</w:t>
      </w:r>
    </w:p>
    <w:p w14:paraId="41DF95F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将确定每一投标人是否对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的要求做出了实质性满足，而没有重大偏离。实质性满足的投标是指符合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的所有条款、条件和规定且没有重大偏离和保留的投标。重大偏离或保留系指影响到</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规定的服务范围和质量，或限制了招标人的权力和投标人义务的规定，而纠正这些偏离将影响到其他提交实质性满足的投标人的公平竞争地位；</w:t>
      </w:r>
    </w:p>
    <w:p w14:paraId="42EA584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（3）</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判断</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的满足性仅基于</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本身而不靠外部证据；</w:t>
      </w:r>
    </w:p>
    <w:p w14:paraId="151DF4F3">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（4）</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将拒绝被确定为非实质性满足的投标。投标人不能通过修正或撤消不符合之处而使其投标成为实质性满足的投标。</w:t>
      </w:r>
    </w:p>
    <w:p w14:paraId="1670FEC7">
      <w:pPr>
        <w:rPr>
          <w:rFonts w:hint="eastAsia"/>
          <w:color w:val="auto"/>
          <w:highlight w:val="none"/>
          <w:lang w:val="en-US" w:eastAsia="zh-CN"/>
        </w:rPr>
      </w:pPr>
    </w:p>
    <w:p w14:paraId="6751BB95">
      <w:pPr>
        <w:spacing w:line="460" w:lineRule="exact"/>
        <w:ind w:firstLine="559"/>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投标文件</w:t>
      </w:r>
      <w:r>
        <w:rPr>
          <w:rFonts w:hint="eastAsia" w:cs="宋体"/>
          <w:color w:val="auto"/>
          <w:sz w:val="32"/>
          <w:szCs w:val="32"/>
          <w:highlight w:val="none"/>
          <w:lang w:val="en-US" w:eastAsia="zh-CN"/>
        </w:rPr>
        <w:t>资格</w:t>
      </w:r>
      <w:r>
        <w:rPr>
          <w:rFonts w:hint="eastAsia" w:ascii="宋体" w:hAnsi="宋体" w:eastAsia="宋体" w:cs="宋体"/>
          <w:color w:val="auto"/>
          <w:sz w:val="32"/>
          <w:szCs w:val="32"/>
          <w:highlight w:val="none"/>
        </w:rPr>
        <w:t>审查</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符合性审查</w:t>
      </w:r>
      <w:r>
        <w:rPr>
          <w:rFonts w:hint="eastAsia" w:ascii="宋体" w:hAnsi="宋体" w:eastAsia="宋体" w:cs="宋体"/>
          <w:color w:val="auto"/>
          <w:sz w:val="32"/>
          <w:szCs w:val="32"/>
          <w:highlight w:val="none"/>
        </w:rPr>
        <w:t>表</w:t>
      </w:r>
    </w:p>
    <w:tbl>
      <w:tblPr>
        <w:tblStyle w:val="23"/>
        <w:tblpPr w:leftFromText="180" w:rightFromText="180" w:vertAnchor="text" w:horzAnchor="page" w:tblpX="1455" w:tblpY="479"/>
        <w:tblOverlap w:val="never"/>
        <w:tblW w:w="474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94"/>
        <w:gridCol w:w="483"/>
        <w:gridCol w:w="1542"/>
        <w:gridCol w:w="6060"/>
        <w:gridCol w:w="329"/>
        <w:gridCol w:w="264"/>
      </w:tblGrid>
      <w:tr w14:paraId="223B1D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58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6FBEDD6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831" w:type="pct"/>
            <w:vMerge w:val="restart"/>
            <w:tcBorders>
              <w:top w:val="outset" w:color="auto" w:sz="6" w:space="0"/>
              <w:left w:val="outset" w:color="auto" w:sz="6" w:space="0"/>
              <w:bottom w:val="outset" w:color="auto" w:sz="6" w:space="0"/>
              <w:right w:val="outset" w:color="auto" w:sz="6" w:space="0"/>
            </w:tcBorders>
            <w:noWrap w:val="0"/>
            <w:vAlign w:val="center"/>
          </w:tcPr>
          <w:p w14:paraId="623D2F7E">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267" w:type="pct"/>
            <w:vMerge w:val="restart"/>
            <w:tcBorders>
              <w:top w:val="outset" w:color="auto" w:sz="6" w:space="0"/>
              <w:left w:val="outset" w:color="auto" w:sz="6" w:space="0"/>
              <w:bottom w:val="outset" w:color="auto" w:sz="6" w:space="0"/>
              <w:right w:val="outset" w:color="auto" w:sz="6" w:space="0"/>
            </w:tcBorders>
            <w:noWrap w:val="0"/>
            <w:vAlign w:val="center"/>
          </w:tcPr>
          <w:p w14:paraId="39546598">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20" w:type="pct"/>
            <w:gridSpan w:val="2"/>
            <w:tcBorders>
              <w:top w:val="outset" w:color="auto" w:sz="6" w:space="0"/>
              <w:left w:val="outset" w:color="auto" w:sz="6" w:space="0"/>
              <w:bottom w:val="outset" w:color="auto" w:sz="6" w:space="0"/>
              <w:right w:val="outset" w:color="auto" w:sz="6" w:space="0"/>
            </w:tcBorders>
            <w:noWrap w:val="0"/>
            <w:vAlign w:val="center"/>
          </w:tcPr>
          <w:p w14:paraId="06176BDC">
            <w:pPr>
              <w:jc w:val="center"/>
              <w:rPr>
                <w:rFonts w:ascii="仿宋" w:hAnsi="仿宋" w:eastAsia="仿宋"/>
                <w:color w:val="auto"/>
                <w:sz w:val="24"/>
                <w:szCs w:val="24"/>
                <w:highlight w:val="none"/>
              </w:rPr>
            </w:pPr>
            <w:r>
              <w:rPr>
                <w:rFonts w:ascii="仿宋" w:hAnsi="仿宋" w:eastAsia="仿宋"/>
                <w:b/>
                <w:bCs/>
                <w:color w:val="auto"/>
                <w:sz w:val="24"/>
                <w:szCs w:val="24"/>
                <w:highlight w:val="none"/>
              </w:rPr>
              <w:t>评审意见</w:t>
            </w:r>
          </w:p>
        </w:tc>
      </w:tr>
      <w:tr w14:paraId="0898BC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58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4C988F9C">
            <w:pPr>
              <w:jc w:val="center"/>
              <w:rPr>
                <w:rFonts w:hint="eastAsia" w:ascii="宋体" w:hAnsi="宋体" w:eastAsia="宋体" w:cs="宋体"/>
                <w:color w:val="auto"/>
                <w:sz w:val="24"/>
                <w:szCs w:val="24"/>
                <w:highlight w:val="none"/>
              </w:rPr>
            </w:pPr>
          </w:p>
        </w:tc>
        <w:tc>
          <w:tcPr>
            <w:tcW w:w="831" w:type="pct"/>
            <w:vMerge w:val="continue"/>
            <w:tcBorders>
              <w:top w:val="outset" w:color="auto" w:sz="6" w:space="0"/>
              <w:left w:val="outset" w:color="auto" w:sz="6" w:space="0"/>
              <w:bottom w:val="outset" w:color="auto" w:sz="6" w:space="0"/>
              <w:right w:val="outset" w:color="auto" w:sz="6" w:space="0"/>
            </w:tcBorders>
            <w:noWrap w:val="0"/>
            <w:vAlign w:val="center"/>
          </w:tcPr>
          <w:p w14:paraId="7BB15A85">
            <w:pPr>
              <w:jc w:val="center"/>
              <w:rPr>
                <w:rFonts w:hint="eastAsia" w:ascii="宋体" w:hAnsi="宋体" w:eastAsia="宋体" w:cs="宋体"/>
                <w:color w:val="auto"/>
                <w:sz w:val="24"/>
                <w:szCs w:val="24"/>
                <w:highlight w:val="none"/>
              </w:rPr>
            </w:pPr>
          </w:p>
        </w:tc>
        <w:tc>
          <w:tcPr>
            <w:tcW w:w="3267" w:type="pct"/>
            <w:vMerge w:val="continue"/>
            <w:tcBorders>
              <w:top w:val="outset" w:color="auto" w:sz="6" w:space="0"/>
              <w:left w:val="outset" w:color="auto" w:sz="6" w:space="0"/>
              <w:bottom w:val="outset" w:color="auto" w:sz="6" w:space="0"/>
              <w:right w:val="outset" w:color="auto" w:sz="6" w:space="0"/>
            </w:tcBorders>
            <w:noWrap w:val="0"/>
            <w:vAlign w:val="center"/>
          </w:tcPr>
          <w:p w14:paraId="1B67BB96">
            <w:pPr>
              <w:jc w:val="center"/>
              <w:rPr>
                <w:rFonts w:hint="eastAsia" w:ascii="宋体" w:hAnsi="宋体" w:eastAsia="宋体" w:cs="宋体"/>
                <w:color w:val="auto"/>
                <w:sz w:val="24"/>
                <w:szCs w:val="24"/>
                <w:highlight w:val="none"/>
              </w:rPr>
            </w:pPr>
          </w:p>
        </w:tc>
        <w:tc>
          <w:tcPr>
            <w:tcW w:w="177" w:type="pct"/>
            <w:tcBorders>
              <w:top w:val="outset" w:color="auto" w:sz="6" w:space="0"/>
              <w:left w:val="outset" w:color="auto" w:sz="6" w:space="0"/>
              <w:bottom w:val="outset" w:color="auto" w:sz="6" w:space="0"/>
              <w:right w:val="outset" w:color="auto" w:sz="6" w:space="0"/>
            </w:tcBorders>
            <w:noWrap w:val="0"/>
            <w:vAlign w:val="center"/>
          </w:tcPr>
          <w:p w14:paraId="71A26866">
            <w:pPr>
              <w:jc w:val="center"/>
              <w:rPr>
                <w:rFonts w:ascii="仿宋" w:hAnsi="仿宋" w:eastAsia="仿宋"/>
                <w:color w:val="auto"/>
                <w:sz w:val="24"/>
                <w:szCs w:val="24"/>
                <w:highlight w:val="none"/>
              </w:rPr>
            </w:pPr>
            <w:r>
              <w:rPr>
                <w:rFonts w:ascii="仿宋" w:hAnsi="仿宋" w:eastAsia="仿宋"/>
                <w:b/>
                <w:bCs/>
                <w:color w:val="auto"/>
                <w:sz w:val="24"/>
                <w:szCs w:val="24"/>
                <w:highlight w:val="none"/>
              </w:rPr>
              <w:t>是</w:t>
            </w:r>
          </w:p>
        </w:tc>
        <w:tc>
          <w:tcPr>
            <w:tcW w:w="142" w:type="pct"/>
            <w:tcBorders>
              <w:top w:val="outset" w:color="auto" w:sz="6" w:space="0"/>
              <w:left w:val="outset" w:color="auto" w:sz="6" w:space="0"/>
              <w:bottom w:val="outset" w:color="auto" w:sz="6" w:space="0"/>
              <w:right w:val="outset" w:color="auto" w:sz="6" w:space="0"/>
            </w:tcBorders>
            <w:noWrap w:val="0"/>
            <w:vAlign w:val="center"/>
          </w:tcPr>
          <w:p w14:paraId="582B3CE1">
            <w:pPr>
              <w:jc w:val="center"/>
              <w:rPr>
                <w:rFonts w:ascii="仿宋" w:hAnsi="仿宋" w:eastAsia="仿宋"/>
                <w:color w:val="auto"/>
                <w:sz w:val="24"/>
                <w:szCs w:val="24"/>
                <w:highlight w:val="none"/>
              </w:rPr>
            </w:pPr>
            <w:r>
              <w:rPr>
                <w:rFonts w:ascii="仿宋" w:hAnsi="仿宋" w:eastAsia="仿宋"/>
                <w:b/>
                <w:bCs/>
                <w:color w:val="auto"/>
                <w:sz w:val="24"/>
                <w:szCs w:val="24"/>
                <w:highlight w:val="none"/>
              </w:rPr>
              <w:t>否</w:t>
            </w:r>
          </w:p>
        </w:tc>
      </w:tr>
      <w:tr w14:paraId="14598B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25" w:hRule="atLeast"/>
        </w:trPr>
        <w:tc>
          <w:tcPr>
            <w:tcW w:w="320" w:type="pct"/>
            <w:vMerge w:val="restart"/>
            <w:tcBorders>
              <w:top w:val="outset" w:color="auto" w:sz="6" w:space="0"/>
              <w:left w:val="outset" w:color="auto" w:sz="6" w:space="0"/>
              <w:bottom w:val="outset" w:color="auto" w:sz="6" w:space="0"/>
              <w:right w:val="outset" w:color="auto" w:sz="6" w:space="0"/>
            </w:tcBorders>
            <w:noWrap w:val="0"/>
            <w:vAlign w:val="center"/>
          </w:tcPr>
          <w:p w14:paraId="612EDF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260" w:type="pct"/>
            <w:vMerge w:val="restart"/>
            <w:tcBorders>
              <w:top w:val="outset" w:color="auto" w:sz="6" w:space="0"/>
              <w:left w:val="outset" w:color="auto" w:sz="6" w:space="0"/>
              <w:right w:val="outset" w:color="auto" w:sz="6" w:space="0"/>
            </w:tcBorders>
            <w:noWrap w:val="0"/>
            <w:vAlign w:val="center"/>
          </w:tcPr>
          <w:p w14:paraId="2EF8DEF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45D746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6FF2301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投标人法人营业执照（副本）或事业单位法人证书（副本）或个体工商户营业执照或有效的自然人身份证明、组织机构代码证</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color w:val="auto"/>
                <w:sz w:val="24"/>
                <w:szCs w:val="24"/>
                <w:highlight w:val="none"/>
              </w:rPr>
              <w:t>（投标人按“三证合一”登记制度办理营业执照的，组织机构代码证和税务登记证（副本）以投标人所提供的营业执照（副本）</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color w:val="auto"/>
                <w:sz w:val="24"/>
                <w:szCs w:val="24"/>
                <w:highlight w:val="none"/>
              </w:rPr>
              <w:t>为准。）；</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CF8CC2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409AEED">
            <w:pPr>
              <w:jc w:val="left"/>
              <w:rPr>
                <w:rFonts w:ascii="仿宋" w:hAnsi="仿宋" w:eastAsia="仿宋"/>
                <w:color w:val="auto"/>
                <w:sz w:val="24"/>
                <w:szCs w:val="24"/>
                <w:highlight w:val="none"/>
              </w:rPr>
            </w:pPr>
          </w:p>
        </w:tc>
      </w:tr>
      <w:tr w14:paraId="7870A3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0F7CFCE">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029DF00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13C48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（2）法定代表人身份证明及法定代表人授权书</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067A288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投标人法定代表人身份证明和法定代表人授权代表委托书</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0990A5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B949774">
            <w:pPr>
              <w:jc w:val="left"/>
              <w:rPr>
                <w:rFonts w:ascii="仿宋" w:hAnsi="仿宋" w:eastAsia="仿宋"/>
                <w:color w:val="auto"/>
                <w:sz w:val="24"/>
                <w:szCs w:val="24"/>
                <w:highlight w:val="none"/>
              </w:rPr>
            </w:pPr>
          </w:p>
        </w:tc>
      </w:tr>
      <w:tr w14:paraId="17810C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49"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9588E5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01F0E019">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6DA313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7D4C022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AB3847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D794AB0">
            <w:pPr>
              <w:jc w:val="left"/>
              <w:rPr>
                <w:rFonts w:ascii="仿宋" w:hAnsi="仿宋" w:eastAsia="仿宋"/>
                <w:color w:val="auto"/>
                <w:sz w:val="24"/>
                <w:szCs w:val="24"/>
                <w:highlight w:val="none"/>
              </w:rPr>
            </w:pPr>
          </w:p>
        </w:tc>
      </w:tr>
      <w:tr w14:paraId="5811F1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66"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4FA159FA">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F31CB22">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88A26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（4）具有良好的商业信誉和健全的财务会计制度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6F1A10B7">
            <w:pPr>
              <w:pStyle w:val="3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具有良好的商业信誉和健全的财务会计制度提供2024年度经第三方审计的财务会计报告或者投标人基本开户银行出具的开标日前六个月以内的资信证明；若企业成立期限不足一年者以营业执照实际成立期限为准，并按实际成立期限之日起提供健全的财务会计制度；（若上年度财务审计报告未出结果则用前一年财务审计报告）</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439C6323">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C834992">
            <w:pPr>
              <w:jc w:val="left"/>
              <w:rPr>
                <w:rFonts w:ascii="仿宋" w:hAnsi="仿宋" w:eastAsia="仿宋"/>
                <w:color w:val="auto"/>
                <w:sz w:val="24"/>
                <w:szCs w:val="24"/>
                <w:highlight w:val="none"/>
              </w:rPr>
            </w:pPr>
          </w:p>
        </w:tc>
      </w:tr>
      <w:tr w14:paraId="690311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AE61801">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71E0A81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1F5EE5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（5）具有履行合同所必需的设备和专业技术能力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235715E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须附书面声明（格式自定）</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75075046">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08B6178F">
            <w:pPr>
              <w:jc w:val="left"/>
              <w:rPr>
                <w:rFonts w:ascii="仿宋" w:hAnsi="仿宋" w:eastAsia="仿宋"/>
                <w:color w:val="auto"/>
                <w:sz w:val="24"/>
                <w:szCs w:val="24"/>
                <w:highlight w:val="none"/>
              </w:rPr>
            </w:pPr>
          </w:p>
        </w:tc>
      </w:tr>
      <w:tr w14:paraId="4DB06E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1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5E54B2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A13B48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742042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（6）有依法缴纳税收和社会保障金的良好记录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18605AD">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依法缴纳社会保障资金的良好记录：投标人逐月交纳社会保障资金的，须提供参加本次政府采购活动近六个月内任意一个月由税务局或社保局或银行出具的社会保障资金缴费凭证（须加盖本单位公章）；投标人逐年缴纳社会保障资金的，须提供参加本次政府采购活动上年度由税务局或社保局或银行出具的社会保障资金缴费凭证（须加盖本单位公章）；</w:t>
            </w:r>
          </w:p>
          <w:p w14:paraId="11AFAF2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注：依法不需要缴纳社会保障资金的投标人，须提供相应文件证明。</w:t>
            </w:r>
          </w:p>
          <w:p w14:paraId="64D3E6D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2、有依法缴纳税收的良好记录（投标人提供参加本次政府采购活动近六个月内任意一个月由税务局或银行出具的缴纳凭证复印件（须加盖本单位公章）；</w:t>
            </w:r>
            <w:r>
              <w:rPr>
                <w:rFonts w:hint="eastAsia" w:ascii="宋体" w:hAnsi="宋体" w:eastAsia="宋体" w:cs="宋体"/>
                <w:b/>
                <w:bCs/>
                <w:color w:val="auto"/>
                <w:kern w:val="2"/>
                <w:sz w:val="24"/>
                <w:szCs w:val="24"/>
                <w:highlight w:val="none"/>
                <w:lang w:val="en-US" w:eastAsia="zh-CN" w:bidi="ar-SA"/>
              </w:rPr>
              <w:t>注：依法免税或零报税的投标人，须提供相应文件证明并加盖公章。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06962C8A">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1716C9E">
            <w:pPr>
              <w:jc w:val="left"/>
              <w:rPr>
                <w:rFonts w:ascii="仿宋" w:hAnsi="仿宋" w:eastAsia="仿宋"/>
                <w:color w:val="auto"/>
                <w:sz w:val="24"/>
                <w:szCs w:val="24"/>
                <w:highlight w:val="none"/>
              </w:rPr>
            </w:pPr>
          </w:p>
        </w:tc>
      </w:tr>
      <w:tr w14:paraId="3E4A2B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83"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3FBD90DA">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7164AD27">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CBED338">
            <w:pPr>
              <w:pStyle w:val="60"/>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（7）法律、行政法规规定的其他条件</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74C88C01">
            <w:pPr>
              <w:pStyle w:val="6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投标人必须为前三年内（</w:t>
            </w:r>
            <w:r>
              <w:rPr>
                <w:rFonts w:hint="eastAsia" w:ascii="宋体" w:hAnsi="宋体" w:cs="宋体"/>
                <w:color w:val="auto"/>
                <w:sz w:val="24"/>
                <w:szCs w:val="24"/>
                <w:highlight w:val="none"/>
                <w:lang w:val="en-US" w:eastAsia="zh-CN"/>
              </w:rPr>
              <w:t>2022 年1 月 1 日至响应文件递交截止之日前</w:t>
            </w:r>
            <w:r>
              <w:rPr>
                <w:rFonts w:hint="eastAsia" w:ascii="宋体" w:hAnsi="宋体" w:eastAsia="宋体" w:cs="宋体"/>
                <w:color w:val="auto"/>
                <w:sz w:val="24"/>
                <w:szCs w:val="24"/>
                <w:highlight w:val="none"/>
                <w:lang w:val="en-US" w:eastAsia="zh-CN"/>
              </w:rPr>
              <w:t>）未被列入“信用中国”网站（www.creditchina.gov.cn）、中国政府采购网（www.ccgp.gov.cn）信用记录失信被执行人、重大税收违法案件当事人名单、政府采购严重违法失信行为记录名单的；（查询的时间须为本项目公告之日至投标截止日之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568AC092">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4A34BE9">
            <w:pPr>
              <w:jc w:val="left"/>
              <w:rPr>
                <w:rFonts w:ascii="仿宋" w:hAnsi="仿宋" w:eastAsia="仿宋"/>
                <w:color w:val="auto"/>
                <w:sz w:val="24"/>
                <w:szCs w:val="24"/>
                <w:highlight w:val="none"/>
              </w:rPr>
            </w:pPr>
          </w:p>
        </w:tc>
      </w:tr>
      <w:tr w14:paraId="458694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0289E35D">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69B4F42E">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3F6B40CD">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（8）中小企业声明函</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0EAB883">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中小企业声明函</w:t>
            </w:r>
            <w:r>
              <w:rPr>
                <w:rFonts w:hint="eastAsia" w:ascii="宋体" w:hAnsi="宋体" w:cs="宋体"/>
                <w:color w:val="auto"/>
                <w:sz w:val="24"/>
                <w:szCs w:val="24"/>
                <w:highlight w:val="none"/>
                <w:lang w:val="en-US" w:eastAsia="zh-CN"/>
              </w:rPr>
              <w:t>》</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474BA1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D062235">
            <w:pPr>
              <w:jc w:val="left"/>
              <w:rPr>
                <w:rFonts w:ascii="仿宋" w:hAnsi="仿宋" w:eastAsia="仿宋"/>
                <w:color w:val="auto"/>
                <w:sz w:val="24"/>
                <w:szCs w:val="24"/>
                <w:highlight w:val="none"/>
              </w:rPr>
            </w:pPr>
          </w:p>
        </w:tc>
      </w:tr>
      <w:tr w14:paraId="07BDBD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2603A562">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6B3A5EB">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6910FB2">
            <w:pPr>
              <w:pStyle w:val="60"/>
              <w:spacing w:line="288"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（9）特定资格</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083E612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CD1591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A3753D0">
            <w:pPr>
              <w:jc w:val="left"/>
              <w:rPr>
                <w:rFonts w:ascii="仿宋" w:hAnsi="仿宋" w:eastAsia="仿宋"/>
                <w:color w:val="auto"/>
                <w:sz w:val="24"/>
                <w:szCs w:val="24"/>
                <w:highlight w:val="none"/>
              </w:rPr>
            </w:pPr>
          </w:p>
        </w:tc>
      </w:tr>
      <w:tr w14:paraId="3B3312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3752D651">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CBD3E3A">
            <w:pPr>
              <w:jc w:val="center"/>
              <w:rPr>
                <w:rFonts w:hint="eastAsia" w:ascii="宋体" w:hAnsi="宋体" w:eastAsia="宋体" w:cs="宋体"/>
                <w:color w:val="auto"/>
                <w:sz w:val="24"/>
                <w:szCs w:val="24"/>
                <w:highlight w:val="none"/>
              </w:rPr>
            </w:pPr>
          </w:p>
        </w:tc>
        <w:tc>
          <w:tcPr>
            <w:tcW w:w="4099" w:type="pct"/>
            <w:gridSpan w:val="2"/>
            <w:tcBorders>
              <w:top w:val="outset" w:color="auto" w:sz="6" w:space="0"/>
              <w:left w:val="outset" w:color="auto" w:sz="6" w:space="0"/>
              <w:bottom w:val="outset" w:color="auto" w:sz="6" w:space="0"/>
              <w:right w:val="outset" w:color="auto" w:sz="6" w:space="0"/>
            </w:tcBorders>
            <w:noWrap w:val="0"/>
            <w:vAlign w:val="center"/>
          </w:tcPr>
          <w:p w14:paraId="12DB125B">
            <w:pPr>
              <w:pStyle w:val="60"/>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注：资格审查： </w:t>
            </w:r>
          </w:p>
          <w:p w14:paraId="7B588E8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后，资格审查人员应当依法对投标人的资格进行审查《政府采购货物和服务招标投标管理办法》第四十四条。资格审查合格的投标人不足3家的，按无效标处理（经财政部门批准本项目转为其他采购方式的除外）。</w:t>
            </w:r>
            <w:r>
              <w:rPr>
                <w:rFonts w:hint="eastAsia" w:ascii="宋体" w:hAnsi="宋体" w:eastAsia="宋体" w:cs="宋体"/>
                <w:b/>
                <w:bCs/>
                <w:color w:val="auto"/>
                <w:sz w:val="24"/>
                <w:szCs w:val="24"/>
                <w:highlight w:val="none"/>
                <w:lang w:val="en-US" w:eastAsia="zh-CN"/>
              </w:rPr>
              <w:t>若提供的资格证明文件不全或不实，将导致其投标无效。</w:t>
            </w:r>
            <w:r>
              <w:rPr>
                <w:rFonts w:hint="eastAsia" w:ascii="宋体" w:hAnsi="宋体" w:eastAsia="宋体" w:cs="宋体"/>
                <w:color w:val="auto"/>
                <w:sz w:val="24"/>
                <w:szCs w:val="24"/>
                <w:highlight w:val="none"/>
                <w:lang w:val="en-US" w:eastAsia="zh-CN"/>
              </w:rPr>
              <w:t>投标人应在响应文件中按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的规定和要求附上所有的资格证明文件。</w:t>
            </w:r>
            <w:r>
              <w:rPr>
                <w:rFonts w:hint="eastAsia" w:ascii="宋体" w:hAnsi="宋体" w:eastAsia="宋体" w:cs="宋体"/>
                <w:b/>
                <w:bCs/>
                <w:color w:val="auto"/>
                <w:sz w:val="24"/>
                <w:szCs w:val="24"/>
                <w:highlight w:val="none"/>
                <w:lang w:val="en-US" w:eastAsia="zh-CN"/>
              </w:rPr>
              <w:t>若提供的资格证明文件不全或不实，或将导致其投标或中标资格被取消。</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F809488">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FAC823D">
            <w:pPr>
              <w:jc w:val="left"/>
              <w:rPr>
                <w:rFonts w:ascii="仿宋" w:hAnsi="仿宋" w:eastAsia="仿宋"/>
                <w:color w:val="auto"/>
                <w:sz w:val="24"/>
                <w:szCs w:val="24"/>
                <w:highlight w:val="none"/>
              </w:rPr>
            </w:pPr>
          </w:p>
        </w:tc>
      </w:tr>
      <w:tr w14:paraId="22B25D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87655FF">
            <w:pPr>
              <w:jc w:val="left"/>
              <w:rPr>
                <w:rFonts w:hint="eastAsia" w:ascii="宋体" w:hAnsi="宋体" w:eastAsia="宋体" w:cs="宋体"/>
                <w:color w:val="auto"/>
                <w:sz w:val="24"/>
                <w:szCs w:val="24"/>
                <w:highlight w:val="none"/>
              </w:rPr>
            </w:pPr>
          </w:p>
        </w:tc>
        <w:tc>
          <w:tcPr>
            <w:tcW w:w="260" w:type="pct"/>
            <w:vMerge w:val="restart"/>
            <w:tcBorders>
              <w:top w:val="outset" w:color="auto" w:sz="6" w:space="0"/>
              <w:left w:val="outset" w:color="auto" w:sz="6" w:space="0"/>
              <w:right w:val="outset" w:color="auto" w:sz="6" w:space="0"/>
            </w:tcBorders>
            <w:noWrap w:val="0"/>
            <w:vAlign w:val="center"/>
          </w:tcPr>
          <w:p w14:paraId="7F203A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071A92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签署</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68630640">
            <w:pPr>
              <w:keepNext w:val="0"/>
              <w:keepLines w:val="0"/>
              <w:widowControl/>
              <w:suppressLineNumbers w:val="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电子响应文件上公司签章、法定代表人或其授权代表人的签章或签字是否按照</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要求签署完整。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78F0B7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8767E75">
            <w:pPr>
              <w:jc w:val="left"/>
              <w:rPr>
                <w:rFonts w:ascii="仿宋" w:hAnsi="仿宋" w:eastAsia="仿宋"/>
                <w:color w:val="auto"/>
                <w:sz w:val="24"/>
                <w:szCs w:val="24"/>
                <w:highlight w:val="none"/>
              </w:rPr>
            </w:pPr>
          </w:p>
        </w:tc>
      </w:tr>
      <w:tr w14:paraId="01B06F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A7ECE12">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5C95E05">
            <w:pPr>
              <w:jc w:val="center"/>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239945C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（2）投标报价</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36BF4C20">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只能有一个有效报价，不得提交选择性报价。需满足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要求,且不超过本项目的预算金额。</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CD7BB7D">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4FE17F3">
            <w:pPr>
              <w:jc w:val="left"/>
              <w:rPr>
                <w:rFonts w:ascii="仿宋" w:hAnsi="仿宋" w:eastAsia="仿宋"/>
                <w:color w:val="auto"/>
                <w:sz w:val="24"/>
                <w:szCs w:val="24"/>
                <w:highlight w:val="none"/>
              </w:rPr>
            </w:pPr>
          </w:p>
        </w:tc>
      </w:tr>
      <w:tr w14:paraId="7AB9F6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A97F399">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5DE70D02">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8DE01D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rPr>
              <w:t>保证金</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63C11069">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w:t>
            </w:r>
            <w:r>
              <w:rPr>
                <w:rFonts w:hint="eastAsia" w:ascii="宋体" w:hAnsi="宋体" w:cs="宋体"/>
                <w:color w:val="auto"/>
                <w:sz w:val="24"/>
                <w:szCs w:val="24"/>
                <w:highlight w:val="none"/>
                <w:lang w:val="en-US" w:eastAsia="zh-CN"/>
              </w:rPr>
              <w:t>按规定的时间及金额提交保证金，</w:t>
            </w:r>
            <w:r>
              <w:rPr>
                <w:rFonts w:hint="eastAsia" w:ascii="宋体" w:hAnsi="宋体" w:eastAsia="宋体" w:cs="宋体"/>
                <w:color w:val="auto"/>
                <w:sz w:val="24"/>
                <w:szCs w:val="24"/>
                <w:highlight w:val="none"/>
                <w:lang w:val="en-US" w:eastAsia="zh-CN"/>
              </w:rPr>
              <w:t>提供</w:t>
            </w:r>
            <w:r>
              <w:rPr>
                <w:rFonts w:hint="eastAsia" w:ascii="宋体" w:hAnsi="宋体" w:eastAsia="宋体" w:cs="宋体"/>
                <w:i w:val="0"/>
                <w:iCs w:val="0"/>
                <w:color w:val="auto"/>
                <w:kern w:val="0"/>
                <w:sz w:val="24"/>
                <w:szCs w:val="24"/>
                <w:highlight w:val="none"/>
                <w:lang w:val="en-US" w:eastAsia="zh-CN" w:bidi="ar-SA"/>
              </w:rPr>
              <w:t>投标保证金</w:t>
            </w:r>
            <w:r>
              <w:rPr>
                <w:rFonts w:hint="eastAsia" w:ascii="宋体" w:hAnsi="宋体" w:cs="宋体"/>
                <w:i w:val="0"/>
                <w:iCs w:val="0"/>
                <w:color w:val="auto"/>
                <w:kern w:val="0"/>
                <w:sz w:val="24"/>
                <w:szCs w:val="24"/>
                <w:highlight w:val="none"/>
                <w:lang w:val="en-US" w:eastAsia="zh-CN" w:bidi="ar-SA"/>
              </w:rPr>
              <w:t>保函或</w:t>
            </w:r>
            <w:r>
              <w:rPr>
                <w:rFonts w:hint="eastAsia" w:ascii="宋体" w:hAnsi="宋体" w:eastAsia="宋体" w:cs="宋体"/>
                <w:i w:val="0"/>
                <w:iCs w:val="0"/>
                <w:color w:val="auto"/>
                <w:kern w:val="0"/>
                <w:sz w:val="24"/>
                <w:szCs w:val="24"/>
                <w:highlight w:val="none"/>
                <w:lang w:val="en-US" w:eastAsia="zh-CN" w:bidi="ar-SA"/>
              </w:rPr>
              <w:t>汇款凭证</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4F7B5C3B">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1585E0A">
            <w:pPr>
              <w:jc w:val="left"/>
              <w:rPr>
                <w:rFonts w:ascii="仿宋" w:hAnsi="仿宋" w:eastAsia="仿宋"/>
                <w:color w:val="auto"/>
                <w:sz w:val="24"/>
                <w:szCs w:val="24"/>
                <w:highlight w:val="none"/>
              </w:rPr>
            </w:pPr>
          </w:p>
        </w:tc>
      </w:tr>
      <w:tr w14:paraId="0E6915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9E7FB84">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6C044BB4">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FCBDB6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（4）实质性响应</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381328B4">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是否符合采购文件“第四部分 采购服务及要求”中的实质性要求和条件。</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6D1D8C1A">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9918EC5">
            <w:pPr>
              <w:jc w:val="left"/>
              <w:rPr>
                <w:rFonts w:ascii="仿宋" w:hAnsi="仿宋" w:eastAsia="仿宋"/>
                <w:color w:val="auto"/>
                <w:sz w:val="24"/>
                <w:szCs w:val="24"/>
                <w:highlight w:val="none"/>
              </w:rPr>
            </w:pPr>
          </w:p>
        </w:tc>
      </w:tr>
      <w:tr w14:paraId="134935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E41AF5D">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72C27A9">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E2B21DC">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（5）其它</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15E1BBB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1、响应文件是否含有采购人不能接受的附加条件；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2、是否违反国家法律、法规和采购文件规定的其他无效情形。</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ABD1B2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4CBE56C">
            <w:pPr>
              <w:jc w:val="left"/>
              <w:rPr>
                <w:rFonts w:ascii="仿宋" w:hAnsi="仿宋" w:eastAsia="仿宋"/>
                <w:color w:val="auto"/>
                <w:sz w:val="24"/>
                <w:szCs w:val="24"/>
                <w:highlight w:val="none"/>
              </w:rPr>
            </w:pPr>
          </w:p>
        </w:tc>
      </w:tr>
    </w:tbl>
    <w:p w14:paraId="789E07B8">
      <w:pPr>
        <w:spacing w:line="440" w:lineRule="exact"/>
        <w:ind w:firstLine="640" w:firstLineChars="200"/>
        <w:rPr>
          <w:rFonts w:hint="eastAsia" w:ascii="宋体" w:hAnsi="宋体" w:cs="宋体"/>
          <w:color w:val="auto"/>
          <w:sz w:val="32"/>
          <w:szCs w:val="32"/>
          <w:highlight w:val="none"/>
          <w:lang w:val="en-US" w:eastAsia="zh-CN"/>
        </w:rPr>
      </w:pPr>
    </w:p>
    <w:tbl>
      <w:tblPr>
        <w:tblStyle w:val="23"/>
        <w:tblpPr w:leftFromText="180" w:rightFromText="180" w:vertAnchor="text" w:horzAnchor="page" w:tblpX="1172" w:tblpY="188"/>
        <w:tblOverlap w:val="never"/>
        <w:tblW w:w="98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1"/>
      </w:tblGrid>
      <w:tr w14:paraId="7446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trPr>
        <w:tc>
          <w:tcPr>
            <w:tcW w:w="9801" w:type="dxa"/>
            <w:tcBorders>
              <w:top w:val="nil"/>
              <w:left w:val="nil"/>
              <w:bottom w:val="nil"/>
              <w:right w:val="nil"/>
            </w:tcBorders>
            <w:shd w:val="clear" w:color="auto" w:fill="auto"/>
            <w:noWrap/>
            <w:vAlign w:val="center"/>
          </w:tcPr>
          <w:p w14:paraId="1EF4347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30B202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（1）上述各项中用</w:t>
            </w:r>
            <w:r>
              <w:rPr>
                <w:rFonts w:hint="eastAsia" w:ascii="宋体" w:hAnsi="宋体" w:cs="宋体"/>
                <w:i w:val="0"/>
                <w:iCs w:val="0"/>
                <w:color w:val="auto"/>
                <w:kern w:val="0"/>
                <w:sz w:val="24"/>
                <w:szCs w:val="24"/>
                <w:highlight w:val="none"/>
                <w:u w:val="none"/>
                <w:lang w:val="en-US" w:eastAsia="zh-CN" w:bidi="ar"/>
              </w:rPr>
              <w:t>是</w:t>
            </w:r>
            <w:r>
              <w:rPr>
                <w:rFonts w:hint="eastAsia" w:ascii="宋体" w:hAnsi="宋体" w:eastAsia="宋体" w:cs="宋体"/>
                <w:i w:val="0"/>
                <w:iCs w:val="0"/>
                <w:color w:val="auto"/>
                <w:kern w:val="0"/>
                <w:sz w:val="24"/>
                <w:szCs w:val="24"/>
                <w:highlight w:val="none"/>
                <w:u w:val="none"/>
                <w:lang w:val="en-US" w:eastAsia="zh-CN" w:bidi="ar"/>
              </w:rPr>
              <w:t>表示通过，</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表示不通过；</w:t>
            </w:r>
          </w:p>
          <w:p w14:paraId="7E8C2B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（2）上述各项中如有一项为</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，则结论为</w:t>
            </w:r>
            <w:r>
              <w:rPr>
                <w:rFonts w:hint="eastAsia" w:ascii="宋体" w:hAnsi="宋体" w:cs="宋体"/>
                <w:i w:val="0"/>
                <w:iCs w:val="0"/>
                <w:color w:val="auto"/>
                <w:kern w:val="0"/>
                <w:sz w:val="24"/>
                <w:szCs w:val="24"/>
                <w:highlight w:val="none"/>
                <w:u w:val="none"/>
                <w:lang w:val="en-US" w:eastAsia="zh-CN" w:bidi="ar"/>
              </w:rPr>
              <w:t>不通过</w:t>
            </w:r>
            <w:r>
              <w:rPr>
                <w:rFonts w:hint="eastAsia" w:ascii="宋体" w:hAnsi="宋体" w:eastAsia="宋体" w:cs="宋体"/>
                <w:i w:val="0"/>
                <w:iCs w:val="0"/>
                <w:color w:val="auto"/>
                <w:kern w:val="0"/>
                <w:sz w:val="24"/>
                <w:szCs w:val="24"/>
                <w:highlight w:val="none"/>
                <w:u w:val="none"/>
                <w:lang w:val="en-US" w:eastAsia="zh-CN" w:bidi="ar"/>
              </w:rPr>
              <w:t>，表示该响应文件中存在重大偏差，不能通过初步评审；</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对某一分项评审认为不合格时，必须要写明原因。</w:t>
            </w:r>
          </w:p>
          <w:p w14:paraId="780864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（3）响应文件最终合格与否，以所有</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的评审意见中少数服从多数为原则定论。</w:t>
            </w:r>
          </w:p>
          <w:p w14:paraId="6CCFF1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（4）投标供应商请认真阅读和理解上述内容，避免响应文件中有违背上述审查标准之一的情况发生而造成投标被否决。</w:t>
            </w:r>
          </w:p>
        </w:tc>
      </w:tr>
    </w:tbl>
    <w:p w14:paraId="4FEE87A2">
      <w:pPr>
        <w:spacing w:line="440" w:lineRule="exact"/>
        <w:ind w:firstLine="640" w:firstLineChars="200"/>
        <w:rPr>
          <w:rFonts w:hint="eastAsia" w:ascii="宋体" w:hAnsi="宋体" w:cs="宋体"/>
          <w:color w:val="auto"/>
          <w:sz w:val="32"/>
          <w:szCs w:val="32"/>
          <w:highlight w:val="none"/>
          <w:lang w:val="en-US" w:eastAsia="zh-CN"/>
        </w:rPr>
      </w:pPr>
    </w:p>
    <w:p w14:paraId="26D865A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响应程度初步审查通过的投标企业，进入下一步详细评审阶段，未通过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响应程度初步审查的企业，其投标作为无效标，不进入后期评审阶段。</w:t>
      </w:r>
    </w:p>
    <w:p w14:paraId="5A059508">
      <w:pPr>
        <w:tabs>
          <w:tab w:val="left" w:pos="0"/>
        </w:tabs>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21.12</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将根据政府采购政策支持中小企业政策对最后报价进行价格折扣，折扣的价格将作为评审价格。</w:t>
      </w:r>
      <w:r>
        <w:rPr>
          <w:rFonts w:hint="eastAsia" w:ascii="宋体" w:hAnsi="宋体" w:eastAsia="宋体" w:cs="宋体"/>
          <w:color w:val="auto"/>
          <w:kern w:val="0"/>
          <w:sz w:val="24"/>
          <w:szCs w:val="24"/>
          <w:highlight w:val="none"/>
          <w:lang w:val="zh-CN"/>
        </w:rPr>
        <w:t>供应商的评审</w:t>
      </w:r>
      <w:r>
        <w:rPr>
          <w:rFonts w:hint="eastAsia" w:ascii="宋体" w:hAnsi="宋体" w:eastAsia="宋体" w:cs="宋体"/>
          <w:bCs/>
          <w:color w:val="auto"/>
          <w:sz w:val="24"/>
          <w:szCs w:val="24"/>
          <w:highlight w:val="none"/>
        </w:rPr>
        <w:t>价格由供应商代表签字确认。</w:t>
      </w:r>
    </w:p>
    <w:p w14:paraId="58C2854B">
      <w:pPr>
        <w:pStyle w:val="22"/>
        <w:rPr>
          <w:rFonts w:hint="eastAsia"/>
          <w:color w:val="auto"/>
          <w:highlight w:val="none"/>
        </w:rPr>
      </w:pPr>
      <w:r>
        <w:rPr>
          <w:rFonts w:hint="eastAsia" w:cs="宋体"/>
          <w:b/>
          <w:bCs w:val="0"/>
          <w:i w:val="0"/>
          <w:iCs w:val="0"/>
          <w:color w:val="auto"/>
          <w:kern w:val="0"/>
          <w:sz w:val="24"/>
          <w:szCs w:val="24"/>
          <w:highlight w:val="none"/>
          <w:u w:val="none"/>
          <w:lang w:val="en-US" w:eastAsia="zh-CN"/>
        </w:rPr>
        <w:t>本项目专门面向中小企业</w:t>
      </w:r>
      <w:r>
        <w:rPr>
          <w:rFonts w:hint="eastAsia" w:ascii="宋体" w:hAnsi="宋体" w:cs="宋体"/>
          <w:b/>
          <w:bCs w:val="0"/>
          <w:i w:val="0"/>
          <w:iCs w:val="0"/>
          <w:color w:val="auto"/>
          <w:kern w:val="0"/>
          <w:sz w:val="24"/>
          <w:szCs w:val="24"/>
          <w:highlight w:val="none"/>
          <w:u w:val="none"/>
          <w:lang w:val="en-US" w:eastAsia="zh-CN"/>
        </w:rPr>
        <w:t>，不享受价格比例扣除</w:t>
      </w:r>
    </w:p>
    <w:p w14:paraId="0D951E82">
      <w:pPr>
        <w:tabs>
          <w:tab w:val="left" w:pos="0"/>
        </w:tabs>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23"/>
        <w:tblW w:w="93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393"/>
        <w:gridCol w:w="7077"/>
      </w:tblGrid>
      <w:tr w14:paraId="2BCFFDC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107961F4">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93" w:type="dxa"/>
            <w:tcBorders>
              <w:top w:val="single" w:color="auto" w:sz="4" w:space="0"/>
            </w:tcBorders>
            <w:noWrap w:val="0"/>
            <w:vAlign w:val="center"/>
          </w:tcPr>
          <w:p w14:paraId="337C2AFE">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77" w:type="dxa"/>
            <w:tcBorders>
              <w:top w:val="single" w:color="auto" w:sz="4" w:space="0"/>
            </w:tcBorders>
            <w:noWrap w:val="0"/>
            <w:vAlign w:val="center"/>
          </w:tcPr>
          <w:p w14:paraId="362CB3F7">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14:paraId="44EEEB28">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7C6B9B60">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3" w:type="dxa"/>
            <w:noWrap w:val="0"/>
            <w:vAlign w:val="center"/>
          </w:tcPr>
          <w:p w14:paraId="4E98C5DE">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077" w:type="dxa"/>
            <w:noWrap w:val="0"/>
            <w:vAlign w:val="center"/>
          </w:tcPr>
          <w:p w14:paraId="5E9F85F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14:paraId="789E854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704893A9">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3" w:type="dxa"/>
            <w:noWrap w:val="0"/>
            <w:vAlign w:val="center"/>
          </w:tcPr>
          <w:p w14:paraId="296E78FC">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077" w:type="dxa"/>
            <w:noWrap w:val="0"/>
            <w:vAlign w:val="center"/>
          </w:tcPr>
          <w:p w14:paraId="668DC6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14:paraId="00B0A6D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138B7E06">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3" w:type="dxa"/>
            <w:tcBorders>
              <w:bottom w:val="single" w:color="auto" w:sz="4" w:space="0"/>
            </w:tcBorders>
            <w:noWrap w:val="0"/>
            <w:vAlign w:val="center"/>
          </w:tcPr>
          <w:p w14:paraId="48552F0A">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077" w:type="dxa"/>
            <w:tcBorders>
              <w:bottom w:val="single" w:color="auto" w:sz="4" w:space="0"/>
            </w:tcBorders>
            <w:noWrap w:val="0"/>
            <w:vAlign w:val="center"/>
          </w:tcPr>
          <w:p w14:paraId="7689CF9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1、须提供中国政府采购网节能环保查询结果</w:t>
            </w:r>
          </w:p>
        </w:tc>
      </w:tr>
    </w:tbl>
    <w:p w14:paraId="4156B0DD">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说明：1.如有多种产品符合此项政策时，折扣价格为每种产品的折扣金额汇总。</w:t>
      </w:r>
    </w:p>
    <w:p w14:paraId="70A1022C">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2.若所投产品同时属于节能产品及环保产品，只进行一次价格折扣认定。</w:t>
      </w:r>
    </w:p>
    <w:p w14:paraId="76FAE5B1">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p w14:paraId="41FCB565">
      <w:pPr>
        <w:spacing w:line="440" w:lineRule="exact"/>
        <w:ind w:firstLine="480" w:firstLineChars="200"/>
        <w:rPr>
          <w:rFonts w:ascii="宋体" w:hAnsi="宋体"/>
          <w:color w:val="auto"/>
          <w:kern w:val="0"/>
          <w:sz w:val="24"/>
          <w:szCs w:val="24"/>
          <w:highlight w:val="none"/>
        </w:rPr>
      </w:pPr>
      <w:r>
        <w:rPr>
          <w:rFonts w:hint="eastAsia" w:ascii="宋体" w:hAnsi="宋体" w:eastAsia="宋体" w:cs="宋体"/>
          <w:b w:val="0"/>
          <w:bCs/>
          <w:i w:val="0"/>
          <w:iCs w:val="0"/>
          <w:color w:val="auto"/>
          <w:kern w:val="0"/>
          <w:sz w:val="24"/>
          <w:szCs w:val="24"/>
          <w:highlight w:val="none"/>
          <w:u w:val="none"/>
          <w:lang w:val="en-US" w:eastAsia="zh-CN" w:bidi="ar"/>
        </w:rPr>
        <w:t>根据《政府采购促进中小企业发展暂行办法》（财库〔2011〕181号）文的有关规定，投标人属于符合本办法第二条之规定的中小企业者，应在</w:t>
      </w:r>
      <w:r>
        <w:rPr>
          <w:rFonts w:hint="eastAsia" w:ascii="宋体" w:hAnsi="宋体" w:cs="宋体"/>
          <w:b w:val="0"/>
          <w:bCs/>
          <w:i w:val="0"/>
          <w:iCs w:val="0"/>
          <w:color w:val="auto"/>
          <w:kern w:val="0"/>
          <w:sz w:val="24"/>
          <w:szCs w:val="24"/>
          <w:highlight w:val="none"/>
          <w:u w:val="none"/>
          <w:lang w:val="en-US" w:eastAsia="zh-CN" w:bidi="ar"/>
        </w:rPr>
        <w:t>响应文件</w:t>
      </w:r>
      <w:r>
        <w:rPr>
          <w:rFonts w:hint="eastAsia" w:ascii="宋体" w:hAnsi="宋体" w:eastAsia="宋体" w:cs="宋体"/>
          <w:b w:val="0"/>
          <w:bCs/>
          <w:i w:val="0"/>
          <w:iCs w:val="0"/>
          <w:color w:val="auto"/>
          <w:kern w:val="0"/>
          <w:sz w:val="24"/>
          <w:szCs w:val="24"/>
          <w:highlight w:val="none"/>
          <w:u w:val="none"/>
          <w:lang w:val="en-US" w:eastAsia="zh-CN" w:bidi="ar"/>
        </w:rPr>
        <w:t>中按财库〔2011〕181号文规定的《中小企业声明函》格式提供《中小企业声明函》。根据国务院关于印发</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扎实稳住经济一揽子政策措施的通知</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国发〔2022〕12号：</w:t>
      </w:r>
      <w:r>
        <w:rPr>
          <w:rFonts w:hint="eastAsia" w:ascii="宋体" w:hAnsi="宋体" w:eastAsia="宋体" w:cs="宋体"/>
          <w:b w:val="0"/>
          <w:bCs/>
          <w:i w:val="0"/>
          <w:iCs w:val="0"/>
          <w:color w:val="auto"/>
          <w:kern w:val="0"/>
          <w:sz w:val="24"/>
          <w:szCs w:val="24"/>
          <w:highlight w:val="none"/>
          <w:u w:val="none"/>
          <w:lang w:val="en-US" w:eastAsia="zh-CN" w:bidi="ar"/>
        </w:rPr>
        <w:t>“对于非专门面向中小企业的项目，对</w:t>
      </w:r>
      <w:r>
        <w:rPr>
          <w:rFonts w:hint="eastAsia" w:cs="宋体"/>
          <w:b w:val="0"/>
          <w:bCs/>
          <w:i w:val="0"/>
          <w:iCs w:val="0"/>
          <w:color w:val="auto"/>
          <w:kern w:val="0"/>
          <w:sz w:val="24"/>
          <w:szCs w:val="24"/>
          <w:highlight w:val="none"/>
          <w:u w:val="none"/>
          <w:lang w:val="en-US" w:eastAsia="zh-CN" w:bidi="ar"/>
        </w:rPr>
        <w:t>小微</w:t>
      </w:r>
      <w:r>
        <w:rPr>
          <w:rFonts w:hint="eastAsia" w:ascii="宋体" w:hAnsi="宋体" w:eastAsia="宋体" w:cs="宋体"/>
          <w:b w:val="0"/>
          <w:bCs/>
          <w:i w:val="0"/>
          <w:iCs w:val="0"/>
          <w:color w:val="auto"/>
          <w:kern w:val="0"/>
          <w:sz w:val="24"/>
          <w:szCs w:val="24"/>
          <w:highlight w:val="none"/>
          <w:u w:val="none"/>
          <w:lang w:val="en-US" w:eastAsia="zh-CN" w:bidi="ar"/>
        </w:rPr>
        <w:t>企业产品的价格给予</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0%的扣除，用扣除后的价格参与评审，具体扣除比例由采购人或者采购代理机构确定”的规定，在评审过程中，将根据采购项目的特性，在</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r>
        <w:rPr>
          <w:rFonts w:hint="eastAsia" w:ascii="宋体" w:hAnsi="宋体"/>
          <w:color w:val="auto"/>
          <w:sz w:val="24"/>
          <w:highlight w:val="none"/>
        </w:rPr>
        <w:t>。</w:t>
      </w:r>
    </w:p>
    <w:p w14:paraId="162F1951">
      <w:pPr>
        <w:spacing w:line="440" w:lineRule="exact"/>
        <w:ind w:firstLine="482" w:firstLineChars="200"/>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rPr>
        <w:t>详细评审</w:t>
      </w:r>
    </w:p>
    <w:p w14:paraId="2CE5720B">
      <w:pPr>
        <w:spacing w:line="440" w:lineRule="exact"/>
        <w:ind w:firstLine="472" w:firstLineChars="200"/>
        <w:rPr>
          <w:rFonts w:hint="eastAsia" w:ascii="宋体" w:hAnsi="宋体"/>
          <w:color w:val="auto"/>
          <w:sz w:val="24"/>
          <w:highlight w:val="none"/>
        </w:rPr>
      </w:pPr>
      <w:r>
        <w:rPr>
          <w:rFonts w:ascii="宋体" w:hAnsi="宋体"/>
          <w:color w:val="auto"/>
          <w:spacing w:val="-2"/>
          <w:sz w:val="24"/>
          <w:szCs w:val="24"/>
          <w:highlight w:val="none"/>
        </w:rPr>
        <w:t xml:space="preserve">22.1  </w:t>
      </w:r>
      <w:r>
        <w:rPr>
          <w:rFonts w:hint="eastAsia" w:ascii="宋体" w:hAnsi="宋体"/>
          <w:color w:val="auto"/>
          <w:spacing w:val="-2"/>
          <w:sz w:val="24"/>
          <w:szCs w:val="24"/>
          <w:highlight w:val="none"/>
        </w:rPr>
        <w:t>经初步评审合格的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确定的评标标准和方法，对</w:t>
      </w:r>
      <w:r>
        <w:rPr>
          <w:rFonts w:hint="eastAsia" w:ascii="宋体" w:hAnsi="宋体"/>
          <w:color w:val="auto"/>
          <w:sz w:val="24"/>
          <w:highlight w:val="none"/>
        </w:rPr>
        <w:t>投标人所有投标产品的</w:t>
      </w:r>
      <w:r>
        <w:rPr>
          <w:rFonts w:hint="eastAsia" w:ascii="宋体" w:hAnsi="宋体"/>
          <w:color w:val="auto"/>
          <w:spacing w:val="-2"/>
          <w:sz w:val="24"/>
          <w:szCs w:val="24"/>
          <w:highlight w:val="none"/>
        </w:rPr>
        <w:t>技术和商务部分进行详细评审和比较</w:t>
      </w:r>
      <w:r>
        <w:rPr>
          <w:rFonts w:hint="eastAsia" w:ascii="宋体" w:hAnsi="宋体"/>
          <w:color w:val="auto"/>
          <w:sz w:val="24"/>
          <w:highlight w:val="none"/>
        </w:rPr>
        <w:t>，未通过详细评审的投标产品视为无效投标产品。</w:t>
      </w:r>
    </w:p>
    <w:p w14:paraId="09A1EC3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2</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在评审过程中，为了有助于对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进行审查、评估和比较，投标人有责任按照招标方通知的时间、地点指派专人进行答疑和澄清。</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可能要求投标人就</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中的内容进行答辩，招标方将以书面形式通知投标人，投标人应按要求进行答辩。</w:t>
      </w:r>
    </w:p>
    <w:p w14:paraId="302E809C">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3采用综合评分法衡量</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在是否最大限度地满足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实质性要求前提下，按照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中规定的各项因素进行综合评审后，依据得分高低，依次确定为中标候选人。</w:t>
      </w:r>
    </w:p>
    <w:p w14:paraId="28EB64FC">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规定的方式确定一个投标人获得中标人推荐资格，</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未规定的采取随机抽取方式确定，其他同品牌投标人不作为中标候选人。</w:t>
      </w:r>
    </w:p>
    <w:p w14:paraId="78F7DDB3">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非单一产品采购项目，采购人应当根据采购项目技术构成、产品价格比重等合理确定核心产品，并在</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中载明。多家投标人提供的核心产品品牌相同的，按前款规定处理。</w:t>
      </w:r>
    </w:p>
    <w:p w14:paraId="171BE86F">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22.3.1当投标人总得分相同时，以投标价格低者排位在前。</w:t>
      </w:r>
    </w:p>
    <w:p w14:paraId="475B82F9">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4根据综合评分法完成评标后，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应当拟定一份书面评标报告提交招标方。评标报告应当载明投标人的投标项目、所作的任何修正、对商业偏差的调整、对技术偏差的调整、对各评审因素的评估以及对每一投标的最终评审结果。</w:t>
      </w:r>
    </w:p>
    <w:p w14:paraId="75C24D35">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22.5投标人自本次招标采购活动前三年内在投标活动中有违法违纪活动一经查出，将取消投标资格，已经中标的，取消中标资格。</w:t>
      </w:r>
    </w:p>
    <w:p w14:paraId="16425A51">
      <w:pPr>
        <w:spacing w:line="440" w:lineRule="exact"/>
        <w:ind w:firstLine="472" w:firstLineChars="200"/>
        <w:rPr>
          <w:rFonts w:hint="eastAsia" w:ascii="宋体" w:hAnsi="宋体" w:eastAsia="宋体" w:cs="宋体"/>
          <w:color w:val="auto"/>
          <w:sz w:val="40"/>
          <w:szCs w:val="40"/>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6评标和定标一般应当在开标后</w:t>
      </w:r>
      <w:r>
        <w:rPr>
          <w:rFonts w:ascii="宋体" w:hAnsi="宋体"/>
          <w:color w:val="auto"/>
          <w:spacing w:val="-2"/>
          <w:sz w:val="24"/>
          <w:szCs w:val="24"/>
          <w:highlight w:val="none"/>
        </w:rPr>
        <w:t>7</w:t>
      </w:r>
      <w:r>
        <w:rPr>
          <w:rFonts w:hint="eastAsia" w:ascii="宋体" w:hAnsi="宋体"/>
          <w:color w:val="auto"/>
          <w:spacing w:val="-2"/>
          <w:sz w:val="24"/>
          <w:szCs w:val="24"/>
          <w:highlight w:val="none"/>
        </w:rPr>
        <w:t>个工作日内完成，项目金额较大、技术较为复杂等特殊项目的评标工作应当在</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个工作日内完成。不能在开标后</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个工作日内完成评标和定标的，招标人应当提前</w:t>
      </w:r>
      <w:r>
        <w:rPr>
          <w:rFonts w:ascii="宋体" w:hAnsi="宋体"/>
          <w:color w:val="auto"/>
          <w:spacing w:val="-2"/>
          <w:sz w:val="24"/>
          <w:szCs w:val="24"/>
          <w:highlight w:val="none"/>
        </w:rPr>
        <w:t>3</w:t>
      </w:r>
      <w:r>
        <w:rPr>
          <w:rFonts w:hint="eastAsia" w:ascii="宋体" w:hAnsi="宋体"/>
          <w:color w:val="auto"/>
          <w:spacing w:val="-2"/>
          <w:sz w:val="24"/>
          <w:szCs w:val="24"/>
          <w:highlight w:val="none"/>
        </w:rPr>
        <w:t>天通知所有投标人延长投标有效期。同意延长投标有效期的投标人应当相应延长投标保证金的有效期，但不得修改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21919443">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将对下述评审因素进行量化，并根据评委会每个成员对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的评审和理解进行打分，满分为100分。报价权重占</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部分权重占</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分。投标人两部分的分值相加，即为该投标人的综合评估分。具体分值见下表：</w:t>
      </w:r>
    </w:p>
    <w:p w14:paraId="5B62F557">
      <w:pPr>
        <w:spacing w:line="460" w:lineRule="exact"/>
        <w:jc w:val="left"/>
        <w:rPr>
          <w:rFonts w:hint="eastAsia" w:ascii="宋体" w:hAnsi="宋体" w:cs="宋体"/>
          <w:color w:val="auto"/>
          <w:sz w:val="24"/>
          <w:szCs w:val="24"/>
          <w:highlight w:val="none"/>
          <w:lang w:val="en-US" w:eastAsia="zh-CN"/>
        </w:rPr>
      </w:pPr>
    </w:p>
    <w:tbl>
      <w:tblPr>
        <w:tblStyle w:val="23"/>
        <w:tblW w:w="5611" w:type="pct"/>
        <w:tblInd w:w="-50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51"/>
        <w:gridCol w:w="644"/>
        <w:gridCol w:w="1293"/>
        <w:gridCol w:w="7387"/>
        <w:gridCol w:w="680"/>
      </w:tblGrid>
      <w:tr w14:paraId="1DCA1A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13" w:hRule="atLeast"/>
        </w:trPr>
        <w:tc>
          <w:tcPr>
            <w:tcW w:w="727" w:type="pct"/>
            <w:gridSpan w:val="2"/>
            <w:tcBorders>
              <w:top w:val="outset" w:color="auto" w:sz="6" w:space="0"/>
              <w:left w:val="outset" w:color="auto" w:sz="6" w:space="0"/>
              <w:bottom w:val="single" w:color="auto" w:sz="4" w:space="0"/>
              <w:right w:val="outset" w:color="auto" w:sz="6" w:space="0"/>
            </w:tcBorders>
            <w:noWrap w:val="0"/>
            <w:vAlign w:val="center"/>
          </w:tcPr>
          <w:p w14:paraId="35469591">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590" w:type="pct"/>
            <w:tcBorders>
              <w:top w:val="outset" w:color="auto" w:sz="6" w:space="0"/>
              <w:left w:val="outset" w:color="auto" w:sz="6" w:space="0"/>
              <w:bottom w:val="single" w:color="auto" w:sz="4" w:space="0"/>
              <w:right w:val="outset" w:color="auto" w:sz="6" w:space="0"/>
            </w:tcBorders>
            <w:noWrap w:val="0"/>
            <w:vAlign w:val="center"/>
          </w:tcPr>
          <w:p w14:paraId="1CBADD6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3BFA89E2">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10" w:type="pct"/>
            <w:tcBorders>
              <w:top w:val="outset" w:color="auto" w:sz="6" w:space="0"/>
              <w:left w:val="outset" w:color="auto" w:sz="6" w:space="0"/>
              <w:bottom w:val="outset" w:color="auto" w:sz="6" w:space="0"/>
              <w:right w:val="outset" w:color="auto" w:sz="6" w:space="0"/>
            </w:tcBorders>
            <w:noWrap w:val="0"/>
            <w:vAlign w:val="center"/>
          </w:tcPr>
          <w:p w14:paraId="0E42D53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分值</w:t>
            </w:r>
            <w:r>
              <w:rPr>
                <w:rFonts w:hint="eastAsia" w:ascii="宋体" w:hAnsi="宋体" w:eastAsia="宋体" w:cs="宋体"/>
                <w:b/>
                <w:bCs/>
                <w:color w:val="auto"/>
                <w:sz w:val="24"/>
                <w:szCs w:val="24"/>
                <w:highlight w:val="none"/>
              </w:rPr>
              <w:t>分配</w:t>
            </w:r>
          </w:p>
        </w:tc>
      </w:tr>
      <w:tr w14:paraId="0DB879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33" w:type="pct"/>
            <w:vMerge w:val="restart"/>
            <w:tcBorders>
              <w:top w:val="single" w:color="auto" w:sz="4" w:space="0"/>
              <w:left w:val="single" w:color="auto" w:sz="4" w:space="0"/>
              <w:right w:val="outset" w:color="auto" w:sz="6" w:space="0"/>
            </w:tcBorders>
            <w:noWrap w:val="0"/>
            <w:vAlign w:val="center"/>
          </w:tcPr>
          <w:p w14:paraId="2B46F0D4">
            <w:pPr>
              <w:jc w:val="center"/>
              <w:rPr>
                <w:rFonts w:hint="eastAsia" w:ascii="宋体" w:hAnsi="宋体" w:eastAsia="宋体" w:cs="宋体"/>
                <w:color w:val="auto"/>
                <w:sz w:val="24"/>
                <w:szCs w:val="24"/>
                <w:highlight w:val="none"/>
              </w:rPr>
            </w:pPr>
          </w:p>
          <w:p w14:paraId="0B4C0C42">
            <w:pPr>
              <w:jc w:val="center"/>
              <w:rPr>
                <w:rFonts w:hint="eastAsia" w:ascii="宋体" w:hAnsi="宋体" w:eastAsia="宋体" w:cs="宋体"/>
                <w:color w:val="auto"/>
                <w:sz w:val="24"/>
                <w:szCs w:val="24"/>
                <w:highlight w:val="none"/>
              </w:rPr>
            </w:pPr>
          </w:p>
          <w:p w14:paraId="0670D9F0">
            <w:pPr>
              <w:jc w:val="center"/>
              <w:rPr>
                <w:rFonts w:hint="eastAsia" w:ascii="宋体" w:hAnsi="宋体" w:eastAsia="宋体" w:cs="宋体"/>
                <w:color w:val="auto"/>
                <w:sz w:val="24"/>
                <w:szCs w:val="24"/>
                <w:highlight w:val="none"/>
              </w:rPr>
            </w:pPr>
          </w:p>
          <w:p w14:paraId="570D0624">
            <w:pPr>
              <w:jc w:val="center"/>
              <w:rPr>
                <w:rFonts w:hint="eastAsia" w:ascii="宋体" w:hAnsi="宋体" w:eastAsia="宋体" w:cs="宋体"/>
                <w:color w:val="auto"/>
                <w:sz w:val="24"/>
                <w:szCs w:val="24"/>
                <w:highlight w:val="none"/>
              </w:rPr>
            </w:pPr>
          </w:p>
          <w:p w14:paraId="50C45815">
            <w:pPr>
              <w:jc w:val="center"/>
              <w:rPr>
                <w:rFonts w:hint="eastAsia" w:ascii="宋体" w:hAnsi="宋体" w:eastAsia="宋体" w:cs="宋体"/>
                <w:color w:val="auto"/>
                <w:sz w:val="24"/>
                <w:szCs w:val="24"/>
                <w:highlight w:val="none"/>
              </w:rPr>
            </w:pPr>
          </w:p>
          <w:p w14:paraId="61F95576">
            <w:pPr>
              <w:jc w:val="center"/>
              <w:rPr>
                <w:rFonts w:hint="eastAsia" w:ascii="宋体" w:hAnsi="宋体" w:eastAsia="宋体" w:cs="宋体"/>
                <w:color w:val="auto"/>
                <w:sz w:val="24"/>
                <w:szCs w:val="24"/>
                <w:highlight w:val="none"/>
              </w:rPr>
            </w:pPr>
          </w:p>
          <w:p w14:paraId="5E469B7B">
            <w:pPr>
              <w:jc w:val="center"/>
              <w:rPr>
                <w:rFonts w:hint="eastAsia" w:ascii="宋体" w:hAnsi="宋体" w:eastAsia="宋体" w:cs="宋体"/>
                <w:color w:val="auto"/>
                <w:sz w:val="24"/>
                <w:szCs w:val="24"/>
                <w:highlight w:val="none"/>
              </w:rPr>
            </w:pPr>
          </w:p>
          <w:p w14:paraId="3B6851D4">
            <w:pPr>
              <w:jc w:val="center"/>
              <w:rPr>
                <w:rFonts w:hint="eastAsia" w:ascii="宋体" w:hAnsi="宋体" w:eastAsia="宋体" w:cs="宋体"/>
                <w:color w:val="auto"/>
                <w:sz w:val="24"/>
                <w:szCs w:val="24"/>
                <w:highlight w:val="none"/>
              </w:rPr>
            </w:pPr>
          </w:p>
          <w:p w14:paraId="19D39250">
            <w:pPr>
              <w:jc w:val="center"/>
              <w:rPr>
                <w:rFonts w:hint="eastAsia" w:ascii="宋体" w:hAnsi="宋体" w:eastAsia="宋体" w:cs="宋体"/>
                <w:color w:val="auto"/>
                <w:sz w:val="24"/>
                <w:szCs w:val="24"/>
                <w:highlight w:val="none"/>
              </w:rPr>
            </w:pPr>
          </w:p>
          <w:p w14:paraId="0A09B58F">
            <w:pPr>
              <w:jc w:val="center"/>
              <w:rPr>
                <w:rFonts w:hint="eastAsia" w:ascii="宋体" w:hAnsi="宋体" w:eastAsia="宋体" w:cs="宋体"/>
                <w:color w:val="auto"/>
                <w:sz w:val="24"/>
                <w:szCs w:val="24"/>
                <w:highlight w:val="none"/>
              </w:rPr>
            </w:pPr>
          </w:p>
          <w:p w14:paraId="03DDAE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293" w:type="pct"/>
            <w:tcBorders>
              <w:top w:val="single" w:color="auto" w:sz="4" w:space="0"/>
              <w:left w:val="outset" w:color="auto" w:sz="6" w:space="0"/>
              <w:bottom w:val="outset" w:color="auto" w:sz="6" w:space="0"/>
              <w:right w:val="outset" w:color="auto" w:sz="6" w:space="0"/>
            </w:tcBorders>
            <w:noWrap w:val="0"/>
            <w:vAlign w:val="center"/>
          </w:tcPr>
          <w:p w14:paraId="06D4DBA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outset" w:color="auto" w:sz="6" w:space="0"/>
              <w:right w:val="outset" w:color="auto" w:sz="6" w:space="0"/>
            </w:tcBorders>
            <w:noWrap w:val="0"/>
            <w:vAlign w:val="center"/>
          </w:tcPr>
          <w:p w14:paraId="3F4C79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371" w:type="pct"/>
            <w:tcBorders>
              <w:top w:val="single" w:color="auto" w:sz="4" w:space="0"/>
              <w:left w:val="outset" w:color="auto" w:sz="6" w:space="0"/>
              <w:bottom w:val="outset" w:color="auto" w:sz="6" w:space="0"/>
              <w:right w:val="single" w:color="auto" w:sz="4" w:space="0"/>
            </w:tcBorders>
            <w:noWrap w:val="0"/>
            <w:vAlign w:val="center"/>
          </w:tcPr>
          <w:p w14:paraId="49559EFD">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投标报价得分=(评标基准价/</w:t>
            </w:r>
            <w:r>
              <w:rPr>
                <w:rFonts w:hint="eastAsia" w:ascii="宋体" w:hAnsi="宋体" w:cs="宋体"/>
                <w:i w:val="0"/>
                <w:iCs w:val="0"/>
                <w:color w:val="auto"/>
                <w:kern w:val="0"/>
                <w:sz w:val="24"/>
                <w:szCs w:val="24"/>
                <w:highlight w:val="none"/>
                <w:u w:val="none"/>
                <w:lang w:val="en-US" w:eastAsia="zh-CN" w:bidi="ar"/>
              </w:rPr>
              <w:t>最终</w:t>
            </w:r>
            <w:r>
              <w:rPr>
                <w:rFonts w:hint="eastAsia" w:ascii="宋体" w:hAnsi="宋体" w:eastAsia="宋体" w:cs="宋体"/>
                <w:i w:val="0"/>
                <w:iCs w:val="0"/>
                <w:color w:val="auto"/>
                <w:kern w:val="0"/>
                <w:sz w:val="24"/>
                <w:szCs w:val="24"/>
                <w:highlight w:val="none"/>
                <w:u w:val="none"/>
                <w:lang w:val="en-US" w:eastAsia="zh-CN" w:bidi="ar"/>
              </w:rPr>
              <w:t>投标报价)×30%×100</w:t>
            </w:r>
          </w:p>
          <w:p w14:paraId="4D3A01D8">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798EDC84">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1.投标价格评分采用低价优先法计算；</w:t>
            </w:r>
          </w:p>
          <w:p w14:paraId="74B7C6B3">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2.评标基准价：满足</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依据最低报价为评标基准价；</w:t>
            </w:r>
          </w:p>
          <w:p w14:paraId="205D31ED">
            <w:pPr>
              <w:keepNext w:val="0"/>
              <w:keepLines w:val="0"/>
              <w:widowControl/>
              <w:suppressLineNumbers w:val="0"/>
              <w:shd w:val="clear"/>
              <w:jc w:val="both"/>
              <w:textAlignment w:val="center"/>
              <w:rPr>
                <w:rFonts w:hint="eastAsia" w:ascii="宋体" w:hAnsi="宋体" w:eastAsia="宋体" w:cs="宋体"/>
                <w:b/>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备注：计算得分小于0时，按0分计。商务得分的计算将保留小数点后的两位数字。</w:t>
            </w:r>
          </w:p>
        </w:tc>
        <w:tc>
          <w:tcPr>
            <w:tcW w:w="310" w:type="pct"/>
            <w:tcBorders>
              <w:top w:val="outset" w:color="auto" w:sz="6" w:space="0"/>
              <w:left w:val="single" w:color="auto" w:sz="4" w:space="0"/>
              <w:bottom w:val="outset" w:color="auto" w:sz="6" w:space="0"/>
              <w:right w:val="outset" w:color="auto" w:sz="6" w:space="0"/>
            </w:tcBorders>
            <w:noWrap w:val="0"/>
            <w:vAlign w:val="center"/>
          </w:tcPr>
          <w:p w14:paraId="2DF85D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084D0A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1" w:hRule="atLeast"/>
        </w:trPr>
        <w:tc>
          <w:tcPr>
            <w:tcW w:w="433" w:type="pct"/>
            <w:vMerge w:val="continue"/>
            <w:tcBorders>
              <w:left w:val="single" w:color="auto" w:sz="4" w:space="0"/>
              <w:right w:val="outset" w:color="auto" w:sz="6" w:space="0"/>
            </w:tcBorders>
            <w:noWrap w:val="0"/>
            <w:vAlign w:val="center"/>
          </w:tcPr>
          <w:p w14:paraId="5E114C00">
            <w:pPr>
              <w:jc w:val="left"/>
              <w:rPr>
                <w:rFonts w:hint="eastAsia" w:ascii="宋体" w:hAnsi="宋体" w:eastAsia="宋体" w:cs="宋体"/>
                <w:color w:val="auto"/>
                <w:sz w:val="24"/>
                <w:szCs w:val="24"/>
                <w:highlight w:val="none"/>
              </w:rPr>
            </w:pPr>
          </w:p>
        </w:tc>
        <w:tc>
          <w:tcPr>
            <w:tcW w:w="293" w:type="pct"/>
            <w:vMerge w:val="restart"/>
            <w:tcBorders>
              <w:left w:val="outset" w:color="auto" w:sz="6" w:space="0"/>
              <w:right w:val="outset" w:color="auto" w:sz="6" w:space="0"/>
            </w:tcBorders>
            <w:noWrap w:val="0"/>
            <w:vAlign w:val="center"/>
          </w:tcPr>
          <w:p w14:paraId="1E5D70D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single" w:color="auto" w:sz="4" w:space="0"/>
              <w:right w:val="outset" w:color="auto" w:sz="6" w:space="0"/>
            </w:tcBorders>
            <w:noWrap w:val="0"/>
            <w:vAlign w:val="center"/>
          </w:tcPr>
          <w:p w14:paraId="79D0BF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w:t>
            </w:r>
          </w:p>
          <w:p w14:paraId="09C624B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0A574C7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根据响应文件所提供的</w:t>
            </w:r>
            <w:r>
              <w:rPr>
                <w:rFonts w:hint="eastAsia" w:ascii="宋体" w:hAnsi="宋体" w:cs="宋体"/>
                <w:i w:val="0"/>
                <w:iCs w:val="0"/>
                <w:color w:val="auto"/>
                <w:kern w:val="0"/>
                <w:sz w:val="24"/>
                <w:szCs w:val="24"/>
                <w:highlight w:val="none"/>
                <w:u w:val="none"/>
                <w:lang w:val="en-US" w:eastAsia="zh-CN" w:bidi="ar"/>
              </w:rPr>
              <w:t>投标产品</w:t>
            </w:r>
            <w:r>
              <w:rPr>
                <w:rFonts w:hint="eastAsia" w:ascii="宋体" w:hAnsi="宋体" w:eastAsia="宋体" w:cs="宋体"/>
                <w:i w:val="0"/>
                <w:iCs w:val="0"/>
                <w:color w:val="auto"/>
                <w:kern w:val="0"/>
                <w:sz w:val="24"/>
                <w:szCs w:val="24"/>
                <w:highlight w:val="none"/>
                <w:u w:val="none"/>
                <w:lang w:val="en-US" w:eastAsia="zh-CN" w:bidi="ar"/>
              </w:rPr>
              <w:t>截止日前三年内业绩进行</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每一份有效业绩加2分，直至满</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分。未提供相关证明的该项为0分（有效业绩需附合同</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中标通知书复印件</w:t>
            </w:r>
            <w:r>
              <w:rPr>
                <w:rFonts w:hint="eastAsia" w:ascii="宋体" w:hAnsi="宋体" w:cs="宋体"/>
                <w:i w:val="0"/>
                <w:iCs w:val="0"/>
                <w:color w:val="auto"/>
                <w:kern w:val="0"/>
                <w:sz w:val="24"/>
                <w:szCs w:val="24"/>
                <w:highlight w:val="none"/>
                <w:u w:val="none"/>
                <w:lang w:val="en-US" w:eastAsia="zh-CN" w:bidi="ar"/>
              </w:rPr>
              <w:t>）</w:t>
            </w:r>
          </w:p>
        </w:tc>
        <w:tc>
          <w:tcPr>
            <w:tcW w:w="310" w:type="pct"/>
            <w:vMerge w:val="restart"/>
            <w:tcBorders>
              <w:left w:val="single" w:color="auto" w:sz="4" w:space="0"/>
              <w:right w:val="outset" w:color="auto" w:sz="6" w:space="0"/>
            </w:tcBorders>
            <w:noWrap w:val="0"/>
            <w:vAlign w:val="center"/>
          </w:tcPr>
          <w:p w14:paraId="700FC2BA">
            <w:pPr>
              <w:jc w:val="left"/>
              <w:rPr>
                <w:rFonts w:hint="eastAsia" w:ascii="宋体" w:hAnsi="宋体" w:eastAsia="宋体" w:cs="宋体"/>
                <w:color w:val="auto"/>
                <w:sz w:val="24"/>
                <w:szCs w:val="24"/>
                <w:highlight w:val="none"/>
              </w:rPr>
            </w:pPr>
          </w:p>
        </w:tc>
      </w:tr>
      <w:tr w14:paraId="287A96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33" w:type="pct"/>
            <w:vMerge w:val="continue"/>
            <w:tcBorders>
              <w:left w:val="single" w:color="auto" w:sz="4" w:space="0"/>
              <w:right w:val="outset" w:color="auto" w:sz="6" w:space="0"/>
            </w:tcBorders>
            <w:noWrap w:val="0"/>
            <w:vAlign w:val="center"/>
          </w:tcPr>
          <w:p w14:paraId="17B3B65E">
            <w:pPr>
              <w:jc w:val="left"/>
              <w:rPr>
                <w:rFonts w:hint="eastAsia" w:ascii="宋体" w:hAnsi="宋体" w:eastAsia="宋体" w:cs="宋体"/>
                <w:color w:val="auto"/>
                <w:sz w:val="24"/>
                <w:szCs w:val="24"/>
                <w:highlight w:val="none"/>
              </w:rPr>
            </w:pPr>
          </w:p>
        </w:tc>
        <w:tc>
          <w:tcPr>
            <w:tcW w:w="293" w:type="pct"/>
            <w:vMerge w:val="continue"/>
            <w:tcBorders>
              <w:left w:val="outset" w:color="auto" w:sz="6" w:space="0"/>
              <w:bottom w:val="single" w:color="auto" w:sz="4" w:space="0"/>
              <w:right w:val="outset" w:color="auto" w:sz="6" w:space="0"/>
            </w:tcBorders>
            <w:noWrap w:val="0"/>
            <w:vAlign w:val="center"/>
          </w:tcPr>
          <w:p w14:paraId="4A58075C">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2A724130">
            <w:pPr>
              <w:widowControl/>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企业资信</w:t>
            </w:r>
          </w:p>
          <w:p w14:paraId="31D5F2D9">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223CCF55">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根据供应商提供的企业资质信息，所投产品的资信情况进行打分。</w:t>
            </w:r>
          </w:p>
          <w:p w14:paraId="28757AFE">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有生产厂家授权得1分，</w:t>
            </w:r>
            <w:r>
              <w:rPr>
                <w:rFonts w:hint="eastAsia" w:ascii="宋体" w:hAnsi="宋体" w:eastAsia="宋体" w:cs="宋体"/>
                <w:i w:val="0"/>
                <w:iCs w:val="0"/>
                <w:color w:val="auto"/>
                <w:kern w:val="0"/>
                <w:sz w:val="24"/>
                <w:szCs w:val="24"/>
                <w:highlight w:val="none"/>
                <w:u w:val="none"/>
                <w:lang w:val="en-US" w:eastAsia="zh-CN" w:bidi="ar"/>
              </w:rPr>
              <w:t>不提供不得分</w:t>
            </w:r>
            <w:r>
              <w:rPr>
                <w:rFonts w:hint="eastAsia" w:ascii="宋体" w:hAnsi="宋体" w:cs="宋体"/>
                <w:i w:val="0"/>
                <w:iCs w:val="0"/>
                <w:color w:val="auto"/>
                <w:kern w:val="0"/>
                <w:sz w:val="24"/>
                <w:szCs w:val="24"/>
                <w:highlight w:val="none"/>
                <w:u w:val="none"/>
                <w:lang w:val="en-US" w:eastAsia="zh-CN" w:bidi="ar"/>
              </w:rPr>
              <w:t>。</w:t>
            </w:r>
          </w:p>
        </w:tc>
        <w:tc>
          <w:tcPr>
            <w:tcW w:w="310" w:type="pct"/>
            <w:vMerge w:val="continue"/>
            <w:tcBorders>
              <w:left w:val="single" w:color="auto" w:sz="4" w:space="0"/>
              <w:right w:val="outset" w:color="auto" w:sz="6" w:space="0"/>
            </w:tcBorders>
            <w:noWrap w:val="0"/>
            <w:vAlign w:val="center"/>
          </w:tcPr>
          <w:p w14:paraId="4DE80401">
            <w:pPr>
              <w:rPr>
                <w:rFonts w:hint="eastAsia" w:ascii="宋体" w:hAnsi="宋体" w:eastAsia="宋体" w:cs="宋体"/>
                <w:color w:val="auto"/>
                <w:sz w:val="24"/>
                <w:szCs w:val="24"/>
                <w:highlight w:val="none"/>
                <w:lang w:val="en-US" w:eastAsia="zh-CN"/>
              </w:rPr>
            </w:pPr>
          </w:p>
        </w:tc>
      </w:tr>
      <w:tr w14:paraId="4E0AD3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218F45E7">
            <w:pPr>
              <w:jc w:val="left"/>
              <w:rPr>
                <w:rFonts w:hint="eastAsia" w:ascii="宋体" w:hAnsi="宋体" w:eastAsia="宋体" w:cs="宋体"/>
                <w:color w:val="auto"/>
                <w:sz w:val="24"/>
                <w:szCs w:val="24"/>
                <w:highlight w:val="none"/>
              </w:rPr>
            </w:pPr>
          </w:p>
        </w:tc>
        <w:tc>
          <w:tcPr>
            <w:tcW w:w="293" w:type="pct"/>
            <w:vMerge w:val="restart"/>
            <w:tcBorders>
              <w:top w:val="single" w:color="auto" w:sz="4" w:space="0"/>
              <w:left w:val="outset" w:color="auto" w:sz="6" w:space="0"/>
              <w:right w:val="single" w:color="auto" w:sz="4" w:space="0"/>
            </w:tcBorders>
            <w:noWrap w:val="0"/>
            <w:vAlign w:val="center"/>
          </w:tcPr>
          <w:p w14:paraId="2BB862C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技术标评审（</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分）</w:t>
            </w:r>
          </w:p>
        </w:tc>
        <w:tc>
          <w:tcPr>
            <w:tcW w:w="590" w:type="pct"/>
            <w:tcBorders>
              <w:top w:val="single" w:color="auto" w:sz="4" w:space="0"/>
              <w:left w:val="single" w:color="auto" w:sz="4" w:space="0"/>
              <w:bottom w:val="single" w:color="auto" w:sz="4" w:space="0"/>
              <w:right w:val="outset" w:color="auto" w:sz="6" w:space="0"/>
            </w:tcBorders>
            <w:noWrap w:val="0"/>
            <w:vAlign w:val="center"/>
          </w:tcPr>
          <w:p w14:paraId="262F74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产品符合性</w:t>
            </w:r>
          </w:p>
          <w:p w14:paraId="54C81E5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04D82342">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根据投标人的产品技术规格、参数响应程度打分、产品配置与性能指标，所投产品所有技术参数全部满足的</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要求的得基本分</w:t>
            </w:r>
            <w:r>
              <w:rPr>
                <w:rFonts w:hint="eastAsia" w:ascii="宋体" w:hAnsi="宋体" w:cs="宋体"/>
                <w:i w:val="0"/>
                <w:iCs w:val="0"/>
                <w:color w:val="auto"/>
                <w:kern w:val="0"/>
                <w:sz w:val="24"/>
                <w:szCs w:val="24"/>
                <w:highlight w:val="none"/>
                <w:u w:val="none"/>
                <w:lang w:val="en-US" w:eastAsia="zh-CN" w:bidi="ar"/>
              </w:rPr>
              <w:t>24</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每有一项重要参数</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低于要求的扣4分，</w:t>
            </w:r>
            <w:r>
              <w:rPr>
                <w:rFonts w:hint="eastAsia" w:ascii="宋体" w:hAnsi="宋体" w:eastAsia="宋体" w:cs="宋体"/>
                <w:i w:val="0"/>
                <w:iCs w:val="0"/>
                <w:color w:val="auto"/>
                <w:kern w:val="0"/>
                <w:sz w:val="24"/>
                <w:szCs w:val="24"/>
                <w:highlight w:val="none"/>
                <w:u w:val="none"/>
                <w:lang w:val="en-US" w:eastAsia="zh-CN" w:bidi="ar"/>
              </w:rPr>
              <w:t>每有一项</w:t>
            </w:r>
            <w:r>
              <w:rPr>
                <w:rFonts w:hint="eastAsia" w:ascii="宋体" w:hAnsi="宋体" w:cs="宋体"/>
                <w:b/>
                <w:bCs/>
                <w:i w:val="0"/>
                <w:iCs w:val="0"/>
                <w:color w:val="auto"/>
                <w:kern w:val="0"/>
                <w:sz w:val="24"/>
                <w:szCs w:val="24"/>
                <w:highlight w:val="none"/>
                <w:u w:val="none"/>
                <w:lang w:val="en-US" w:eastAsia="zh-CN" w:bidi="ar"/>
              </w:rPr>
              <w:t>普通</w:t>
            </w:r>
            <w:r>
              <w:rPr>
                <w:rFonts w:hint="eastAsia" w:ascii="宋体" w:hAnsi="宋体" w:eastAsia="宋体" w:cs="宋体"/>
                <w:b/>
                <w:bCs/>
                <w:i w:val="0"/>
                <w:iCs w:val="0"/>
                <w:color w:val="auto"/>
                <w:kern w:val="0"/>
                <w:sz w:val="24"/>
                <w:szCs w:val="24"/>
                <w:highlight w:val="none"/>
                <w:u w:val="none"/>
                <w:lang w:val="en-US" w:eastAsia="zh-CN" w:bidi="ar"/>
              </w:rPr>
              <w:t>指标</w:t>
            </w:r>
            <w:r>
              <w:rPr>
                <w:rFonts w:hint="eastAsia" w:ascii="宋体" w:hAnsi="宋体" w:eastAsia="宋体" w:cs="宋体"/>
                <w:i w:val="0"/>
                <w:iCs w:val="0"/>
                <w:color w:val="auto"/>
                <w:kern w:val="0"/>
                <w:sz w:val="24"/>
                <w:szCs w:val="24"/>
                <w:highlight w:val="none"/>
                <w:u w:val="none"/>
                <w:lang w:val="en-US" w:eastAsia="zh-CN" w:bidi="ar"/>
              </w:rPr>
              <w:t>低于要求的扣</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分，此项最高</w:t>
            </w:r>
            <w:r>
              <w:rPr>
                <w:rFonts w:hint="eastAsia" w:ascii="宋体" w:hAnsi="宋体" w:cs="宋体"/>
                <w:i w:val="0"/>
                <w:iCs w:val="0"/>
                <w:color w:val="auto"/>
                <w:kern w:val="0"/>
                <w:sz w:val="24"/>
                <w:szCs w:val="24"/>
                <w:highlight w:val="none"/>
                <w:u w:val="none"/>
                <w:lang w:val="en-US" w:eastAsia="zh-CN" w:bidi="ar"/>
              </w:rPr>
              <w:t>24</w:t>
            </w:r>
            <w:r>
              <w:rPr>
                <w:rFonts w:hint="eastAsia" w:ascii="宋体" w:hAnsi="宋体" w:eastAsia="宋体" w:cs="宋体"/>
                <w:i w:val="0"/>
                <w:iCs w:val="0"/>
                <w:color w:val="auto"/>
                <w:kern w:val="0"/>
                <w:sz w:val="24"/>
                <w:szCs w:val="24"/>
                <w:highlight w:val="none"/>
                <w:u w:val="none"/>
                <w:lang w:val="en-US" w:eastAsia="zh-CN" w:bidi="ar"/>
              </w:rPr>
              <w:t>分，最低得0分。</w:t>
            </w:r>
          </w:p>
        </w:tc>
        <w:tc>
          <w:tcPr>
            <w:tcW w:w="310" w:type="pct"/>
            <w:vMerge w:val="continue"/>
            <w:tcBorders>
              <w:left w:val="single" w:color="auto" w:sz="4" w:space="0"/>
              <w:right w:val="outset" w:color="auto" w:sz="6" w:space="0"/>
            </w:tcBorders>
            <w:noWrap w:val="0"/>
            <w:vAlign w:val="center"/>
          </w:tcPr>
          <w:p w14:paraId="744FC76A">
            <w:pPr>
              <w:rPr>
                <w:rFonts w:hint="eastAsia" w:ascii="宋体" w:hAnsi="宋体" w:eastAsia="宋体" w:cs="宋体"/>
                <w:color w:val="auto"/>
                <w:sz w:val="24"/>
                <w:szCs w:val="24"/>
                <w:highlight w:val="none"/>
                <w:lang w:val="en-US" w:eastAsia="zh-CN"/>
              </w:rPr>
            </w:pPr>
          </w:p>
        </w:tc>
      </w:tr>
      <w:tr w14:paraId="103F0A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433" w:type="pct"/>
            <w:vMerge w:val="continue"/>
            <w:tcBorders>
              <w:left w:val="single" w:color="auto" w:sz="4" w:space="0"/>
              <w:right w:val="outset" w:color="auto" w:sz="6" w:space="0"/>
            </w:tcBorders>
            <w:noWrap w:val="0"/>
            <w:vAlign w:val="center"/>
          </w:tcPr>
          <w:p w14:paraId="4CC8E7C0">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755B36F2">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6C8BA6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售后服务承诺及维保方案</w:t>
            </w: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35E4D808">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评定投标人的售后服务承诺及维保方案，根据售后服务的及时性、可行性、零配件供应能力，以及维保方案的保障措施、可操作性等综合评分。每有一项缺项扣2分，每有缺陷的扣0.5分，不提供不得分，满分10分。</w:t>
            </w:r>
          </w:p>
        </w:tc>
        <w:tc>
          <w:tcPr>
            <w:tcW w:w="310" w:type="pct"/>
            <w:vMerge w:val="continue"/>
            <w:tcBorders>
              <w:left w:val="single" w:color="auto" w:sz="4" w:space="0"/>
              <w:right w:val="outset" w:color="auto" w:sz="6" w:space="0"/>
            </w:tcBorders>
            <w:noWrap w:val="0"/>
            <w:vAlign w:val="center"/>
          </w:tcPr>
          <w:p w14:paraId="1998AFDC">
            <w:pPr>
              <w:rPr>
                <w:rFonts w:hint="eastAsia" w:ascii="宋体" w:hAnsi="宋体" w:eastAsia="宋体" w:cs="宋体"/>
                <w:color w:val="auto"/>
                <w:sz w:val="24"/>
                <w:szCs w:val="24"/>
                <w:highlight w:val="none"/>
                <w:lang w:val="en-US" w:eastAsia="zh-CN"/>
              </w:rPr>
            </w:pPr>
          </w:p>
        </w:tc>
      </w:tr>
      <w:tr w14:paraId="671A60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7FAB7C60">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2C3F3765">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0A706C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培训服务方案</w:t>
            </w: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060D93D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对投标人所提供的培训计划或培训方案的详尽程度、人员安排、培训周期等因素打分。每有一项缺项扣3分，每有缺陷的扣0.5分，不提供不得分，满分10分。</w:t>
            </w:r>
          </w:p>
        </w:tc>
        <w:tc>
          <w:tcPr>
            <w:tcW w:w="310" w:type="pct"/>
            <w:vMerge w:val="continue"/>
            <w:tcBorders>
              <w:left w:val="single" w:color="auto" w:sz="4" w:space="0"/>
              <w:right w:val="outset" w:color="auto" w:sz="6" w:space="0"/>
            </w:tcBorders>
            <w:noWrap w:val="0"/>
            <w:vAlign w:val="center"/>
          </w:tcPr>
          <w:p w14:paraId="4E1F89DA">
            <w:pPr>
              <w:rPr>
                <w:rFonts w:hint="eastAsia" w:ascii="宋体" w:hAnsi="宋体" w:eastAsia="宋体" w:cs="宋体"/>
                <w:color w:val="auto"/>
                <w:sz w:val="24"/>
                <w:szCs w:val="24"/>
                <w:highlight w:val="none"/>
                <w:lang w:val="en-US" w:eastAsia="zh-CN"/>
              </w:rPr>
            </w:pPr>
          </w:p>
        </w:tc>
      </w:tr>
      <w:tr w14:paraId="511AEC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55" w:hRule="atLeast"/>
        </w:trPr>
        <w:tc>
          <w:tcPr>
            <w:tcW w:w="433" w:type="pct"/>
            <w:vMerge w:val="continue"/>
            <w:tcBorders>
              <w:left w:val="single" w:color="auto" w:sz="4" w:space="0"/>
              <w:right w:val="outset" w:color="auto" w:sz="6" w:space="0"/>
            </w:tcBorders>
            <w:noWrap w:val="0"/>
            <w:vAlign w:val="center"/>
          </w:tcPr>
          <w:p w14:paraId="3129FEB6">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2C5991CF">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right w:val="single" w:color="auto" w:sz="4" w:space="0"/>
            </w:tcBorders>
            <w:noWrap w:val="0"/>
            <w:vAlign w:val="center"/>
          </w:tcPr>
          <w:p w14:paraId="57C593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配送方案</w:t>
            </w:r>
            <w:r>
              <w:rPr>
                <w:rFonts w:hint="eastAsia" w:ascii="宋体" w:hAnsi="宋体" w:cs="宋体"/>
                <w:i w:val="0"/>
                <w:iCs w:val="0"/>
                <w:color w:val="auto"/>
                <w:kern w:val="0"/>
                <w:sz w:val="24"/>
                <w:szCs w:val="24"/>
                <w:highlight w:val="none"/>
                <w:u w:val="none"/>
                <w:lang w:val="en-US" w:eastAsia="zh-CN" w:bidi="ar"/>
              </w:rPr>
              <w:t>（10分）</w:t>
            </w:r>
          </w:p>
          <w:p w14:paraId="4517DF62">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p>
        </w:tc>
        <w:tc>
          <w:tcPr>
            <w:tcW w:w="3371" w:type="pct"/>
            <w:tcBorders>
              <w:top w:val="single" w:color="auto" w:sz="4" w:space="0"/>
              <w:left w:val="single" w:color="auto" w:sz="4" w:space="0"/>
              <w:right w:val="single" w:color="auto" w:sz="4" w:space="0"/>
            </w:tcBorders>
            <w:noWrap w:val="0"/>
            <w:vAlign w:val="center"/>
          </w:tcPr>
          <w:p w14:paraId="090E5881">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有详尽、合理的安装、运送组织方案；有确保产品安装质量的技术措施以及投标人的人员设备力量、备品备件情况等要素。每有一项缺项扣2分，每有缺陷的扣0.5分，不提供不得分，满分10分。</w:t>
            </w:r>
          </w:p>
        </w:tc>
        <w:tc>
          <w:tcPr>
            <w:tcW w:w="310" w:type="pct"/>
            <w:vMerge w:val="continue"/>
            <w:tcBorders>
              <w:left w:val="single" w:color="auto" w:sz="4" w:space="0"/>
              <w:right w:val="outset" w:color="auto" w:sz="6" w:space="0"/>
            </w:tcBorders>
            <w:noWrap w:val="0"/>
            <w:vAlign w:val="center"/>
          </w:tcPr>
          <w:p w14:paraId="5F815ED3">
            <w:pPr>
              <w:jc w:val="left"/>
              <w:rPr>
                <w:rFonts w:hint="eastAsia" w:ascii="宋体" w:hAnsi="宋体" w:eastAsia="宋体" w:cs="宋体"/>
                <w:color w:val="auto"/>
                <w:sz w:val="24"/>
                <w:szCs w:val="24"/>
                <w:highlight w:val="none"/>
              </w:rPr>
            </w:pPr>
          </w:p>
        </w:tc>
      </w:tr>
      <w:tr w14:paraId="2A5B6F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63" w:hRule="atLeast"/>
        </w:trPr>
        <w:tc>
          <w:tcPr>
            <w:tcW w:w="433" w:type="pct"/>
            <w:vMerge w:val="continue"/>
            <w:tcBorders>
              <w:left w:val="single" w:color="auto" w:sz="4" w:space="0"/>
              <w:right w:val="outset" w:color="auto" w:sz="6" w:space="0"/>
            </w:tcBorders>
            <w:noWrap w:val="0"/>
            <w:vAlign w:val="center"/>
          </w:tcPr>
          <w:p w14:paraId="6A2F8B9F">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193883CD">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354AD12B">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（5分）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FCBFC97">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应急处理方案满足需求、完整合理。每有缺陷的扣0.5分，不提供不得分，满分5分。</w:t>
            </w:r>
          </w:p>
        </w:tc>
        <w:tc>
          <w:tcPr>
            <w:tcW w:w="310" w:type="pct"/>
            <w:vMerge w:val="continue"/>
            <w:tcBorders>
              <w:left w:val="single" w:color="auto" w:sz="4" w:space="0"/>
              <w:right w:val="outset" w:color="auto" w:sz="6" w:space="0"/>
            </w:tcBorders>
            <w:noWrap w:val="0"/>
            <w:vAlign w:val="center"/>
          </w:tcPr>
          <w:p w14:paraId="207BC6BF">
            <w:pPr>
              <w:jc w:val="left"/>
              <w:rPr>
                <w:rFonts w:hint="eastAsia" w:ascii="宋体" w:hAnsi="宋体" w:eastAsia="宋体" w:cs="宋体"/>
                <w:color w:val="auto"/>
                <w:sz w:val="24"/>
                <w:szCs w:val="24"/>
                <w:highlight w:val="none"/>
              </w:rPr>
            </w:pPr>
          </w:p>
        </w:tc>
      </w:tr>
      <w:tr w14:paraId="39D4D79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7" w:hRule="atLeast"/>
        </w:trPr>
        <w:tc>
          <w:tcPr>
            <w:tcW w:w="433" w:type="pct"/>
            <w:vMerge w:val="restart"/>
            <w:tcBorders>
              <w:top w:val="single" w:color="auto" w:sz="4" w:space="0"/>
              <w:left w:val="outset" w:color="auto" w:sz="6" w:space="0"/>
              <w:bottom w:val="outset" w:color="auto" w:sz="6" w:space="0"/>
              <w:right w:val="outset" w:color="auto" w:sz="6" w:space="0"/>
            </w:tcBorders>
            <w:noWrap w:val="0"/>
            <w:vAlign w:val="center"/>
          </w:tcPr>
          <w:p w14:paraId="3EFAAE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c>
          <w:tcPr>
            <w:tcW w:w="4255" w:type="pct"/>
            <w:gridSpan w:val="3"/>
            <w:tcBorders>
              <w:top w:val="single" w:color="auto" w:sz="4" w:space="0"/>
              <w:left w:val="outset" w:color="auto" w:sz="6" w:space="0"/>
              <w:bottom w:val="outset" w:color="auto" w:sz="6" w:space="0"/>
              <w:right w:val="outset" w:color="auto" w:sz="6" w:space="0"/>
            </w:tcBorders>
            <w:noWrap w:val="0"/>
            <w:vAlign w:val="center"/>
          </w:tcPr>
          <w:p w14:paraId="482B6E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0" w:type="pct"/>
            <w:tcBorders>
              <w:top w:val="single" w:color="auto" w:sz="4" w:space="0"/>
              <w:left w:val="outset" w:color="auto" w:sz="6" w:space="0"/>
              <w:bottom w:val="outset" w:color="auto" w:sz="6" w:space="0"/>
              <w:right w:val="outset" w:color="auto" w:sz="6" w:space="0"/>
            </w:tcBorders>
            <w:noWrap w:val="0"/>
            <w:vAlign w:val="center"/>
          </w:tcPr>
          <w:p w14:paraId="14E8D0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r>
      <w:tr w14:paraId="662E00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6" w:hRule="atLeast"/>
        </w:trPr>
        <w:tc>
          <w:tcPr>
            <w:tcW w:w="433" w:type="pct"/>
            <w:vMerge w:val="continue"/>
            <w:tcBorders>
              <w:top w:val="outset" w:color="auto" w:sz="6" w:space="0"/>
              <w:left w:val="outset" w:color="auto" w:sz="6" w:space="0"/>
              <w:bottom w:val="outset" w:color="auto" w:sz="6" w:space="0"/>
              <w:right w:val="outset" w:color="auto" w:sz="6" w:space="0"/>
            </w:tcBorders>
            <w:noWrap w:val="0"/>
            <w:vAlign w:val="center"/>
          </w:tcPr>
          <w:p w14:paraId="68AA8142">
            <w:pPr>
              <w:jc w:val="center"/>
              <w:rPr>
                <w:rFonts w:hint="eastAsia" w:ascii="宋体" w:hAnsi="宋体" w:eastAsia="宋体" w:cs="宋体"/>
                <w:color w:val="auto"/>
                <w:sz w:val="24"/>
                <w:szCs w:val="24"/>
                <w:highlight w:val="none"/>
              </w:rPr>
            </w:pPr>
          </w:p>
        </w:tc>
        <w:tc>
          <w:tcPr>
            <w:tcW w:w="4566" w:type="pct"/>
            <w:gridSpan w:val="4"/>
            <w:tcBorders>
              <w:top w:val="outset" w:color="auto" w:sz="6" w:space="0"/>
              <w:left w:val="outset" w:color="auto" w:sz="6" w:space="0"/>
              <w:bottom w:val="outset" w:color="auto" w:sz="6" w:space="0"/>
              <w:right w:val="outset" w:color="auto" w:sz="6" w:space="0"/>
            </w:tcBorders>
            <w:noWrap w:val="0"/>
            <w:vAlign w:val="center"/>
          </w:tcPr>
          <w:p w14:paraId="3ADA58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注：评分分值计算保留小数点后两位，小数点后第三位“四舍五入”</w:t>
            </w:r>
          </w:p>
        </w:tc>
      </w:tr>
    </w:tbl>
    <w:p w14:paraId="3801761C">
      <w:pPr>
        <w:pStyle w:val="29"/>
        <w:rPr>
          <w:rFonts w:hint="eastAsia" w:ascii="宋体" w:hAnsi="宋体" w:eastAsia="宋体" w:cs="宋体"/>
          <w:color w:val="auto"/>
          <w:sz w:val="28"/>
          <w:szCs w:val="28"/>
          <w:highlight w:val="none"/>
        </w:rPr>
      </w:pPr>
    </w:p>
    <w:p w14:paraId="3D07BF84">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23.1 </w:t>
      </w:r>
      <w:r>
        <w:rPr>
          <w:rFonts w:hint="eastAsia" w:ascii="宋体" w:hAnsi="宋体" w:eastAsia="宋体" w:cs="宋体"/>
          <w:b/>
          <w:bCs/>
          <w:color w:val="auto"/>
          <w:sz w:val="24"/>
          <w:szCs w:val="24"/>
          <w:highlight w:val="none"/>
        </w:rPr>
        <w:t>对于商务部分（投标报价）的评分，按以下方法进行：</w:t>
      </w:r>
    </w:p>
    <w:p w14:paraId="22AF5B06">
      <w:pPr>
        <w:keepNext w:val="0"/>
        <w:keepLines w:val="0"/>
        <w:widowControl/>
        <w:suppressLineNumbers w:val="0"/>
        <w:shd w:val="clear"/>
        <w:ind w:firstLine="482" w:firstLineChars="20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投标报价得分=(评标基准价/</w:t>
      </w:r>
      <w:r>
        <w:rPr>
          <w:rFonts w:hint="eastAsia" w:ascii="宋体" w:hAnsi="宋体" w:cs="宋体"/>
          <w:b/>
          <w:bCs/>
          <w:i w:val="0"/>
          <w:iCs w:val="0"/>
          <w:color w:val="auto"/>
          <w:kern w:val="0"/>
          <w:sz w:val="24"/>
          <w:szCs w:val="24"/>
          <w:highlight w:val="none"/>
          <w:u w:val="none"/>
          <w:lang w:val="en-US" w:eastAsia="zh-CN" w:bidi="ar"/>
        </w:rPr>
        <w:t>最终</w:t>
      </w:r>
      <w:r>
        <w:rPr>
          <w:rFonts w:hint="eastAsia" w:ascii="宋体" w:hAnsi="宋体" w:eastAsia="宋体" w:cs="宋体"/>
          <w:b/>
          <w:bCs/>
          <w:i w:val="0"/>
          <w:iCs w:val="0"/>
          <w:color w:val="auto"/>
          <w:kern w:val="0"/>
          <w:sz w:val="24"/>
          <w:szCs w:val="24"/>
          <w:highlight w:val="none"/>
          <w:u w:val="none"/>
          <w:lang w:val="en-US" w:eastAsia="zh-CN" w:bidi="ar"/>
        </w:rPr>
        <w:t>投标报价)×30%×100</w:t>
      </w:r>
    </w:p>
    <w:p w14:paraId="6BCE6395">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p w14:paraId="64F7A4EF">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1.投标价格评分采用低价优先法计算；</w:t>
      </w:r>
    </w:p>
    <w:p w14:paraId="7B97377E">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2.评标基准价：满足</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lang w:val="en-US" w:eastAsia="zh-CN"/>
        </w:rPr>
        <w:t>要求</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依据最低报价为评标基准价；</w:t>
      </w:r>
    </w:p>
    <w:p w14:paraId="4E4BBA93">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备注：计算得分小于0时，按0分计。商务得分的计算将保留小数点后的两位数字。</w:t>
      </w:r>
    </w:p>
    <w:p w14:paraId="4D827190">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23.2 </w:t>
      </w:r>
      <w:r>
        <w:rPr>
          <w:rFonts w:hint="eastAsia" w:ascii="宋体" w:hAnsi="宋体" w:eastAsia="宋体" w:cs="宋体"/>
          <w:b w:val="0"/>
          <w:bCs w:val="0"/>
          <w:color w:val="auto"/>
          <w:sz w:val="24"/>
          <w:szCs w:val="24"/>
          <w:highlight w:val="none"/>
        </w:rPr>
        <w:t>在价格评审中，若</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发现投标人以明显低于市场或成本的价格投标，而投标人又未在</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中提供有力证据证明其报价合理的，</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可以认定该投标以低于成本的价格投标。被认定为低于成本价格的</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将按废标处理。</w:t>
      </w:r>
    </w:p>
    <w:p w14:paraId="168D56F1">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24 </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的澄清</w:t>
      </w:r>
    </w:p>
    <w:p w14:paraId="198E0FDD">
      <w:pPr>
        <w:spacing w:line="460" w:lineRule="exact"/>
        <w:ind w:firstLine="559"/>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可以要求投标人就</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中含混不清和含义不明确之处作出书面澄清或说明，书面澄清或说明应由投标人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或授权代表的签字（或签章）或盖章。</w:t>
      </w:r>
    </w:p>
    <w:p w14:paraId="35B9DD9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24.2</w:t>
      </w:r>
      <w:r>
        <w:rPr>
          <w:rFonts w:hint="eastAsia" w:ascii="宋体" w:hAnsi="宋体" w:eastAsia="宋体" w:cs="宋体"/>
          <w:color w:val="auto"/>
          <w:sz w:val="24"/>
          <w:szCs w:val="24"/>
          <w:highlight w:val="none"/>
        </w:rPr>
        <w:t>投标人澄清或说明的内容不得超出</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的实质性内容。投标人拒绝澄清或说明、澄清或说明的内容超出了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的实质性内容。投标书有可能会被拒绝。</w:t>
      </w:r>
    </w:p>
    <w:p w14:paraId="60B38897">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投标报价的算术性复核和调整修正</w:t>
      </w:r>
    </w:p>
    <w:p w14:paraId="5CB10CE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在对实质上响应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要求的投标报价进行评估时，应当按下述原则进行修正：</w:t>
      </w:r>
    </w:p>
    <w:p w14:paraId="081A812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25.1.1</w:t>
      </w:r>
      <w:r>
        <w:rPr>
          <w:rFonts w:hint="eastAsia" w:ascii="宋体" w:hAnsi="宋体" w:eastAsia="宋体" w:cs="宋体"/>
          <w:color w:val="auto"/>
          <w:sz w:val="24"/>
          <w:szCs w:val="24"/>
          <w:highlight w:val="none"/>
        </w:rPr>
        <w:t>投标总报价如果小写数额与大写数额不一致时，应以大写数额为准。大写金额不能确认时，报价无效。</w:t>
      </w:r>
    </w:p>
    <w:p w14:paraId="4BBF582A">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1.2报价单价金额与项目量的乘积与合价（金额）不一致时，应同时修改单价和合价并修正总报价。</w:t>
      </w:r>
    </w:p>
    <w:p w14:paraId="437BA970">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1.3当单价与项目量的乘积与合价（金额）虽然一致，但单价有明显的小数点错位（有明显错误而投标单位不能提供正当的理由时），应同时修改单价和合价并调整修正总报价。</w:t>
      </w:r>
    </w:p>
    <w:p w14:paraId="037C714E">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1.4当各细目的合价累计不等于合计时，调整合计和修正总报价。上述各项调整和修正值均四舍五入保留两位小数。</w:t>
      </w:r>
    </w:p>
    <w:p w14:paraId="23DF6179">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将确定该投标总价与报价表中的单价或合价的合计结果的下浮（或上浮）比率，并按确定的下浮（或上浮）比率对所有单价（或合价）按此比率下浮（或上浮），投标人应予以确认经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修正后的单价，如果投标人不接受经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修正后的单价者投标将被拒绝，且不影响评标工作。</w:t>
      </w:r>
    </w:p>
    <w:p w14:paraId="244872B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.2按上述规定调整后的报价投标人必须确认，如果投标人不接受修正后的投标报价则其投标将被拒绝。且并不影响评标工作。</w:t>
      </w:r>
    </w:p>
    <w:p w14:paraId="7A51FE37">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.3以上述方法修正后的报价将作为评分中评标价的计算依据。上述修正原则仍然适用于在发出中标通知书后到合同签订时对项目量进行核查所发现的错误。</w:t>
      </w:r>
    </w:p>
    <w:p w14:paraId="323F3F1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在评标过程中，凡投标被依法否定或被</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界定为废标的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后，有效投标人少于三个的，招标人将依法重新招标。</w:t>
      </w:r>
    </w:p>
    <w:p w14:paraId="77AAAC0C">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参与评标的有关人员必须严格遵守招标投标的有关保密规定，不得泄露与评标有关的情况，不得索贿受贿，不得参加影响评标公正性的任何活动。如有违反将按国家有关法律及有关规定严肃处理。</w:t>
      </w:r>
    </w:p>
    <w:p w14:paraId="0E2302E6">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投标人不得采取任何方式干扰评标工作，一经发现，该投标人的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作废标处理。</w:t>
      </w:r>
    </w:p>
    <w:p w14:paraId="0A271B0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确定中标单位：</w:t>
      </w:r>
    </w:p>
    <w:p w14:paraId="080D9DD2">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29.1</w:t>
      </w:r>
      <w:r>
        <w:rPr>
          <w:rFonts w:hint="eastAsia" w:ascii="宋体" w:hAnsi="宋体"/>
          <w:color w:val="auto"/>
          <w:sz w:val="24"/>
          <w:highlight w:val="none"/>
        </w:rPr>
        <w:t>除</w:t>
      </w:r>
      <w:r>
        <w:rPr>
          <w:rFonts w:hint="eastAsia" w:ascii="宋体" w:hAnsi="宋体"/>
          <w:color w:val="auto"/>
          <w:sz w:val="24"/>
          <w:highlight w:val="none"/>
          <w:lang w:eastAsia="zh-CN"/>
        </w:rPr>
        <w:t>评标委员会</w:t>
      </w:r>
      <w:r>
        <w:rPr>
          <w:rFonts w:hint="eastAsia" w:ascii="宋体" w:hAnsi="宋体"/>
          <w:color w:val="auto"/>
          <w:sz w:val="24"/>
          <w:highlight w:val="none"/>
        </w:rPr>
        <w:t>受采购人委托直接确定中标供应商的情形外，对实质上响应</w:t>
      </w:r>
      <w:r>
        <w:rPr>
          <w:rFonts w:hint="eastAsia" w:ascii="宋体" w:hAnsi="宋体"/>
          <w:color w:val="auto"/>
          <w:sz w:val="24"/>
          <w:highlight w:val="none"/>
          <w:lang w:eastAsia="zh-CN"/>
        </w:rPr>
        <w:t>招标文件</w:t>
      </w:r>
      <w:r>
        <w:rPr>
          <w:rFonts w:hint="eastAsia" w:ascii="宋体" w:hAnsi="宋体"/>
          <w:color w:val="auto"/>
          <w:sz w:val="24"/>
          <w:highlight w:val="none"/>
        </w:rPr>
        <w:t>的投标人按下列方法</w:t>
      </w:r>
      <w:r>
        <w:rPr>
          <w:rFonts w:ascii="宋体" w:hAnsi="宋体"/>
          <w:color w:val="auto"/>
          <w:sz w:val="24"/>
          <w:highlight w:val="none"/>
        </w:rPr>
        <w:t>进行排序</w:t>
      </w:r>
      <w:r>
        <w:rPr>
          <w:rFonts w:hint="eastAsia" w:ascii="宋体" w:hAnsi="宋体"/>
          <w:color w:val="auto"/>
          <w:sz w:val="24"/>
          <w:highlight w:val="none"/>
        </w:rPr>
        <w:t>，确定中标候选人：</w:t>
      </w:r>
    </w:p>
    <w:p w14:paraId="7931AB16">
      <w:pPr>
        <w:spacing w:line="360" w:lineRule="auto"/>
        <w:ind w:left="901"/>
        <w:rPr>
          <w:rFonts w:hint="eastAsia" w:ascii="宋体" w:hAnsi="宋体"/>
          <w:color w:val="auto"/>
          <w:sz w:val="24"/>
          <w:highlight w:val="none"/>
        </w:rPr>
      </w:pPr>
      <w:r>
        <w:rPr>
          <w:rFonts w:hint="eastAsia" w:ascii="宋体" w:hAnsi="宋体"/>
          <w:color w:val="auto"/>
          <w:sz w:val="24"/>
          <w:highlight w:val="none"/>
        </w:rPr>
        <w:t>（1）采用最低评标价法的，除了算术</w:t>
      </w:r>
      <w:r>
        <w:rPr>
          <w:rFonts w:ascii="宋体" w:hAnsi="宋体"/>
          <w:color w:val="auto"/>
          <w:sz w:val="24"/>
          <w:highlight w:val="none"/>
        </w:rPr>
        <w:t>修正和落实政府采购</w:t>
      </w:r>
      <w:r>
        <w:rPr>
          <w:rFonts w:hint="eastAsia" w:ascii="宋体" w:hAnsi="宋体"/>
          <w:color w:val="auto"/>
          <w:sz w:val="24"/>
          <w:highlight w:val="none"/>
        </w:rPr>
        <w:t>政策</w:t>
      </w:r>
      <w:r>
        <w:rPr>
          <w:rFonts w:ascii="宋体" w:hAnsi="宋体"/>
          <w:color w:val="auto"/>
          <w:sz w:val="24"/>
          <w:highlight w:val="none"/>
        </w:rPr>
        <w:t>需</w:t>
      </w:r>
      <w:r>
        <w:rPr>
          <w:rFonts w:hint="eastAsia" w:ascii="宋体" w:hAnsi="宋体"/>
          <w:color w:val="auto"/>
          <w:sz w:val="24"/>
          <w:highlight w:val="none"/>
        </w:rPr>
        <w:t>进行的</w:t>
      </w:r>
      <w:r>
        <w:rPr>
          <w:rFonts w:ascii="宋体" w:hAnsi="宋体"/>
          <w:color w:val="auto"/>
          <w:sz w:val="24"/>
          <w:highlight w:val="none"/>
        </w:rPr>
        <w:t>价格扣除外，不</w:t>
      </w:r>
      <w:r>
        <w:rPr>
          <w:rFonts w:hint="eastAsia" w:ascii="宋体" w:hAnsi="宋体"/>
          <w:color w:val="auto"/>
          <w:sz w:val="24"/>
          <w:highlight w:val="none"/>
        </w:rPr>
        <w:t>对</w:t>
      </w:r>
      <w:r>
        <w:rPr>
          <w:rFonts w:ascii="宋体" w:hAnsi="宋体"/>
          <w:color w:val="auto"/>
          <w:sz w:val="24"/>
          <w:highlight w:val="none"/>
        </w:rPr>
        <w:t>投标人的投标价格进行任何调整。</w:t>
      </w:r>
      <w:r>
        <w:rPr>
          <w:rFonts w:hint="eastAsia" w:ascii="宋体" w:hAnsi="宋体"/>
          <w:color w:val="auto"/>
          <w:sz w:val="24"/>
          <w:highlight w:val="none"/>
        </w:rPr>
        <w:t>评标结果</w:t>
      </w:r>
      <w:r>
        <w:rPr>
          <w:rFonts w:ascii="宋体" w:hAnsi="宋体"/>
          <w:color w:val="auto"/>
          <w:sz w:val="24"/>
          <w:highlight w:val="none"/>
        </w:rPr>
        <w:t>按</w:t>
      </w:r>
      <w:r>
        <w:rPr>
          <w:rFonts w:hint="eastAsia" w:ascii="宋体" w:hAnsi="宋体"/>
          <w:color w:val="auto"/>
          <w:sz w:val="24"/>
          <w:highlight w:val="none"/>
        </w:rPr>
        <w:t>修正</w:t>
      </w:r>
      <w:r>
        <w:rPr>
          <w:rFonts w:ascii="宋体" w:hAnsi="宋体"/>
          <w:color w:val="auto"/>
          <w:sz w:val="24"/>
          <w:highlight w:val="none"/>
        </w:rPr>
        <w:t>和扣除后的投标报价</w:t>
      </w:r>
      <w:r>
        <w:rPr>
          <w:rFonts w:hint="eastAsia" w:ascii="宋体" w:hAnsi="宋体"/>
          <w:color w:val="auto"/>
          <w:sz w:val="24"/>
          <w:highlight w:val="none"/>
        </w:rPr>
        <w:t>由低到高顺序排列。报价相同的处理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558322F7">
      <w:pPr>
        <w:spacing w:line="360" w:lineRule="auto"/>
        <w:ind w:left="901"/>
        <w:rPr>
          <w:rFonts w:hint="eastAsia"/>
          <w:color w:val="auto"/>
          <w:highlight w:val="none"/>
        </w:rPr>
      </w:pPr>
      <w:r>
        <w:rPr>
          <w:rFonts w:hint="eastAsia" w:ascii="宋体" w:hAnsi="宋体"/>
          <w:color w:val="auto"/>
          <w:sz w:val="24"/>
          <w:highlight w:val="none"/>
        </w:rPr>
        <w:t>（2）采用综合评分法的，评标</w:t>
      </w:r>
      <w:r>
        <w:rPr>
          <w:rFonts w:ascii="宋体" w:hAnsi="宋体"/>
          <w:color w:val="auto"/>
          <w:sz w:val="24"/>
          <w:highlight w:val="none"/>
        </w:rPr>
        <w:t>结果</w:t>
      </w:r>
      <w:r>
        <w:rPr>
          <w:rFonts w:hint="eastAsia" w:ascii="宋体" w:hAnsi="宋体"/>
          <w:color w:val="auto"/>
          <w:sz w:val="24"/>
          <w:highlight w:val="none"/>
        </w:rPr>
        <w:t>按评审后得分由高到低顺序排列。得分相同的，按修正</w:t>
      </w:r>
      <w:r>
        <w:rPr>
          <w:rFonts w:ascii="宋体" w:hAnsi="宋体"/>
          <w:color w:val="auto"/>
          <w:sz w:val="24"/>
          <w:highlight w:val="none"/>
        </w:rPr>
        <w:t>和扣除后的</w:t>
      </w:r>
      <w:r>
        <w:rPr>
          <w:rFonts w:hint="eastAsia" w:ascii="宋体" w:hAnsi="宋体"/>
          <w:color w:val="auto"/>
          <w:sz w:val="24"/>
          <w:highlight w:val="none"/>
        </w:rPr>
        <w:t>投标报价由低到高顺序排列。得分与投标报价均相同的处理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5C759AD4">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评标过程保密</w:t>
      </w:r>
    </w:p>
    <w:p w14:paraId="42D87DAD">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30.1</w:t>
      </w:r>
      <w:r>
        <w:rPr>
          <w:rFonts w:hint="eastAsia" w:ascii="宋体" w:hAnsi="宋体" w:eastAsia="宋体" w:cs="宋体"/>
          <w:color w:val="auto"/>
          <w:sz w:val="24"/>
          <w:szCs w:val="24"/>
          <w:highlight w:val="none"/>
        </w:rPr>
        <w:t>开标之后，直到与中标人签署合同之前，凡是属于审查、评标的有关资料以及决定中标人的信息等，任何人均不得向投标人或其他无关的人员透露，否则按有关规定追究责</w:t>
      </w:r>
      <w:r>
        <w:rPr>
          <w:rFonts w:hint="eastAsia" w:ascii="宋体" w:hAnsi="宋体" w:eastAsia="宋体" w:cs="宋体"/>
          <w:color w:val="auto"/>
          <w:sz w:val="24"/>
          <w:szCs w:val="24"/>
          <w:highlight w:val="none"/>
          <w:lang w:eastAsia="zh-CN"/>
        </w:rPr>
        <w:t>任。</w:t>
      </w:r>
    </w:p>
    <w:p w14:paraId="55960A76">
      <w:pPr>
        <w:pStyle w:val="31"/>
        <w:rPr>
          <w:rFonts w:hint="eastAsia" w:ascii="宋体" w:hAnsi="宋体" w:eastAsia="宋体" w:cs="宋体"/>
          <w:color w:val="auto"/>
          <w:sz w:val="24"/>
          <w:szCs w:val="24"/>
          <w:highlight w:val="none"/>
          <w:lang w:eastAsia="zh-CN"/>
        </w:rPr>
      </w:pPr>
    </w:p>
    <w:p w14:paraId="1277502C">
      <w:pPr>
        <w:spacing w:line="44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第七章 定　标</w:t>
      </w:r>
    </w:p>
    <w:p w14:paraId="4A566448">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31</w:t>
      </w:r>
      <w:r>
        <w:rPr>
          <w:rFonts w:ascii="宋体" w:hAnsi="宋体"/>
          <w:b/>
          <w:color w:val="auto"/>
          <w:sz w:val="24"/>
          <w:highlight w:val="none"/>
        </w:rPr>
        <w:t xml:space="preserve">. </w:t>
      </w:r>
      <w:r>
        <w:rPr>
          <w:rFonts w:hint="eastAsia" w:ascii="宋体" w:hAnsi="宋体"/>
          <w:b/>
          <w:color w:val="auto"/>
          <w:sz w:val="24"/>
          <w:highlight w:val="none"/>
        </w:rPr>
        <w:t>定标标准</w:t>
      </w:r>
    </w:p>
    <w:p w14:paraId="3F6A245F">
      <w:pPr>
        <w:spacing w:line="440" w:lineRule="exact"/>
        <w:ind w:firstLine="472" w:firstLineChars="200"/>
        <w:rPr>
          <w:rFonts w:ascii="宋体" w:hAnsi="宋体" w:eastAsia="宋体" w:cs="Times New Roman"/>
          <w:color w:val="auto"/>
          <w:spacing w:val="-2"/>
          <w:sz w:val="24"/>
          <w:szCs w:val="24"/>
          <w:highlight w:val="none"/>
        </w:rPr>
      </w:pPr>
      <w:r>
        <w:rPr>
          <w:rFonts w:hint="eastAsia" w:ascii="宋体" w:hAnsi="宋体"/>
          <w:color w:val="auto"/>
          <w:spacing w:val="-2"/>
          <w:sz w:val="24"/>
          <w:szCs w:val="24"/>
          <w:highlight w:val="none"/>
          <w:lang w:val="en-US" w:eastAsia="zh-CN"/>
        </w:rPr>
        <w:t>31</w:t>
      </w:r>
      <w:r>
        <w:rPr>
          <w:rFonts w:ascii="宋体" w:hAnsi="宋体"/>
          <w:color w:val="auto"/>
          <w:spacing w:val="-2"/>
          <w:sz w:val="24"/>
          <w:szCs w:val="24"/>
          <w:highlight w:val="none"/>
        </w:rPr>
        <w:t>.1</w:t>
      </w:r>
      <w:r>
        <w:rPr>
          <w:rFonts w:hint="eastAsia" w:ascii="宋体" w:hAnsi="宋体" w:cs="Times New Roman"/>
          <w:color w:val="auto"/>
          <w:spacing w:val="-2"/>
          <w:sz w:val="24"/>
          <w:szCs w:val="24"/>
          <w:highlight w:val="none"/>
          <w:lang w:eastAsia="zh-CN"/>
        </w:rPr>
        <w:t>评标委员会</w:t>
      </w:r>
      <w:r>
        <w:rPr>
          <w:rFonts w:ascii="宋体" w:hAnsi="宋体" w:eastAsia="宋体" w:cs="Times New Roman"/>
          <w:color w:val="auto"/>
          <w:spacing w:val="-2"/>
          <w:sz w:val="24"/>
          <w:szCs w:val="24"/>
          <w:highlight w:val="none"/>
        </w:rPr>
        <w:t>将从质量和服务均能满足采购文件实质性响应要求的供应商中，按照最后报价由低到高顺序推荐 3 名成交候选供应商，并编写评审报告。采购人从评审报告提出的成交候选供应商中，根据质量和服务均能满足</w:t>
      </w:r>
      <w:r>
        <w:rPr>
          <w:rFonts w:hint="eastAsia" w:ascii="宋体" w:hAnsi="宋体" w:cs="Times New Roman"/>
          <w:color w:val="auto"/>
          <w:spacing w:val="-2"/>
          <w:sz w:val="24"/>
          <w:szCs w:val="24"/>
          <w:highlight w:val="none"/>
          <w:lang w:val="en-US" w:eastAsia="zh-CN"/>
        </w:rPr>
        <w:t>招标文件</w:t>
      </w:r>
      <w:r>
        <w:rPr>
          <w:rFonts w:ascii="宋体" w:hAnsi="宋体" w:eastAsia="宋体" w:cs="Times New Roman"/>
          <w:color w:val="auto"/>
          <w:spacing w:val="-2"/>
          <w:sz w:val="24"/>
          <w:szCs w:val="24"/>
          <w:highlight w:val="none"/>
        </w:rPr>
        <w:t>实质性响应要求且最后报价最低的原则确定成交供应商。采购人确定成交供应商后，</w:t>
      </w:r>
      <w:r>
        <w:rPr>
          <w:rFonts w:hint="eastAsia" w:ascii="宋体" w:hAnsi="宋体" w:eastAsia="宋体" w:cs="Times New Roman"/>
          <w:color w:val="auto"/>
          <w:spacing w:val="-2"/>
          <w:sz w:val="24"/>
          <w:szCs w:val="24"/>
          <w:highlight w:val="none"/>
          <w:lang w:val="en-US" w:eastAsia="zh-CN"/>
        </w:rPr>
        <w:t>采购代理机构</w:t>
      </w:r>
      <w:r>
        <w:rPr>
          <w:rFonts w:ascii="宋体" w:hAnsi="宋体" w:eastAsia="宋体" w:cs="Times New Roman"/>
          <w:color w:val="auto"/>
          <w:spacing w:val="-2"/>
          <w:sz w:val="24"/>
          <w:szCs w:val="24"/>
          <w:highlight w:val="none"/>
        </w:rPr>
        <w:t>将在“</w:t>
      </w:r>
      <w:r>
        <w:rPr>
          <w:rFonts w:hint="eastAsia" w:ascii="宋体" w:hAnsi="宋体" w:cs="宋体"/>
          <w:b w:val="0"/>
          <w:bCs w:val="0"/>
          <w:color w:val="auto"/>
          <w:kern w:val="0"/>
          <w:sz w:val="24"/>
          <w:szCs w:val="24"/>
          <w:highlight w:val="none"/>
          <w:lang w:val="en-US" w:eastAsia="zh-CN" w:bidi="ar"/>
        </w:rPr>
        <w:t>新疆政府采购网政采云平台</w:t>
      </w:r>
      <w:r>
        <w:rPr>
          <w:rFonts w:ascii="宋体" w:hAnsi="宋体" w:eastAsia="宋体" w:cs="Times New Roman"/>
          <w:color w:val="auto"/>
          <w:spacing w:val="-2"/>
          <w:sz w:val="24"/>
          <w:szCs w:val="24"/>
          <w:highlight w:val="none"/>
        </w:rPr>
        <w:t xml:space="preserve">”发布成交结果公告，公告期限为 1 个工作日。  </w:t>
      </w:r>
    </w:p>
    <w:p w14:paraId="3FBA17CF">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32.</w:t>
      </w:r>
      <w:r>
        <w:rPr>
          <w:rFonts w:ascii="宋体" w:hAnsi="宋体"/>
          <w:b/>
          <w:color w:val="auto"/>
          <w:sz w:val="24"/>
          <w:highlight w:val="none"/>
        </w:rPr>
        <w:t xml:space="preserve"> </w:t>
      </w:r>
      <w:r>
        <w:rPr>
          <w:rFonts w:hint="eastAsia" w:ascii="宋体" w:hAnsi="宋体"/>
          <w:b/>
          <w:color w:val="auto"/>
          <w:sz w:val="24"/>
          <w:highlight w:val="none"/>
        </w:rPr>
        <w:t>接受和拒绝任何或所有投标的权力</w:t>
      </w:r>
    </w:p>
    <w:p w14:paraId="48431B2B">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32</w:t>
      </w:r>
      <w:r>
        <w:rPr>
          <w:rFonts w:ascii="宋体" w:hAnsi="宋体"/>
          <w:color w:val="auto"/>
          <w:spacing w:val="-2"/>
          <w:sz w:val="24"/>
          <w:szCs w:val="24"/>
          <w:highlight w:val="none"/>
        </w:rPr>
        <w:t>.1</w:t>
      </w:r>
      <w:r>
        <w:rPr>
          <w:rFonts w:hint="eastAsia" w:ascii="宋体" w:hAnsi="宋体"/>
          <w:color w:val="auto"/>
          <w:spacing w:val="-2"/>
          <w:sz w:val="24"/>
          <w:szCs w:val="24"/>
          <w:highlight w:val="none"/>
        </w:rPr>
        <w:t>　为维护国家利益，招标方在授予合同之前仍有选择或拒绝任何全部投标的权力。</w:t>
      </w:r>
    </w:p>
    <w:p w14:paraId="6C35D964">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33.</w:t>
      </w:r>
      <w:r>
        <w:rPr>
          <w:rFonts w:ascii="宋体" w:hAnsi="宋体"/>
          <w:b/>
          <w:color w:val="auto"/>
          <w:sz w:val="24"/>
          <w:highlight w:val="none"/>
        </w:rPr>
        <w:t xml:space="preserve"> </w:t>
      </w:r>
      <w:r>
        <w:rPr>
          <w:rFonts w:hint="eastAsia" w:ascii="宋体" w:hAnsi="宋体"/>
          <w:b/>
          <w:color w:val="auto"/>
          <w:sz w:val="24"/>
          <w:highlight w:val="none"/>
        </w:rPr>
        <w:t>中标通知书</w:t>
      </w:r>
    </w:p>
    <w:p w14:paraId="43C036FC">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33</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中标结果确定后，招标方将以书面形式发出《中标通知书》，但发出时间不超过投标有效期，《中标通知书》一经发出即发生法律效力。</w:t>
      </w:r>
    </w:p>
    <w:p w14:paraId="580AFA8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.2  《中标通知书》将作为签订合同的依据。</w:t>
      </w:r>
    </w:p>
    <w:p w14:paraId="3EF9CB1D">
      <w:pPr>
        <w:pStyle w:val="29"/>
        <w:ind w:firstLine="472" w:firstLineChars="200"/>
        <w:rPr>
          <w:rFonts w:hint="eastAsia" w:ascii="宋体" w:hAnsi="宋体"/>
          <w:color w:val="auto"/>
          <w:spacing w:val="-2"/>
          <w:sz w:val="24"/>
          <w:highlight w:val="none"/>
        </w:rPr>
      </w:pPr>
      <w:r>
        <w:rPr>
          <w:rFonts w:hint="eastAsia" w:ascii="宋体" w:hAnsi="宋体" w:eastAsia="宋体" w:cs="宋体"/>
          <w:color w:val="auto"/>
          <w:spacing w:val="-2"/>
          <w:sz w:val="24"/>
          <w:highlight w:val="none"/>
          <w:lang w:val="en-US" w:eastAsia="zh-CN"/>
        </w:rPr>
        <w:t>33</w:t>
      </w:r>
      <w:r>
        <w:rPr>
          <w:rFonts w:hint="eastAsia" w:ascii="宋体" w:hAnsi="宋体" w:eastAsia="宋体" w:cs="宋体"/>
          <w:color w:val="auto"/>
          <w:spacing w:val="-2"/>
          <w:sz w:val="24"/>
          <w:highlight w:val="none"/>
        </w:rPr>
        <w:t xml:space="preserve">.3  </w:t>
      </w:r>
      <w:r>
        <w:rPr>
          <w:rFonts w:hint="eastAsia" w:ascii="宋体" w:hAnsi="宋体" w:eastAsia="宋体" w:cs="宋体"/>
          <w:b w:val="0"/>
          <w:bCs w:val="0"/>
          <w:color w:val="auto"/>
          <w:spacing w:val="-2"/>
          <w:sz w:val="24"/>
          <w:highlight w:val="none"/>
        </w:rPr>
        <w:t>中标方在领取《中标通知书》时，必须按</w:t>
      </w:r>
      <w:r>
        <w:rPr>
          <w:rFonts w:hint="eastAsia" w:ascii="宋体" w:hAnsi="宋体" w:eastAsia="宋体" w:cs="宋体"/>
          <w:b w:val="0"/>
          <w:bCs w:val="0"/>
          <w:color w:val="auto"/>
          <w:spacing w:val="-2"/>
          <w:sz w:val="24"/>
          <w:highlight w:val="none"/>
          <w:lang w:val="en-US" w:eastAsia="zh-CN"/>
        </w:rPr>
        <w:t>招标文件</w:t>
      </w:r>
      <w:r>
        <w:rPr>
          <w:rFonts w:hint="eastAsia" w:ascii="宋体" w:hAnsi="宋体" w:eastAsia="宋体" w:cs="宋体"/>
          <w:b w:val="0"/>
          <w:bCs w:val="0"/>
          <w:color w:val="auto"/>
          <w:spacing w:val="-2"/>
          <w:sz w:val="24"/>
          <w:highlight w:val="none"/>
        </w:rPr>
        <w:t>规定向招标代理机构缴纳招标代理服务费。</w:t>
      </w:r>
    </w:p>
    <w:p w14:paraId="16C9DC83">
      <w:pPr>
        <w:pStyle w:val="29"/>
        <w:rPr>
          <w:rFonts w:hint="eastAsia" w:ascii="宋体" w:hAnsi="宋体"/>
          <w:color w:val="auto"/>
          <w:spacing w:val="-2"/>
          <w:sz w:val="24"/>
          <w:highlight w:val="none"/>
        </w:rPr>
      </w:pPr>
    </w:p>
    <w:p w14:paraId="718971DE">
      <w:pPr>
        <w:pStyle w:val="29"/>
        <w:rPr>
          <w:rFonts w:hint="eastAsia" w:ascii="宋体" w:hAnsi="宋体"/>
          <w:color w:val="auto"/>
          <w:spacing w:val="-2"/>
          <w:sz w:val="24"/>
          <w:highlight w:val="none"/>
        </w:rPr>
      </w:pPr>
    </w:p>
    <w:p w14:paraId="02565CB6">
      <w:pPr>
        <w:numPr>
          <w:ilvl w:val="0"/>
          <w:numId w:val="8"/>
        </w:numPr>
        <w:spacing w:line="440" w:lineRule="exact"/>
        <w:ind w:firstLine="643" w:firstLineChars="200"/>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授予合同</w:t>
      </w:r>
    </w:p>
    <w:p w14:paraId="5C57A28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34.1</w:t>
      </w:r>
      <w:r>
        <w:rPr>
          <w:rFonts w:hint="eastAsia" w:ascii="宋体" w:hAnsi="宋体"/>
          <w:color w:val="auto"/>
          <w:sz w:val="24"/>
          <w:highlight w:val="none"/>
        </w:rPr>
        <w:t>如果</w:t>
      </w:r>
      <w:r>
        <w:rPr>
          <w:rFonts w:ascii="宋体" w:hAnsi="宋体"/>
          <w:color w:val="auto"/>
          <w:sz w:val="24"/>
          <w:highlight w:val="none"/>
        </w:rPr>
        <w:t>需要履约保证金，</w:t>
      </w:r>
      <w:r>
        <w:rPr>
          <w:rFonts w:hint="eastAsia" w:ascii="宋体" w:hAnsi="宋体"/>
          <w:color w:val="auto"/>
          <w:sz w:val="24"/>
          <w:highlight w:val="none"/>
        </w:rPr>
        <w:t>中标供应商应按照</w:t>
      </w:r>
      <w:r>
        <w:rPr>
          <w:rFonts w:hint="eastAsia" w:ascii="宋体" w:hAnsi="宋体"/>
          <w:color w:val="auto"/>
          <w:sz w:val="24"/>
          <w:highlight w:val="none"/>
          <w:u w:val="single"/>
        </w:rPr>
        <w:t>投标须知前附表</w:t>
      </w:r>
      <w:r>
        <w:rPr>
          <w:rFonts w:hint="eastAsia" w:ascii="宋体" w:hAnsi="宋体"/>
          <w:color w:val="auto"/>
          <w:sz w:val="24"/>
          <w:highlight w:val="none"/>
        </w:rPr>
        <w:t>规定向采购人履约保证金保函</w:t>
      </w:r>
      <w:r>
        <w:rPr>
          <w:rFonts w:ascii="宋体" w:hAnsi="宋体"/>
          <w:color w:val="auto"/>
          <w:sz w:val="24"/>
          <w:highlight w:val="none"/>
        </w:rPr>
        <w:t>经</w:t>
      </w:r>
      <w:r>
        <w:rPr>
          <w:rFonts w:hint="eastAsia" w:ascii="宋体" w:hAnsi="宋体"/>
          <w:color w:val="auto"/>
          <w:sz w:val="24"/>
          <w:highlight w:val="none"/>
        </w:rPr>
        <w:t>采购人</w:t>
      </w:r>
      <w:r>
        <w:rPr>
          <w:rFonts w:ascii="宋体" w:hAnsi="宋体"/>
          <w:color w:val="auto"/>
          <w:sz w:val="24"/>
          <w:highlight w:val="none"/>
        </w:rPr>
        <w:t>同意，</w:t>
      </w:r>
      <w:r>
        <w:rPr>
          <w:rFonts w:hint="eastAsia" w:ascii="宋体" w:hAnsi="宋体"/>
          <w:color w:val="auto"/>
          <w:sz w:val="24"/>
          <w:highlight w:val="none"/>
        </w:rPr>
        <w:t>中标供应商</w:t>
      </w:r>
      <w:r>
        <w:rPr>
          <w:rFonts w:ascii="宋体" w:hAnsi="宋体"/>
          <w:color w:val="auto"/>
          <w:sz w:val="24"/>
          <w:highlight w:val="none"/>
        </w:rPr>
        <w:t>也可以自愿</w:t>
      </w:r>
      <w:r>
        <w:rPr>
          <w:rFonts w:hint="eastAsia" w:ascii="宋体" w:hAnsi="宋体"/>
          <w:color w:val="auto"/>
          <w:sz w:val="24"/>
          <w:highlight w:val="none"/>
        </w:rPr>
        <w:t>采用</w:t>
      </w:r>
      <w:r>
        <w:rPr>
          <w:rFonts w:ascii="宋体" w:hAnsi="宋体"/>
          <w:color w:val="auto"/>
          <w:sz w:val="24"/>
          <w:highlight w:val="none"/>
        </w:rPr>
        <w:t>其他</w:t>
      </w:r>
      <w:r>
        <w:rPr>
          <w:rFonts w:hint="eastAsia" w:ascii="宋体" w:hAnsi="宋体"/>
          <w:color w:val="auto"/>
          <w:sz w:val="24"/>
          <w:highlight w:val="none"/>
        </w:rPr>
        <w:t>履约保证金的提供</w:t>
      </w:r>
      <w:r>
        <w:rPr>
          <w:rFonts w:ascii="宋体" w:hAnsi="宋体"/>
          <w:color w:val="auto"/>
          <w:sz w:val="24"/>
          <w:highlight w:val="none"/>
        </w:rPr>
        <w:t>方式</w:t>
      </w:r>
      <w:r>
        <w:rPr>
          <w:rFonts w:hint="eastAsia" w:ascii="宋体" w:hAnsi="宋体"/>
          <w:color w:val="auto"/>
          <w:sz w:val="24"/>
          <w:highlight w:val="none"/>
        </w:rPr>
        <w:t>。</w:t>
      </w:r>
    </w:p>
    <w:p w14:paraId="44C4616F">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34.2</w:t>
      </w:r>
      <w:r>
        <w:rPr>
          <w:rFonts w:hint="eastAsia" w:ascii="宋体" w:hAnsi="宋体"/>
          <w:color w:val="auto"/>
          <w:sz w:val="24"/>
          <w:highlight w:val="none"/>
        </w:rPr>
        <w:t>政府采购利用担保试点范围内的项目，除3</w:t>
      </w:r>
      <w:r>
        <w:rPr>
          <w:rFonts w:hint="eastAsia" w:ascii="宋体" w:hAnsi="宋体"/>
          <w:color w:val="auto"/>
          <w:sz w:val="24"/>
          <w:highlight w:val="none"/>
          <w:lang w:val="en-US" w:eastAsia="zh-CN"/>
        </w:rPr>
        <w:t>4</w:t>
      </w:r>
      <w:r>
        <w:rPr>
          <w:rFonts w:hint="eastAsia" w:ascii="宋体" w:hAnsi="宋体"/>
          <w:color w:val="auto"/>
          <w:sz w:val="24"/>
          <w:highlight w:val="none"/>
        </w:rPr>
        <w:t>规定的情形外，中标供应商也可以按照财政部门的规定，向采购人提供合格的履约担保函。</w:t>
      </w:r>
    </w:p>
    <w:p w14:paraId="2D02A859">
      <w:pPr>
        <w:spacing w:line="360" w:lineRule="auto"/>
        <w:ind w:left="900" w:hanging="900" w:hangingChars="375"/>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34.3</w:t>
      </w:r>
      <w:r>
        <w:rPr>
          <w:rFonts w:hint="eastAsia" w:ascii="宋体" w:hAnsi="宋体"/>
          <w:color w:val="auto"/>
          <w:sz w:val="24"/>
          <w:highlight w:val="none"/>
        </w:rPr>
        <w:t>如果中标供应商没有按照上述履约保证金的规定执行，将被视为放弃中标资格，中标供应商须</w:t>
      </w:r>
      <w:r>
        <w:rPr>
          <w:rFonts w:ascii="宋体" w:hAnsi="宋体"/>
          <w:color w:val="auto"/>
          <w:sz w:val="24"/>
          <w:highlight w:val="none"/>
        </w:rPr>
        <w:t>按</w:t>
      </w:r>
      <w:r>
        <w:rPr>
          <w:rFonts w:hint="eastAsia" w:ascii="宋体" w:hAnsi="宋体"/>
          <w:color w:val="auto"/>
          <w:sz w:val="24"/>
          <w:highlight w:val="none"/>
        </w:rPr>
        <w:t>投标保证承诺书的承诺</w:t>
      </w:r>
      <w:r>
        <w:rPr>
          <w:rFonts w:ascii="宋体" w:hAnsi="宋体"/>
          <w:color w:val="auto"/>
          <w:sz w:val="24"/>
          <w:highlight w:val="none"/>
        </w:rPr>
        <w:t>向采购人和采购代理机构支付</w:t>
      </w:r>
      <w:r>
        <w:rPr>
          <w:rFonts w:hint="eastAsia" w:ascii="宋体" w:hAnsi="宋体"/>
          <w:color w:val="auto"/>
          <w:sz w:val="24"/>
          <w:highlight w:val="none"/>
        </w:rPr>
        <w:t>赔偿。在此情况下，采购人可</w:t>
      </w:r>
      <w:r>
        <w:rPr>
          <w:rFonts w:ascii="宋体" w:hAnsi="宋体"/>
          <w:color w:val="auto"/>
          <w:sz w:val="24"/>
          <w:highlight w:val="none"/>
        </w:rPr>
        <w:t>确定下一</w:t>
      </w:r>
      <w:r>
        <w:rPr>
          <w:rFonts w:hint="eastAsia" w:ascii="宋体" w:hAnsi="宋体"/>
          <w:color w:val="auto"/>
          <w:sz w:val="24"/>
          <w:highlight w:val="none"/>
        </w:rPr>
        <w:t>候选</w:t>
      </w:r>
      <w:r>
        <w:rPr>
          <w:rFonts w:ascii="宋体" w:hAnsi="宋体"/>
          <w:color w:val="auto"/>
          <w:sz w:val="24"/>
          <w:highlight w:val="none"/>
        </w:rPr>
        <w:t>人为</w:t>
      </w:r>
      <w:r>
        <w:rPr>
          <w:rFonts w:hint="eastAsia" w:ascii="宋体" w:hAnsi="宋体"/>
          <w:color w:val="auto"/>
          <w:sz w:val="24"/>
          <w:highlight w:val="none"/>
        </w:rPr>
        <w:t>中标供应商</w:t>
      </w:r>
      <w:r>
        <w:rPr>
          <w:rFonts w:ascii="宋体" w:hAnsi="宋体"/>
          <w:color w:val="auto"/>
          <w:sz w:val="24"/>
          <w:highlight w:val="none"/>
        </w:rPr>
        <w:t>，也可以重新开展采购活动。</w:t>
      </w:r>
    </w:p>
    <w:p w14:paraId="7980D81F">
      <w:pPr>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35</w:t>
      </w:r>
      <w:r>
        <w:rPr>
          <w:rFonts w:hint="eastAsia" w:ascii="宋体" w:hAnsi="宋体" w:eastAsia="宋体" w:cs="宋体"/>
          <w:b/>
          <w:color w:val="auto"/>
          <w:sz w:val="24"/>
          <w:highlight w:val="none"/>
        </w:rPr>
        <w:t>. 签订合同</w:t>
      </w:r>
    </w:p>
    <w:p w14:paraId="4CD4C657">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.1  中标方收到招标方的《中标通知书》后三十日内，按照</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中的约定与采购人签订书面合同，所签订的合同不得对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作实质性修改。</w:t>
      </w:r>
    </w:p>
    <w:p w14:paraId="108F8BE7">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.2  招标方在授予合同时，有权对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中规定的货物和服务的数量在10%的幅度内予以增加或减少。</w:t>
      </w:r>
    </w:p>
    <w:p w14:paraId="2E1E935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.3  如中标方拒签合同，则按违约处理。招标方将不予退还其</w:t>
      </w:r>
      <w:r>
        <w:rPr>
          <w:rFonts w:hint="eastAsia" w:ascii="宋体" w:hAnsi="宋体" w:eastAsia="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保证金。</w:t>
      </w:r>
    </w:p>
    <w:p w14:paraId="2355051A">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 xml:space="preserve">.4  </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及其澄清文件等，均为签订经济合同的依据。</w:t>
      </w:r>
    </w:p>
    <w:p w14:paraId="288870A1">
      <w:pPr>
        <w:pStyle w:val="29"/>
        <w:ind w:firstLine="472" w:firstLineChars="200"/>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35</w:t>
      </w:r>
      <w:r>
        <w:rPr>
          <w:rFonts w:hint="eastAsia" w:ascii="宋体" w:hAnsi="宋体" w:eastAsia="宋体" w:cs="宋体"/>
          <w:b w:val="0"/>
          <w:bCs w:val="0"/>
          <w:color w:val="auto"/>
          <w:spacing w:val="-2"/>
          <w:sz w:val="24"/>
          <w:szCs w:val="24"/>
          <w:highlight w:val="none"/>
        </w:rPr>
        <w:t>.5  不允许中标方将中标项目分包或转交他人承担。</w:t>
      </w:r>
    </w:p>
    <w:p w14:paraId="6F731AC8">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35.6</w:t>
      </w:r>
      <w:r>
        <w:rPr>
          <w:rFonts w:hint="eastAsia" w:ascii="宋体" w:hAnsi="宋体"/>
          <w:b w:val="0"/>
          <w:bCs w:val="0"/>
          <w:color w:val="auto"/>
          <w:spacing w:val="-2"/>
          <w:sz w:val="24"/>
          <w:szCs w:val="24"/>
          <w:highlight w:val="none"/>
        </w:rPr>
        <w:t>中标人必须保证在合同有效期内供货。采购人要求中标人供货时，若中标人无法保证完成供货要求，则采购人有权按顺序从排名下一位的投标人进行供货。</w:t>
      </w:r>
    </w:p>
    <w:p w14:paraId="7E35860F">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35.7</w:t>
      </w:r>
      <w:r>
        <w:rPr>
          <w:rFonts w:hint="eastAsia" w:ascii="宋体" w:hAnsi="宋体"/>
          <w:b w:val="0"/>
          <w:bCs w:val="0"/>
          <w:color w:val="auto"/>
          <w:spacing w:val="-2"/>
          <w:sz w:val="24"/>
          <w:szCs w:val="24"/>
          <w:highlight w:val="none"/>
        </w:rPr>
        <w:t>投标人低价恶意中标不能按要求供货的，五年内禁止参加</w:t>
      </w:r>
      <w:r>
        <w:rPr>
          <w:rFonts w:hint="eastAsia" w:ascii="宋体" w:hAnsi="宋体"/>
          <w:b w:val="0"/>
          <w:bCs w:val="0"/>
          <w:color w:val="auto"/>
          <w:spacing w:val="-2"/>
          <w:sz w:val="24"/>
          <w:szCs w:val="24"/>
          <w:highlight w:val="none"/>
          <w:lang w:val="en-US" w:eastAsia="zh-CN"/>
        </w:rPr>
        <w:t>本单位</w:t>
      </w:r>
      <w:r>
        <w:rPr>
          <w:rFonts w:hint="eastAsia" w:ascii="宋体" w:hAnsi="宋体"/>
          <w:b w:val="0"/>
          <w:bCs w:val="0"/>
          <w:color w:val="auto"/>
          <w:spacing w:val="-2"/>
          <w:sz w:val="24"/>
          <w:szCs w:val="24"/>
          <w:highlight w:val="none"/>
        </w:rPr>
        <w:t>的任何招标活动。</w:t>
      </w:r>
    </w:p>
    <w:p w14:paraId="3E58822F">
      <w:pPr>
        <w:spacing w:line="440" w:lineRule="exact"/>
        <w:ind w:firstLine="472" w:firstLineChars="200"/>
        <w:rPr>
          <w:rFonts w:hint="eastAsia" w:ascii="宋体" w:hAnsi="宋体" w:eastAsia="宋体" w:cs="宋体"/>
          <w:color w:val="auto"/>
          <w:spacing w:val="-2"/>
          <w:sz w:val="24"/>
          <w:szCs w:val="24"/>
          <w:highlight w:val="none"/>
          <w:lang w:eastAsia="zh-CN"/>
        </w:rPr>
        <w:sectPr>
          <w:headerReference r:id="rId9" w:type="first"/>
          <w:footerReference r:id="rId11" w:type="first"/>
          <w:headerReference r:id="rId8" w:type="default"/>
          <w:footerReference r:id="rId10" w:type="default"/>
          <w:pgSz w:w="11906" w:h="16838"/>
          <w:pgMar w:top="1440" w:right="1080" w:bottom="1440" w:left="1080" w:header="720" w:footer="720" w:gutter="0"/>
          <w:pgNumType w:fmt="decimal"/>
          <w:cols w:space="720" w:num="1"/>
          <w:titlePg/>
        </w:sectPr>
      </w:pPr>
      <w:r>
        <w:rPr>
          <w:rFonts w:hint="eastAsia" w:ascii="宋体" w:hAnsi="宋体"/>
          <w:b w:val="0"/>
          <w:bCs w:val="0"/>
          <w:color w:val="auto"/>
          <w:spacing w:val="-2"/>
          <w:sz w:val="24"/>
          <w:szCs w:val="24"/>
          <w:highlight w:val="none"/>
          <w:lang w:val="en-US" w:eastAsia="zh-CN"/>
        </w:rPr>
        <w:t>35.8</w:t>
      </w:r>
      <w:r>
        <w:rPr>
          <w:rFonts w:hint="eastAsia" w:ascii="宋体" w:hAnsi="宋体"/>
          <w:b w:val="0"/>
          <w:bCs w:val="0"/>
          <w:color w:val="auto"/>
          <w:spacing w:val="-2"/>
          <w:sz w:val="24"/>
          <w:szCs w:val="24"/>
          <w:highlight w:val="none"/>
        </w:rPr>
        <w:t>中标人与采购人签订合同时，必须提供有效厂家授权书原件。</w:t>
      </w:r>
    </w:p>
    <w:bookmarkEnd w:id="7"/>
    <w:p w14:paraId="1B9CF6C2">
      <w:pPr>
        <w:pStyle w:val="2"/>
        <w:numPr>
          <w:ilvl w:val="0"/>
          <w:numId w:val="9"/>
        </w:numPr>
        <w:tabs>
          <w:tab w:val="clear" w:pos="360"/>
        </w:tabs>
        <w:bidi w:val="0"/>
        <w:ind w:leftChars="0"/>
        <w:jc w:val="center"/>
        <w:rPr>
          <w:rFonts w:hint="eastAsia" w:ascii="宋体" w:hAnsi="宋体" w:cs="宋体"/>
          <w:color w:val="auto"/>
          <w:sz w:val="36"/>
          <w:szCs w:val="36"/>
          <w:highlight w:val="yellow"/>
          <w:lang w:val="en-US" w:eastAsia="zh-CN"/>
        </w:rPr>
      </w:pPr>
      <w:r>
        <w:rPr>
          <w:rFonts w:hint="eastAsia" w:ascii="宋体" w:hAnsi="宋体" w:eastAsia="宋体" w:cs="宋体"/>
          <w:color w:val="auto"/>
          <w:sz w:val="36"/>
          <w:szCs w:val="36"/>
          <w:highlight w:val="yellow"/>
        </w:rPr>
        <w:t xml:space="preserve"> </w:t>
      </w:r>
      <w:r>
        <w:rPr>
          <w:rFonts w:hint="eastAsia" w:ascii="宋体" w:hAnsi="宋体" w:cs="宋体"/>
          <w:color w:val="auto"/>
          <w:sz w:val="36"/>
          <w:szCs w:val="36"/>
          <w:highlight w:val="yellow"/>
          <w:lang w:val="en-US" w:eastAsia="zh-CN"/>
        </w:rPr>
        <w:t>采购服务及要求</w:t>
      </w:r>
      <w:bookmarkStart w:id="21" w:name="_Toc1235"/>
    </w:p>
    <w:bookmarkEnd w:id="21"/>
    <w:p w14:paraId="5A14AE46">
      <w:pPr>
        <w:pStyle w:val="7"/>
        <w:rPr>
          <w:rFonts w:hint="eastAsia" w:ascii="宋体" w:hAnsi="宋体" w:cs="宋体"/>
          <w:b/>
          <w:bCs/>
          <w:color w:val="auto"/>
          <w:sz w:val="24"/>
          <w:szCs w:val="24"/>
          <w:highlight w:val="yellow"/>
          <w:u w:val="none"/>
          <w:lang w:val="en-US" w:eastAsia="zh-CN"/>
        </w:rPr>
      </w:pPr>
      <w:r>
        <w:rPr>
          <w:rFonts w:hint="eastAsia" w:ascii="宋体" w:hAnsi="宋体" w:cs="宋体"/>
          <w:b/>
          <w:bCs/>
          <w:color w:val="auto"/>
          <w:sz w:val="24"/>
          <w:szCs w:val="24"/>
          <w:highlight w:val="yellow"/>
          <w:u w:val="none"/>
          <w:lang w:val="en-US" w:eastAsia="zh-CN"/>
        </w:rPr>
        <w:t>一、项目概况</w:t>
      </w:r>
    </w:p>
    <w:p w14:paraId="7AD99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yellow"/>
          <w:u w:val="none"/>
          <w:lang w:val="en-US" w:eastAsia="zh-CN"/>
        </w:rPr>
      </w:pPr>
      <w:r>
        <w:rPr>
          <w:rFonts w:hint="eastAsia" w:ascii="宋体" w:hAnsi="宋体" w:eastAsia="宋体"/>
          <w:color w:val="auto"/>
          <w:sz w:val="24"/>
          <w:highlight w:val="yellow"/>
        </w:rPr>
        <w:t>1</w:t>
      </w:r>
      <w:r>
        <w:rPr>
          <w:rFonts w:hint="eastAsia"/>
          <w:color w:val="auto"/>
          <w:sz w:val="24"/>
          <w:szCs w:val="24"/>
          <w:highlight w:val="yellow"/>
          <w:lang w:val="en-US" w:eastAsia="zh-CN"/>
        </w:rPr>
        <w:t>1、项目名称：</w:t>
      </w:r>
      <w:r>
        <w:rPr>
          <w:rFonts w:hint="eastAsia" w:ascii="宋体" w:hAnsi="宋体" w:cs="宋体"/>
          <w:color w:val="auto"/>
          <w:sz w:val="24"/>
          <w:szCs w:val="24"/>
          <w:highlight w:val="yellow"/>
          <w:u w:val="none"/>
          <w:lang w:val="en-US" w:eastAsia="zh-CN"/>
        </w:rPr>
        <w:t>呼图壁基层医疗卫生机构服务能力提升项目</w:t>
      </w:r>
    </w:p>
    <w:p w14:paraId="41FB2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2、项目编号：</w:t>
      </w:r>
      <w:r>
        <w:rPr>
          <w:rFonts w:hint="eastAsia" w:ascii="宋体" w:hAnsi="宋体" w:cs="宋体"/>
          <w:b w:val="0"/>
          <w:bCs w:val="0"/>
          <w:color w:val="auto"/>
          <w:sz w:val="24"/>
          <w:szCs w:val="24"/>
          <w:highlight w:val="yellow"/>
          <w:u w:val="none"/>
          <w:lang w:val="en-US" w:eastAsia="zh-CN"/>
        </w:rPr>
        <w:t>XJCXD-2025-013</w:t>
      </w:r>
    </w:p>
    <w:p w14:paraId="3338B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yellow"/>
          <w:u w:val="none"/>
          <w:lang w:val="en-US" w:eastAsia="zh-CN"/>
        </w:rPr>
      </w:pPr>
      <w:r>
        <w:rPr>
          <w:rFonts w:hint="eastAsia"/>
          <w:color w:val="auto"/>
          <w:sz w:val="24"/>
          <w:szCs w:val="24"/>
          <w:highlight w:val="yellow"/>
          <w:lang w:val="en-US" w:eastAsia="zh-CN"/>
        </w:rPr>
        <w:t>3、采购内容：</w:t>
      </w:r>
      <w:r>
        <w:rPr>
          <w:rFonts w:hint="eastAsia" w:ascii="宋体" w:hAnsi="宋体" w:cs="宋体"/>
          <w:color w:val="auto"/>
          <w:sz w:val="24"/>
          <w:szCs w:val="24"/>
          <w:highlight w:val="yellow"/>
          <w:u w:val="none"/>
          <w:lang w:val="en-US" w:eastAsia="zh-CN"/>
        </w:rPr>
        <w:t>为确保全县心电一张网的绩效目标实现，方便居民足不出村进行心电检查需求。购置60套心电检查设备，覆盖全县53个村卫生室，53套心电设备、7家乡镇卫生院和县人民医院，7套远程心电采集工作站和1套诊断中心。</w:t>
      </w:r>
    </w:p>
    <w:p w14:paraId="13126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4、项目地点：呼图壁</w:t>
      </w:r>
      <w:r>
        <w:rPr>
          <w:rFonts w:hint="eastAsia" w:ascii="宋体" w:hAnsi="宋体" w:cs="宋体"/>
          <w:b w:val="0"/>
          <w:bCs w:val="0"/>
          <w:color w:val="auto"/>
          <w:sz w:val="24"/>
          <w:szCs w:val="24"/>
          <w:highlight w:val="yellow"/>
          <w:u w:val="none"/>
          <w:lang w:val="en-US" w:eastAsia="zh-CN"/>
        </w:rPr>
        <w:t>县</w:t>
      </w:r>
    </w:p>
    <w:p w14:paraId="38B28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5、供货期限：自合同签订之日起15日内完成配送、安装、调试合格或正常使用（含培训）</w:t>
      </w:r>
    </w:p>
    <w:p w14:paraId="60774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6、预算金额：小写：100万元 大写：壹佰万元整</w:t>
      </w:r>
    </w:p>
    <w:p w14:paraId="26D6096A">
      <w:pPr>
        <w:pStyle w:val="22"/>
        <w:ind w:left="0" w:leftChars="0" w:firstLine="480" w:firstLineChars="200"/>
        <w:rPr>
          <w:rFonts w:hint="eastAsia" w:ascii="Times New Roman" w:hAnsi="Times New Roman" w:eastAsia="宋体" w:cs="Times New Roman"/>
          <w:color w:val="auto"/>
          <w:kern w:val="2"/>
          <w:sz w:val="24"/>
          <w:szCs w:val="24"/>
          <w:highlight w:val="yellow"/>
          <w:lang w:val="en-US" w:eastAsia="zh-CN" w:bidi="ar-SA"/>
        </w:rPr>
      </w:pPr>
      <w:r>
        <w:rPr>
          <w:rFonts w:hint="eastAsia" w:ascii="Times New Roman" w:hAnsi="Times New Roman" w:cs="Times New Roman"/>
          <w:color w:val="auto"/>
          <w:kern w:val="2"/>
          <w:sz w:val="24"/>
          <w:szCs w:val="24"/>
          <w:highlight w:val="yellow"/>
          <w:lang w:val="en-US" w:eastAsia="zh-CN" w:bidi="ar-SA"/>
        </w:rPr>
        <w:t>7</w:t>
      </w:r>
      <w:r>
        <w:rPr>
          <w:rFonts w:hint="eastAsia" w:ascii="Times New Roman" w:hAnsi="Times New Roman" w:eastAsia="宋体" w:cs="Times New Roman"/>
          <w:color w:val="auto"/>
          <w:kern w:val="2"/>
          <w:sz w:val="24"/>
          <w:szCs w:val="24"/>
          <w:highlight w:val="yellow"/>
          <w:lang w:val="en-US" w:eastAsia="zh-CN" w:bidi="ar-SA"/>
        </w:rPr>
        <w:t>、质保期限：</w:t>
      </w:r>
      <w:r>
        <w:rPr>
          <w:rFonts w:hint="eastAsia" w:ascii="Times New Roman" w:hAnsi="Times New Roman" w:cs="Times New Roman"/>
          <w:color w:val="auto"/>
          <w:kern w:val="2"/>
          <w:sz w:val="24"/>
          <w:szCs w:val="24"/>
          <w:highlight w:val="yellow"/>
          <w:lang w:val="en-US" w:eastAsia="zh-CN" w:bidi="ar-SA"/>
        </w:rPr>
        <w:t>5年</w:t>
      </w:r>
    </w:p>
    <w:p w14:paraId="7ADC259C">
      <w:pPr>
        <w:pStyle w:val="22"/>
        <w:ind w:left="0" w:leftChars="0" w:firstLine="480" w:firstLineChars="200"/>
        <w:rPr>
          <w:rFonts w:hint="default" w:ascii="宋体" w:hAnsi="宋体" w:eastAsia="宋体"/>
          <w:color w:val="auto"/>
          <w:sz w:val="24"/>
          <w:highlight w:val="yellow"/>
          <w:lang w:val="en-US" w:eastAsia="zh-CN"/>
        </w:rPr>
      </w:pPr>
      <w:r>
        <w:rPr>
          <w:rFonts w:hint="eastAsia" w:ascii="宋体" w:hAnsi="宋体" w:eastAsia="宋体"/>
          <w:color w:val="auto"/>
          <w:sz w:val="24"/>
          <w:highlight w:val="yellow"/>
          <w:lang w:val="en-US" w:eastAsia="zh-CN"/>
        </w:rPr>
        <w:t>8、若甲方需求有变，须以甲方实际需求为准。</w:t>
      </w:r>
    </w:p>
    <w:p w14:paraId="059A452C">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auto"/>
          <w:sz w:val="24"/>
          <w:szCs w:val="24"/>
          <w:highlight w:val="yellow"/>
          <w:u w:val="none"/>
          <w:lang w:val="en-US" w:eastAsia="zh-CN"/>
        </w:rPr>
      </w:pPr>
      <w:r>
        <w:rPr>
          <w:rFonts w:hint="eastAsia" w:ascii="宋体" w:hAnsi="宋体" w:cs="宋体"/>
          <w:b/>
          <w:bCs/>
          <w:color w:val="auto"/>
          <w:sz w:val="24"/>
          <w:szCs w:val="24"/>
          <w:highlight w:val="yellow"/>
          <w:u w:val="none"/>
          <w:lang w:val="en-US" w:eastAsia="zh-CN"/>
        </w:rPr>
        <w:t>具体采购服务内容及要求</w:t>
      </w:r>
      <w:r>
        <w:rPr>
          <w:rFonts w:hint="eastAsia" w:ascii="宋体" w:hAnsi="宋体" w:eastAsia="宋体" w:cs="宋体"/>
          <w:b/>
          <w:bCs/>
          <w:color w:val="auto"/>
          <w:kern w:val="2"/>
          <w:sz w:val="24"/>
          <w:szCs w:val="24"/>
          <w:highlight w:val="yellow"/>
          <w:u w:val="none"/>
          <w:lang w:val="en-US" w:eastAsia="zh-CN" w:bidi="ar-SA"/>
        </w:rPr>
        <w:t>如下：</w:t>
      </w:r>
    </w:p>
    <w:p w14:paraId="6659C0E6">
      <w:pPr>
        <w:keepNext w:val="0"/>
        <w:keepLines w:val="0"/>
        <w:pageBreakBefore w:val="0"/>
        <w:numPr>
          <w:ilvl w:val="0"/>
          <w:numId w:val="0"/>
        </w:numPr>
        <w:kinsoku/>
        <w:wordWrap/>
        <w:overflowPunct/>
        <w:topLinePunct w:val="0"/>
        <w:autoSpaceDE/>
        <w:autoSpaceDN/>
        <w:bidi w:val="0"/>
        <w:adjustRightInd/>
        <w:snapToGrid/>
        <w:spacing w:before="240" w:after="240" w:line="560" w:lineRule="exact"/>
        <w:ind w:left="0" w:leftChars="0" w:firstLine="0" w:firstLineChars="0"/>
        <w:outlineLvl w:val="0"/>
        <w:rPr>
          <w:rFonts w:hint="eastAsia" w:ascii="宋体" w:hAnsi="宋体" w:eastAsia="宋体" w:cs="宋体"/>
          <w:b/>
          <w:color w:val="auto"/>
          <w:sz w:val="18"/>
          <w:szCs w:val="18"/>
          <w:highlight w:val="yellow"/>
          <w:lang w:val="en-US" w:eastAsia="zh-CN"/>
        </w:rPr>
      </w:pPr>
      <w:r>
        <w:rPr>
          <w:rFonts w:hint="eastAsia" w:ascii="宋体" w:hAnsi="宋体" w:eastAsia="宋体" w:cs="宋体"/>
          <w:b/>
          <w:color w:val="auto"/>
          <w:kern w:val="2"/>
          <w:sz w:val="18"/>
          <w:szCs w:val="18"/>
          <w:highlight w:val="yellow"/>
          <w:lang w:val="en-US" w:eastAsia="zh-CN" w:bidi="ar-SA"/>
        </w:rPr>
        <w:t>（一）、</w:t>
      </w:r>
      <w:r>
        <w:rPr>
          <w:rFonts w:hint="eastAsia" w:ascii="宋体" w:hAnsi="宋体" w:eastAsia="宋体" w:cs="宋体"/>
          <w:b/>
          <w:color w:val="auto"/>
          <w:sz w:val="18"/>
          <w:szCs w:val="18"/>
          <w:highlight w:val="yellow"/>
          <w:lang w:val="en-US" w:eastAsia="zh-CN"/>
        </w:rPr>
        <w:t>配置要求</w:t>
      </w:r>
    </w:p>
    <w:tbl>
      <w:tblPr>
        <w:tblStyle w:val="2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72"/>
        <w:gridCol w:w="2945"/>
        <w:gridCol w:w="764"/>
        <w:gridCol w:w="709"/>
        <w:gridCol w:w="2577"/>
      </w:tblGrid>
      <w:tr w14:paraId="1EB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3" w:type="dxa"/>
            <w:tcBorders>
              <w:bottom w:val="single" w:color="auto" w:sz="4" w:space="0"/>
            </w:tcBorders>
            <w:shd w:val="clear" w:color="auto" w:fill="E7E6E6"/>
            <w:vAlign w:val="center"/>
          </w:tcPr>
          <w:p w14:paraId="2E6022D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rPr>
            </w:pPr>
            <w:r>
              <w:rPr>
                <w:rFonts w:hint="eastAsia" w:ascii="宋体" w:hAnsi="宋体" w:eastAsia="宋体" w:cs="宋体"/>
                <w:b/>
                <w:color w:val="auto"/>
                <w:sz w:val="18"/>
                <w:szCs w:val="18"/>
                <w:highlight w:val="yellow"/>
              </w:rPr>
              <w:t>序号</w:t>
            </w:r>
          </w:p>
        </w:tc>
        <w:tc>
          <w:tcPr>
            <w:tcW w:w="1472" w:type="dxa"/>
            <w:tcBorders>
              <w:bottom w:val="single" w:color="auto" w:sz="4" w:space="0"/>
            </w:tcBorders>
            <w:shd w:val="clear" w:color="auto" w:fill="E7E6E6"/>
            <w:vAlign w:val="center"/>
          </w:tcPr>
          <w:p w14:paraId="441C116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rPr>
            </w:pPr>
            <w:r>
              <w:rPr>
                <w:rFonts w:hint="eastAsia" w:ascii="宋体" w:hAnsi="宋体" w:eastAsia="宋体" w:cs="宋体"/>
                <w:b/>
                <w:color w:val="auto"/>
                <w:sz w:val="18"/>
                <w:szCs w:val="18"/>
                <w:highlight w:val="yellow"/>
              </w:rPr>
              <w:t>项目</w:t>
            </w:r>
          </w:p>
        </w:tc>
        <w:tc>
          <w:tcPr>
            <w:tcW w:w="2945" w:type="dxa"/>
            <w:tcBorders>
              <w:bottom w:val="single" w:color="auto" w:sz="4" w:space="0"/>
            </w:tcBorders>
            <w:shd w:val="clear" w:color="auto" w:fill="E7E6E6"/>
            <w:vAlign w:val="center"/>
          </w:tcPr>
          <w:p w14:paraId="3EF4AD1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rPr>
            </w:pPr>
            <w:r>
              <w:rPr>
                <w:rFonts w:hint="eastAsia" w:ascii="宋体" w:hAnsi="宋体" w:eastAsia="宋体" w:cs="宋体"/>
                <w:b/>
                <w:color w:val="auto"/>
                <w:sz w:val="18"/>
                <w:szCs w:val="18"/>
                <w:highlight w:val="yellow"/>
              </w:rPr>
              <w:t>应用名称</w:t>
            </w:r>
          </w:p>
        </w:tc>
        <w:tc>
          <w:tcPr>
            <w:tcW w:w="764" w:type="dxa"/>
            <w:tcBorders>
              <w:bottom w:val="single" w:color="auto" w:sz="4" w:space="0"/>
            </w:tcBorders>
            <w:shd w:val="clear" w:color="auto" w:fill="E7E6E6"/>
            <w:vAlign w:val="center"/>
          </w:tcPr>
          <w:p w14:paraId="5762827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rPr>
            </w:pPr>
            <w:r>
              <w:rPr>
                <w:rFonts w:hint="eastAsia" w:ascii="宋体" w:hAnsi="宋体" w:eastAsia="宋体" w:cs="宋体"/>
                <w:b/>
                <w:color w:val="auto"/>
                <w:sz w:val="18"/>
                <w:szCs w:val="18"/>
                <w:highlight w:val="yellow"/>
              </w:rPr>
              <w:t>单位</w:t>
            </w:r>
          </w:p>
        </w:tc>
        <w:tc>
          <w:tcPr>
            <w:tcW w:w="709" w:type="dxa"/>
            <w:tcBorders>
              <w:bottom w:val="single" w:color="auto" w:sz="4" w:space="0"/>
            </w:tcBorders>
            <w:shd w:val="clear" w:color="auto" w:fill="E7E6E6"/>
            <w:vAlign w:val="center"/>
          </w:tcPr>
          <w:p w14:paraId="3706771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rPr>
            </w:pPr>
            <w:r>
              <w:rPr>
                <w:rFonts w:hint="eastAsia" w:ascii="宋体" w:hAnsi="宋体" w:eastAsia="宋体" w:cs="宋体"/>
                <w:b/>
                <w:color w:val="auto"/>
                <w:sz w:val="18"/>
                <w:szCs w:val="18"/>
                <w:highlight w:val="yellow"/>
              </w:rPr>
              <w:t>数量</w:t>
            </w:r>
          </w:p>
        </w:tc>
        <w:tc>
          <w:tcPr>
            <w:tcW w:w="2577" w:type="dxa"/>
            <w:tcBorders>
              <w:bottom w:val="single" w:color="auto" w:sz="4" w:space="0"/>
            </w:tcBorders>
            <w:shd w:val="clear" w:color="auto" w:fill="E7E6E6"/>
          </w:tcPr>
          <w:p w14:paraId="2F9D66C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yellow"/>
                <w:lang w:val="en-US" w:eastAsia="zh-CN"/>
              </w:rPr>
            </w:pPr>
            <w:r>
              <w:rPr>
                <w:rFonts w:hint="eastAsia" w:ascii="宋体" w:hAnsi="宋体" w:eastAsia="宋体" w:cs="宋体"/>
                <w:b/>
                <w:color w:val="auto"/>
                <w:sz w:val="18"/>
                <w:szCs w:val="18"/>
                <w:highlight w:val="yellow"/>
                <w:lang w:val="en-US" w:eastAsia="zh-CN"/>
              </w:rPr>
              <w:t>备注</w:t>
            </w:r>
          </w:p>
        </w:tc>
      </w:tr>
      <w:tr w14:paraId="49E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3" w:type="dxa"/>
            <w:vMerge w:val="restart"/>
            <w:vAlign w:val="center"/>
          </w:tcPr>
          <w:p w14:paraId="070E762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1472" w:type="dxa"/>
            <w:vMerge w:val="restart"/>
            <w:vAlign w:val="center"/>
          </w:tcPr>
          <w:p w14:paraId="7C478B77">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心电融合管理平台</w:t>
            </w:r>
          </w:p>
        </w:tc>
        <w:tc>
          <w:tcPr>
            <w:tcW w:w="2945" w:type="dxa"/>
            <w:vAlign w:val="center"/>
          </w:tcPr>
          <w:p w14:paraId="0F5CFD10">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yellow"/>
                <w:lang w:val="en-US" w:eastAsia="zh-CN" w:bidi="ar"/>
              </w:rPr>
            </w:pPr>
            <w:r>
              <w:rPr>
                <w:rFonts w:hint="eastAsia" w:ascii="宋体" w:hAnsi="宋体" w:eastAsia="宋体" w:cs="宋体"/>
                <w:color w:val="auto"/>
                <w:kern w:val="0"/>
                <w:sz w:val="18"/>
                <w:szCs w:val="18"/>
                <w:highlight w:val="yellow"/>
                <w:lang w:val="en-US" w:eastAsia="zh-CN" w:bidi="ar"/>
              </w:rPr>
              <w:t>数据与存储管理</w:t>
            </w:r>
          </w:p>
        </w:tc>
        <w:tc>
          <w:tcPr>
            <w:tcW w:w="764" w:type="dxa"/>
            <w:vAlign w:val="center"/>
          </w:tcPr>
          <w:p w14:paraId="12E85C9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1670701D">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57E167EA">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774E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14:paraId="0ECC210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18"/>
                <w:szCs w:val="18"/>
                <w:highlight w:val="yellow"/>
              </w:rPr>
            </w:pPr>
          </w:p>
        </w:tc>
        <w:tc>
          <w:tcPr>
            <w:tcW w:w="1472" w:type="dxa"/>
            <w:vMerge w:val="continue"/>
            <w:vAlign w:val="center"/>
          </w:tcPr>
          <w:p w14:paraId="7F850F05">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2945" w:type="dxa"/>
            <w:vAlign w:val="center"/>
          </w:tcPr>
          <w:p w14:paraId="2460B59A">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0"/>
                <w:sz w:val="18"/>
                <w:szCs w:val="18"/>
                <w:highlight w:val="yellow"/>
                <w:lang w:val="en-US" w:eastAsia="zh-CN" w:bidi="ar"/>
              </w:rPr>
              <w:t>区域数据统计分析</w:t>
            </w:r>
          </w:p>
        </w:tc>
        <w:tc>
          <w:tcPr>
            <w:tcW w:w="764" w:type="dxa"/>
            <w:vAlign w:val="center"/>
          </w:tcPr>
          <w:p w14:paraId="75621B8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5DF265B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2EFDB21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084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3" w:type="dxa"/>
            <w:vMerge w:val="continue"/>
            <w:vAlign w:val="center"/>
          </w:tcPr>
          <w:p w14:paraId="7D81370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1472" w:type="dxa"/>
            <w:vMerge w:val="continue"/>
            <w:vAlign w:val="center"/>
          </w:tcPr>
          <w:p w14:paraId="740C0BA7">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2945" w:type="dxa"/>
            <w:vAlign w:val="center"/>
          </w:tcPr>
          <w:p w14:paraId="510E48B8">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kern w:val="0"/>
                <w:sz w:val="18"/>
                <w:szCs w:val="18"/>
                <w:highlight w:val="yellow"/>
                <w:lang w:val="en-US" w:eastAsia="zh-CN" w:bidi="ar"/>
              </w:rPr>
              <w:t>区域心电会诊管理</w:t>
            </w:r>
          </w:p>
        </w:tc>
        <w:tc>
          <w:tcPr>
            <w:tcW w:w="764" w:type="dxa"/>
            <w:vAlign w:val="center"/>
          </w:tcPr>
          <w:p w14:paraId="71ED27A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089E4060">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698F281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2BC3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6ACB9101">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1472" w:type="dxa"/>
            <w:vMerge w:val="continue"/>
            <w:vAlign w:val="center"/>
          </w:tcPr>
          <w:p w14:paraId="65B7BC3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2945" w:type="dxa"/>
            <w:vAlign w:val="center"/>
          </w:tcPr>
          <w:p w14:paraId="710291C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yellow"/>
                <w:lang w:val="en-US" w:eastAsia="zh-CN" w:bidi="ar"/>
              </w:rPr>
            </w:pPr>
            <w:r>
              <w:rPr>
                <w:rFonts w:hint="eastAsia" w:ascii="宋体" w:hAnsi="宋体" w:eastAsia="宋体" w:cs="宋体"/>
                <w:color w:val="auto"/>
                <w:kern w:val="0"/>
                <w:sz w:val="18"/>
                <w:szCs w:val="18"/>
                <w:highlight w:val="yellow"/>
                <w:lang w:val="en-US" w:eastAsia="zh-CN" w:bidi="ar"/>
              </w:rPr>
              <w:t>区域心电质控管理</w:t>
            </w:r>
          </w:p>
        </w:tc>
        <w:tc>
          <w:tcPr>
            <w:tcW w:w="764" w:type="dxa"/>
            <w:vAlign w:val="center"/>
          </w:tcPr>
          <w:p w14:paraId="5584BE8D">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2285332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1D43F82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0BAF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09DEF079">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1472" w:type="dxa"/>
            <w:vMerge w:val="continue"/>
            <w:vAlign w:val="center"/>
          </w:tcPr>
          <w:p w14:paraId="0CA0910B">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2945" w:type="dxa"/>
            <w:vAlign w:val="center"/>
          </w:tcPr>
          <w:p w14:paraId="4409F0C3">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sz w:val="18"/>
                <w:szCs w:val="18"/>
                <w:highlight w:val="yellow"/>
              </w:rPr>
            </w:pPr>
            <w:r>
              <w:rPr>
                <w:rFonts w:hint="eastAsia" w:ascii="宋体" w:hAnsi="宋体" w:eastAsia="宋体" w:cs="宋体"/>
                <w:color w:val="auto"/>
                <w:kern w:val="0"/>
                <w:sz w:val="18"/>
                <w:szCs w:val="18"/>
                <w:highlight w:val="yellow"/>
                <w:lang w:val="en-US" w:eastAsia="zh-CN" w:bidi="ar"/>
              </w:rPr>
              <w:t>区域心电BI展示</w:t>
            </w:r>
          </w:p>
        </w:tc>
        <w:tc>
          <w:tcPr>
            <w:tcW w:w="764" w:type="dxa"/>
            <w:vAlign w:val="center"/>
          </w:tcPr>
          <w:p w14:paraId="5DE1D03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503583A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31063D95">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宋体" w:hAnsi="宋体" w:eastAsia="宋体" w:cs="宋体"/>
                <w:color w:val="auto"/>
                <w:sz w:val="18"/>
                <w:szCs w:val="18"/>
                <w:highlight w:val="yellow"/>
              </w:rPr>
            </w:pPr>
          </w:p>
        </w:tc>
      </w:tr>
      <w:tr w14:paraId="1A66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7ABC367D">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1472" w:type="dxa"/>
            <w:vMerge w:val="continue"/>
            <w:vAlign w:val="center"/>
          </w:tcPr>
          <w:p w14:paraId="6B91AB66">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yellow"/>
              </w:rPr>
            </w:pPr>
          </w:p>
        </w:tc>
        <w:tc>
          <w:tcPr>
            <w:tcW w:w="2945" w:type="dxa"/>
            <w:vAlign w:val="center"/>
          </w:tcPr>
          <w:p w14:paraId="48E25D07">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yellow"/>
                <w:lang w:bidi="ar"/>
              </w:rPr>
            </w:pPr>
            <w:r>
              <w:rPr>
                <w:rFonts w:hint="eastAsia" w:ascii="宋体" w:hAnsi="宋体" w:eastAsia="宋体" w:cs="宋体"/>
                <w:color w:val="auto"/>
                <w:kern w:val="0"/>
                <w:sz w:val="18"/>
                <w:szCs w:val="18"/>
                <w:highlight w:val="yellow"/>
                <w:lang w:val="en-US" w:eastAsia="zh-CN" w:bidi="ar"/>
              </w:rPr>
              <w:t>心电诊断中心</w:t>
            </w:r>
          </w:p>
        </w:tc>
        <w:tc>
          <w:tcPr>
            <w:tcW w:w="764" w:type="dxa"/>
            <w:vAlign w:val="center"/>
          </w:tcPr>
          <w:p w14:paraId="5B2FC33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3C72294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77FE382C">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宋体" w:hAnsi="宋体" w:eastAsia="宋体" w:cs="宋体"/>
                <w:color w:val="auto"/>
                <w:sz w:val="18"/>
                <w:szCs w:val="18"/>
                <w:highlight w:val="yellow"/>
              </w:rPr>
            </w:pPr>
          </w:p>
        </w:tc>
      </w:tr>
      <w:tr w14:paraId="22F7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5CE5E43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c>
          <w:tcPr>
            <w:tcW w:w="1472" w:type="dxa"/>
            <w:vMerge w:val="continue"/>
            <w:vAlign w:val="center"/>
          </w:tcPr>
          <w:p w14:paraId="23FB09BC">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rPr>
            </w:pPr>
          </w:p>
        </w:tc>
        <w:tc>
          <w:tcPr>
            <w:tcW w:w="2945" w:type="dxa"/>
            <w:vAlign w:val="center"/>
          </w:tcPr>
          <w:p w14:paraId="7CC22A70">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危急值闭环管理</w:t>
            </w:r>
          </w:p>
        </w:tc>
        <w:tc>
          <w:tcPr>
            <w:tcW w:w="764" w:type="dxa"/>
            <w:vAlign w:val="center"/>
          </w:tcPr>
          <w:p w14:paraId="12E8712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4CBF025B">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6672964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133E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580CA278">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c>
          <w:tcPr>
            <w:tcW w:w="1472" w:type="dxa"/>
            <w:vMerge w:val="continue"/>
            <w:vAlign w:val="center"/>
          </w:tcPr>
          <w:p w14:paraId="240E882B">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rPr>
            </w:pPr>
          </w:p>
        </w:tc>
        <w:tc>
          <w:tcPr>
            <w:tcW w:w="2945" w:type="dxa"/>
            <w:vAlign w:val="center"/>
          </w:tcPr>
          <w:p w14:paraId="640F9E82">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kern w:val="0"/>
                <w:sz w:val="18"/>
                <w:szCs w:val="18"/>
                <w:highlight w:val="yellow"/>
                <w:lang w:bidi="ar"/>
              </w:rPr>
            </w:pPr>
            <w:r>
              <w:rPr>
                <w:rFonts w:hint="eastAsia" w:ascii="宋体" w:hAnsi="宋体" w:eastAsia="宋体" w:cs="宋体"/>
                <w:color w:val="auto"/>
                <w:kern w:val="0"/>
                <w:sz w:val="18"/>
                <w:szCs w:val="18"/>
                <w:highlight w:val="yellow"/>
                <w:lang w:val="en-US" w:eastAsia="zh-CN" w:bidi="ar"/>
              </w:rPr>
              <w:t>心电移动诊断</w:t>
            </w:r>
          </w:p>
        </w:tc>
        <w:tc>
          <w:tcPr>
            <w:tcW w:w="764" w:type="dxa"/>
            <w:vAlign w:val="center"/>
          </w:tcPr>
          <w:p w14:paraId="3981AAA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557062F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33C786F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0BBA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3" w:type="dxa"/>
            <w:vMerge w:val="continue"/>
            <w:vAlign w:val="center"/>
          </w:tcPr>
          <w:p w14:paraId="32AE3EEA">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c>
          <w:tcPr>
            <w:tcW w:w="1472" w:type="dxa"/>
            <w:vMerge w:val="continue"/>
            <w:vAlign w:val="center"/>
          </w:tcPr>
          <w:p w14:paraId="63ED68F6">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rPr>
            </w:pPr>
          </w:p>
        </w:tc>
        <w:tc>
          <w:tcPr>
            <w:tcW w:w="2945" w:type="dxa"/>
            <w:vAlign w:val="center"/>
          </w:tcPr>
          <w:p w14:paraId="66455196">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kern w:val="0"/>
                <w:sz w:val="18"/>
                <w:szCs w:val="18"/>
                <w:highlight w:val="yellow"/>
                <w:lang w:bidi="ar"/>
              </w:rPr>
            </w:pPr>
            <w:r>
              <w:rPr>
                <w:rFonts w:hint="eastAsia" w:ascii="宋体" w:hAnsi="宋体" w:eastAsia="宋体" w:cs="宋体"/>
                <w:color w:val="auto"/>
                <w:kern w:val="0"/>
                <w:sz w:val="18"/>
                <w:szCs w:val="18"/>
                <w:highlight w:val="yellow"/>
                <w:lang w:val="en-US" w:eastAsia="zh-CN" w:bidi="ar"/>
              </w:rPr>
              <w:t>区域WEB发布</w:t>
            </w:r>
          </w:p>
        </w:tc>
        <w:tc>
          <w:tcPr>
            <w:tcW w:w="764" w:type="dxa"/>
            <w:vAlign w:val="center"/>
          </w:tcPr>
          <w:p w14:paraId="76072E53">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389EE79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1</w:t>
            </w:r>
          </w:p>
        </w:tc>
        <w:tc>
          <w:tcPr>
            <w:tcW w:w="2577" w:type="dxa"/>
          </w:tcPr>
          <w:p w14:paraId="6C7580F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p>
        </w:tc>
      </w:tr>
      <w:tr w14:paraId="3A3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3" w:type="dxa"/>
            <w:vAlign w:val="center"/>
          </w:tcPr>
          <w:p w14:paraId="2BEF01CA">
            <w:pPr>
              <w:keepNext w:val="0"/>
              <w:keepLines w:val="0"/>
              <w:pageBreakBefore w:val="0"/>
              <w:tabs>
                <w:tab w:val="center" w:pos="402"/>
                <w:tab w:val="left" w:pos="555"/>
              </w:tabs>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lang w:eastAsia="zh-CN"/>
              </w:rPr>
            </w:pPr>
            <w:r>
              <w:rPr>
                <w:rFonts w:hint="eastAsia" w:ascii="宋体" w:hAnsi="宋体" w:eastAsia="宋体" w:cs="宋体"/>
                <w:color w:val="auto"/>
                <w:sz w:val="18"/>
                <w:szCs w:val="18"/>
                <w:highlight w:val="yellow"/>
                <w:lang w:val="en-US" w:eastAsia="zh-CN"/>
              </w:rPr>
              <w:t>2</w:t>
            </w:r>
          </w:p>
        </w:tc>
        <w:tc>
          <w:tcPr>
            <w:tcW w:w="1472" w:type="dxa"/>
            <w:vAlign w:val="center"/>
          </w:tcPr>
          <w:p w14:paraId="113044B5">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lang w:eastAsia="zh-CN"/>
              </w:rPr>
              <w:t>每个</w:t>
            </w:r>
            <w:r>
              <w:rPr>
                <w:rFonts w:hint="eastAsia" w:ascii="宋体" w:hAnsi="宋体" w:eastAsia="宋体" w:cs="宋体"/>
                <w:color w:val="auto"/>
                <w:sz w:val="18"/>
                <w:szCs w:val="18"/>
                <w:highlight w:val="yellow"/>
              </w:rPr>
              <w:t>基层机构</w:t>
            </w:r>
            <w:r>
              <w:rPr>
                <w:rFonts w:hint="eastAsia" w:ascii="宋体" w:hAnsi="宋体" w:eastAsia="宋体" w:cs="宋体"/>
                <w:color w:val="auto"/>
                <w:sz w:val="18"/>
                <w:szCs w:val="18"/>
                <w:highlight w:val="yellow"/>
                <w:lang w:eastAsia="zh-CN"/>
              </w:rPr>
              <w:t>点位</w:t>
            </w:r>
            <w:r>
              <w:rPr>
                <w:rFonts w:hint="eastAsia" w:ascii="宋体" w:hAnsi="宋体" w:eastAsia="宋体" w:cs="宋体"/>
                <w:color w:val="auto"/>
                <w:sz w:val="18"/>
                <w:szCs w:val="18"/>
                <w:highlight w:val="yellow"/>
              </w:rPr>
              <w:t>心电设备</w:t>
            </w:r>
          </w:p>
        </w:tc>
        <w:tc>
          <w:tcPr>
            <w:tcW w:w="2945" w:type="dxa"/>
            <w:vAlign w:val="center"/>
          </w:tcPr>
          <w:p w14:paraId="653D0EF2">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心电采集设备（平板电脑、12导导联线、肢夹、吸球、收纳包）</w:t>
            </w:r>
          </w:p>
        </w:tc>
        <w:tc>
          <w:tcPr>
            <w:tcW w:w="764" w:type="dxa"/>
            <w:vAlign w:val="center"/>
          </w:tcPr>
          <w:p w14:paraId="01951CE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套</w:t>
            </w:r>
          </w:p>
        </w:tc>
        <w:tc>
          <w:tcPr>
            <w:tcW w:w="709" w:type="dxa"/>
            <w:vAlign w:val="center"/>
          </w:tcPr>
          <w:p w14:paraId="3A53F4E7">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53</w:t>
            </w:r>
          </w:p>
        </w:tc>
        <w:tc>
          <w:tcPr>
            <w:tcW w:w="2577" w:type="dxa"/>
          </w:tcPr>
          <w:p w14:paraId="4661CE73">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配备在村级卫生室</w:t>
            </w:r>
          </w:p>
        </w:tc>
      </w:tr>
      <w:tr w14:paraId="20C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vAlign w:val="center"/>
          </w:tcPr>
          <w:p w14:paraId="609E9C5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3</w:t>
            </w:r>
          </w:p>
        </w:tc>
        <w:tc>
          <w:tcPr>
            <w:tcW w:w="1472" w:type="dxa"/>
            <w:vAlign w:val="center"/>
          </w:tcPr>
          <w:p w14:paraId="19678E83">
            <w:pPr>
              <w:keepNext w:val="0"/>
              <w:keepLines w:val="0"/>
              <w:pageBreakBefore w:val="0"/>
              <w:kinsoku/>
              <w:wordWrap/>
              <w:overflowPunct/>
              <w:topLinePunct w:val="0"/>
              <w:autoSpaceDE/>
              <w:autoSpaceDN/>
              <w:bidi w:val="0"/>
              <w:adjustRightInd/>
              <w:snapToGrid/>
              <w:spacing w:line="560" w:lineRule="exact"/>
              <w:rPr>
                <w:rFonts w:hint="default"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远程心电采集工作站</w:t>
            </w:r>
          </w:p>
        </w:tc>
        <w:tc>
          <w:tcPr>
            <w:tcW w:w="2945" w:type="dxa"/>
            <w:vAlign w:val="center"/>
          </w:tcPr>
          <w:p w14:paraId="0EA95811">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心电采集</w:t>
            </w:r>
            <w:r>
              <w:rPr>
                <w:rFonts w:hint="eastAsia" w:ascii="宋体" w:hAnsi="宋体" w:cs="宋体"/>
                <w:color w:val="auto"/>
                <w:sz w:val="18"/>
                <w:szCs w:val="18"/>
                <w:highlight w:val="yellow"/>
                <w:lang w:val="en-US" w:eastAsia="zh-CN"/>
              </w:rPr>
              <w:t>设备（心电采集设备、电脑、显示器、打印机、专用台车）</w:t>
            </w:r>
          </w:p>
        </w:tc>
        <w:tc>
          <w:tcPr>
            <w:tcW w:w="764" w:type="dxa"/>
            <w:shd w:val="clear" w:color="auto" w:fill="auto"/>
            <w:vAlign w:val="center"/>
          </w:tcPr>
          <w:p w14:paraId="740AD3E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sz w:val="18"/>
                <w:szCs w:val="18"/>
                <w:highlight w:val="yellow"/>
                <w:lang w:val="en-US" w:eastAsia="zh-CN"/>
              </w:rPr>
              <w:t>套</w:t>
            </w:r>
          </w:p>
        </w:tc>
        <w:tc>
          <w:tcPr>
            <w:tcW w:w="709" w:type="dxa"/>
            <w:shd w:val="clear" w:color="auto" w:fill="auto"/>
            <w:vAlign w:val="center"/>
          </w:tcPr>
          <w:p w14:paraId="5B466AA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eastAsia="宋体" w:cs="宋体"/>
                <w:color w:val="auto"/>
                <w:kern w:val="2"/>
                <w:sz w:val="18"/>
                <w:szCs w:val="18"/>
                <w:highlight w:val="yellow"/>
                <w:lang w:val="en-US" w:eastAsia="zh-CN" w:bidi="ar-SA"/>
              </w:rPr>
            </w:pPr>
            <w:r>
              <w:rPr>
                <w:rFonts w:hint="eastAsia" w:ascii="宋体" w:hAnsi="宋体" w:cs="宋体"/>
                <w:color w:val="auto"/>
                <w:kern w:val="2"/>
                <w:sz w:val="18"/>
                <w:szCs w:val="18"/>
                <w:highlight w:val="yellow"/>
                <w:lang w:val="en-US" w:eastAsia="zh-CN" w:bidi="ar-SA"/>
              </w:rPr>
              <w:t>7</w:t>
            </w:r>
          </w:p>
        </w:tc>
        <w:tc>
          <w:tcPr>
            <w:tcW w:w="2577" w:type="dxa"/>
          </w:tcPr>
          <w:p w14:paraId="4295A24A">
            <w:pPr>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rPr>
                <w:rFonts w:hint="eastAsia" w:ascii="宋体" w:hAnsi="宋体" w:eastAsia="宋体" w:cs="宋体"/>
                <w:color w:val="auto"/>
                <w:sz w:val="18"/>
                <w:szCs w:val="18"/>
                <w:highlight w:val="yellow"/>
                <w:lang w:eastAsia="zh-CN"/>
              </w:rPr>
            </w:pPr>
            <w:r>
              <w:rPr>
                <w:rFonts w:hint="eastAsia" w:ascii="宋体" w:hAnsi="宋体" w:cs="宋体"/>
                <w:color w:val="auto"/>
                <w:sz w:val="18"/>
                <w:szCs w:val="18"/>
                <w:highlight w:val="yellow"/>
                <w:lang w:val="en-US" w:eastAsia="zh-CN"/>
              </w:rPr>
              <w:t>主要配置在乡镇卫生院。</w:t>
            </w:r>
          </w:p>
        </w:tc>
      </w:tr>
      <w:tr w14:paraId="25CF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vAlign w:val="center"/>
          </w:tcPr>
          <w:p w14:paraId="1CC1971D">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4</w:t>
            </w:r>
          </w:p>
        </w:tc>
        <w:tc>
          <w:tcPr>
            <w:tcW w:w="1472" w:type="dxa"/>
            <w:vAlign w:val="center"/>
          </w:tcPr>
          <w:p w14:paraId="394E3BF6">
            <w:pPr>
              <w:keepNext w:val="0"/>
              <w:keepLines w:val="0"/>
              <w:pageBreakBefore w:val="0"/>
              <w:kinsoku/>
              <w:wordWrap/>
              <w:overflowPunct/>
              <w:topLinePunct w:val="0"/>
              <w:autoSpaceDE/>
              <w:autoSpaceDN/>
              <w:bidi w:val="0"/>
              <w:adjustRightInd/>
              <w:snapToGrid/>
              <w:spacing w:line="560" w:lineRule="exact"/>
              <w:rPr>
                <w:rFonts w:hint="default" w:ascii="宋体" w:hAnsi="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诊断中心</w:t>
            </w:r>
          </w:p>
        </w:tc>
        <w:tc>
          <w:tcPr>
            <w:tcW w:w="2945" w:type="dxa"/>
            <w:vAlign w:val="center"/>
          </w:tcPr>
          <w:p w14:paraId="07E3F113">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诊断中心软件（心电分析软件、电脑、显示器、打印机、专用台车）</w:t>
            </w:r>
          </w:p>
        </w:tc>
        <w:tc>
          <w:tcPr>
            <w:tcW w:w="764" w:type="dxa"/>
            <w:shd w:val="clear" w:color="auto" w:fill="auto"/>
            <w:vAlign w:val="center"/>
          </w:tcPr>
          <w:p w14:paraId="26DC688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套</w:t>
            </w:r>
          </w:p>
        </w:tc>
        <w:tc>
          <w:tcPr>
            <w:tcW w:w="709" w:type="dxa"/>
            <w:shd w:val="clear" w:color="auto" w:fill="auto"/>
            <w:vAlign w:val="center"/>
          </w:tcPr>
          <w:p w14:paraId="0CCA934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cs="宋体"/>
                <w:color w:val="auto"/>
                <w:kern w:val="2"/>
                <w:sz w:val="18"/>
                <w:szCs w:val="18"/>
                <w:highlight w:val="yellow"/>
                <w:lang w:val="en-US" w:eastAsia="zh-CN" w:bidi="ar-SA"/>
              </w:rPr>
            </w:pPr>
            <w:r>
              <w:rPr>
                <w:rFonts w:hint="eastAsia" w:ascii="宋体" w:hAnsi="宋体" w:cs="宋体"/>
                <w:color w:val="auto"/>
                <w:kern w:val="2"/>
                <w:sz w:val="18"/>
                <w:szCs w:val="18"/>
                <w:highlight w:val="yellow"/>
                <w:lang w:val="en-US" w:eastAsia="zh-CN" w:bidi="ar-SA"/>
              </w:rPr>
              <w:t>1</w:t>
            </w:r>
          </w:p>
        </w:tc>
        <w:tc>
          <w:tcPr>
            <w:tcW w:w="2577" w:type="dxa"/>
          </w:tcPr>
          <w:p w14:paraId="48AD4111">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default" w:ascii="宋体" w:hAnsi="宋体" w:eastAsia="宋体" w:cs="宋体"/>
                <w:color w:val="auto"/>
                <w:sz w:val="18"/>
                <w:szCs w:val="18"/>
                <w:highlight w:val="yellow"/>
                <w:lang w:val="en-US" w:eastAsia="zh-CN"/>
              </w:rPr>
            </w:pPr>
            <w:r>
              <w:rPr>
                <w:rFonts w:hint="eastAsia" w:ascii="宋体" w:hAnsi="宋体" w:cs="宋体"/>
                <w:color w:val="auto"/>
                <w:sz w:val="18"/>
                <w:szCs w:val="18"/>
                <w:highlight w:val="yellow"/>
                <w:lang w:val="en-US" w:eastAsia="zh-CN"/>
              </w:rPr>
              <w:t>用于报告发放级数据展示</w:t>
            </w:r>
          </w:p>
        </w:tc>
      </w:tr>
    </w:tbl>
    <w:p w14:paraId="199FEE0F">
      <w:pPr>
        <w:keepNext w:val="0"/>
        <w:keepLines w:val="0"/>
        <w:pageBreakBefore w:val="0"/>
        <w:numPr>
          <w:ilvl w:val="0"/>
          <w:numId w:val="0"/>
        </w:numPr>
        <w:kinsoku/>
        <w:wordWrap/>
        <w:overflowPunct/>
        <w:topLinePunct w:val="0"/>
        <w:autoSpaceDE/>
        <w:autoSpaceDN/>
        <w:bidi w:val="0"/>
        <w:adjustRightInd/>
        <w:snapToGrid/>
        <w:spacing w:before="240" w:after="240" w:line="560" w:lineRule="exact"/>
        <w:ind w:left="0" w:leftChars="0" w:firstLine="0" w:firstLineChars="0"/>
        <w:outlineLvl w:val="0"/>
        <w:rPr>
          <w:rFonts w:hint="eastAsia" w:ascii="宋体" w:hAnsi="宋体" w:eastAsia="宋体" w:cs="宋体"/>
          <w:b/>
          <w:color w:val="auto"/>
          <w:sz w:val="24"/>
          <w:szCs w:val="24"/>
          <w:highlight w:val="yellow"/>
          <w:lang w:val="en-US" w:eastAsia="zh-CN"/>
        </w:rPr>
      </w:pPr>
      <w:r>
        <w:rPr>
          <w:rFonts w:hint="eastAsia" w:ascii="宋体" w:hAnsi="宋体" w:eastAsia="宋体" w:cs="宋体"/>
          <w:b/>
          <w:color w:val="auto"/>
          <w:sz w:val="24"/>
          <w:szCs w:val="24"/>
          <w:highlight w:val="yellow"/>
          <w:lang w:val="en-US" w:eastAsia="zh-CN"/>
        </w:rPr>
        <w:t>（二）、技术要求</w:t>
      </w:r>
    </w:p>
    <w:p w14:paraId="4F7BB32D">
      <w:pPr>
        <w:keepNext w:val="0"/>
        <w:keepLines w:val="0"/>
        <w:pageBreakBefore w:val="0"/>
        <w:numPr>
          <w:ilvl w:val="0"/>
          <w:numId w:val="10"/>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静动</w:t>
      </w:r>
      <w:r>
        <w:rPr>
          <w:rFonts w:hint="eastAsia" w:ascii="宋体" w:hAnsi="宋体" w:eastAsia="宋体" w:cs="宋体"/>
          <w:b/>
          <w:bCs/>
          <w:color w:val="auto"/>
          <w:sz w:val="24"/>
          <w:szCs w:val="24"/>
          <w:highlight w:val="yellow"/>
          <w:lang w:val="en-US" w:eastAsia="zh-CN"/>
        </w:rPr>
        <w:t>心电融合管理平台</w:t>
      </w:r>
      <w:r>
        <w:rPr>
          <w:rFonts w:hint="eastAsia" w:ascii="宋体" w:hAnsi="宋体" w:eastAsia="宋体" w:cs="宋体"/>
          <w:b/>
          <w:bCs/>
          <w:color w:val="auto"/>
          <w:sz w:val="24"/>
          <w:szCs w:val="24"/>
          <w:highlight w:val="yellow"/>
          <w:lang w:val="en-US" w:eastAsia="zh-CN"/>
        </w:rPr>
        <w:t>功能要求</w:t>
      </w:r>
    </w:p>
    <w:p w14:paraId="34218A9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数据与存储管理</w:t>
      </w:r>
    </w:p>
    <w:p w14:paraId="344C1E05">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SQLserver、Oracle、MYSQL等大型数据库，有安全、可靠的数据存储、备份方案，有近线、离线数据调阅方案。具有开放性，支持异种数据库的访问，包括实现对文件数据和桌面数据库的访问，具有支持并行操作所需的技术，包括多服务器协同技术、事务处理的完整性控制技术。</w:t>
      </w:r>
    </w:p>
    <w:p w14:paraId="5D6C7BF4">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服务器软件支持集群设计；支持数据库多种方式备份；支持数据库管理功能，支持数据记录查询与检索；按需更新数据库管理系统中的数据；接受医生申请，按权限提供所储存心电图波形数据及相关信息。</w:t>
      </w:r>
    </w:p>
    <w:p w14:paraId="2063E568">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val="0"/>
          <w:bCs w:val="0"/>
          <w:color w:val="auto"/>
          <w:sz w:val="24"/>
          <w:szCs w:val="24"/>
          <w:highlight w:val="yellow"/>
        </w:rPr>
      </w:pPr>
      <w:r>
        <w:rPr>
          <w:rFonts w:hint="eastAsia" w:ascii="宋体" w:hAnsi="宋体" w:eastAsia="宋体" w:cs="宋体"/>
          <w:color w:val="auto"/>
          <w:sz w:val="24"/>
          <w:szCs w:val="24"/>
          <w:highlight w:val="yellow"/>
        </w:rPr>
        <w:t>支持</w:t>
      </w:r>
      <w:r>
        <w:rPr>
          <w:rFonts w:hint="eastAsia" w:ascii="宋体" w:hAnsi="宋体" w:eastAsia="宋体" w:cs="宋体"/>
          <w:color w:val="auto"/>
          <w:sz w:val="24"/>
          <w:szCs w:val="24"/>
          <w:highlight w:val="yellow"/>
          <w:lang w:val="en-US" w:eastAsia="zh-CN"/>
        </w:rPr>
        <w:t>静息与动态</w:t>
      </w:r>
      <w:r>
        <w:rPr>
          <w:rFonts w:hint="eastAsia" w:ascii="宋体" w:hAnsi="宋体" w:eastAsia="宋体" w:cs="宋体"/>
          <w:color w:val="auto"/>
          <w:sz w:val="24"/>
          <w:szCs w:val="24"/>
          <w:highlight w:val="yellow"/>
        </w:rPr>
        <w:t>心电图数据进行数字化集中存储及管理，可对心电数据进行查找、统计、测量。</w:t>
      </w:r>
      <w:r>
        <w:rPr>
          <w:rFonts w:hint="eastAsia" w:ascii="宋体" w:hAnsi="宋体" w:eastAsia="宋体" w:cs="宋体"/>
          <w:b w:val="0"/>
          <w:bCs w:val="0"/>
          <w:color w:val="auto"/>
          <w:sz w:val="24"/>
          <w:szCs w:val="24"/>
          <w:highlight w:val="yellow"/>
        </w:rPr>
        <w:t>要求提供含有集中存储及管理、查找、统计、测量等词语的医疗器械注册证复印件并圈出对应内容证明。</w:t>
      </w:r>
    </w:p>
    <w:p w14:paraId="15C3EE20">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产品适用于接收具有DICOM或XML传输协议的心电图机数据。要求提供含有DICOM或XML传输协议，动态心电图、运动平板心电图网络发布报告等词语的医疗器械注册证或其附件的复印件并圈出对应内容证明。</w:t>
      </w:r>
    </w:p>
    <w:p w14:paraId="3461388C">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bCs/>
          <w:color w:val="auto"/>
          <w:sz w:val="24"/>
          <w:szCs w:val="24"/>
          <w:highlight w:val="yellow"/>
        </w:rPr>
      </w:pPr>
      <w:r>
        <w:rPr>
          <w:rFonts w:hint="eastAsia" w:ascii="宋体" w:hAnsi="宋体" w:eastAsia="宋体" w:cs="宋体"/>
          <w:b w:val="0"/>
          <w:bCs w:val="0"/>
          <w:color w:val="auto"/>
          <w:sz w:val="24"/>
          <w:szCs w:val="24"/>
          <w:highlight w:val="yellow"/>
        </w:rPr>
        <w:t>系统平台满足国家信创要求，可适配国产服务器、国产操作系统、国产数</w:t>
      </w:r>
      <w:r>
        <w:rPr>
          <w:rFonts w:hint="eastAsia" w:ascii="宋体" w:hAnsi="宋体" w:eastAsia="宋体" w:cs="宋体"/>
          <w:color w:val="auto"/>
          <w:sz w:val="24"/>
          <w:szCs w:val="24"/>
          <w:highlight w:val="yellow"/>
        </w:rPr>
        <w:t>据库。</w:t>
      </w:r>
      <w:r>
        <w:rPr>
          <w:rFonts w:hint="eastAsia" w:ascii="宋体" w:hAnsi="宋体" w:eastAsia="宋体" w:cs="宋体"/>
          <w:b/>
          <w:bCs/>
          <w:color w:val="auto"/>
          <w:sz w:val="24"/>
          <w:szCs w:val="24"/>
          <w:highlight w:val="yellow"/>
        </w:rPr>
        <w:t>要求提供相应的证书证明。</w:t>
      </w:r>
    </w:p>
    <w:p w14:paraId="0CCA08FD">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bCs/>
          <w:color w:val="auto"/>
          <w:sz w:val="24"/>
          <w:szCs w:val="24"/>
          <w:highlight w:val="yellow"/>
        </w:rPr>
      </w:pPr>
      <w:r>
        <w:rPr>
          <w:rFonts w:hint="eastAsia" w:ascii="宋体" w:hAnsi="宋体" w:eastAsia="宋体" w:cs="宋体"/>
          <w:color w:val="auto"/>
          <w:sz w:val="24"/>
          <w:szCs w:val="24"/>
          <w:highlight w:val="yellow"/>
          <w:vertAlign w:val="baseline"/>
          <w:lang w:val="en-US" w:eastAsia="zh-CN"/>
        </w:rPr>
        <w:t>支持与国家</w:t>
      </w:r>
      <w:r>
        <w:rPr>
          <w:rFonts w:hint="eastAsia" w:ascii="宋体" w:hAnsi="宋体" w:eastAsia="宋体" w:cs="宋体"/>
          <w:color w:val="auto"/>
          <w:sz w:val="24"/>
          <w:szCs w:val="24"/>
          <w:highlight w:val="yellow"/>
          <w:lang w:val="en-US" w:eastAsia="zh-CN"/>
        </w:rPr>
        <w:t>心电融合管理平台</w:t>
      </w:r>
      <w:r>
        <w:rPr>
          <w:rFonts w:hint="eastAsia" w:ascii="宋体" w:hAnsi="宋体" w:eastAsia="宋体" w:cs="宋体"/>
          <w:color w:val="auto"/>
          <w:sz w:val="24"/>
          <w:szCs w:val="24"/>
          <w:highlight w:val="yellow"/>
          <w:vertAlign w:val="baseline"/>
          <w:lang w:val="en-US" w:eastAsia="zh-CN"/>
        </w:rPr>
        <w:t>进行接口集成，实现心电数据上报至国家平台；</w:t>
      </w:r>
    </w:p>
    <w:p w14:paraId="49168253">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区域数据统计分析</w:t>
      </w:r>
    </w:p>
    <w:p w14:paraId="6CA8648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利用大数据系统，通过对区域心电检查、诊断、资源分布等数据的分析挖掘，为区域心电的业务开展和资源分配提供数据支撑。</w:t>
      </w:r>
    </w:p>
    <w:p w14:paraId="08715FF5">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提供可自由定制的数据统计模块，所有的字段信息都可作为统计条件，并组合使用；根据需要可进行工作量、科研、教学统计。</w:t>
      </w:r>
    </w:p>
    <w:p w14:paraId="31680EDF">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w:t>
      </w:r>
    </w:p>
    <w:p w14:paraId="738D0FDA">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阳性率统计：统计指定时间段内，各个检查项目的检查人次，阳性人次数，阳性率；可按检查项目汇总阳性率。</w:t>
      </w:r>
    </w:p>
    <w:p w14:paraId="0CB37D0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工作量统计：统计指定时间段内，人员的登记，检查，报告工作量。其中检查和报告的工作量可根据检查项目分类统计和汇总。</w:t>
      </w:r>
    </w:p>
    <w:p w14:paraId="314081AD">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检查项目统计：统计指定时间段内，各个检查项目的检查人次。按检查项目汇总。</w:t>
      </w:r>
    </w:p>
    <w:p w14:paraId="10780BAD">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疾病统计：统计指定时间段内，各种疾病经由检查项目的检出数和汇总数。全部疾病的汇总数。</w:t>
      </w:r>
    </w:p>
    <w:p w14:paraId="131944A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统计结果可显示统计列表、统计数量、统计报表、统计图表，并可直接打印输出。</w:t>
      </w:r>
    </w:p>
    <w:p w14:paraId="2E2B018A">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统计结果可输出到EXECL表格中，并可打印成统计报表</w:t>
      </w:r>
      <w:r>
        <w:rPr>
          <w:rFonts w:hint="eastAsia" w:ascii="宋体" w:hAnsi="宋体" w:eastAsia="宋体" w:cs="宋体"/>
          <w:color w:val="auto"/>
          <w:sz w:val="24"/>
          <w:szCs w:val="24"/>
          <w:highlight w:val="yellow"/>
          <w:lang w:eastAsia="zh-CN"/>
        </w:rPr>
        <w:t>。</w:t>
      </w:r>
    </w:p>
    <w:p w14:paraId="49CA708A">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区域心电会诊管理</w:t>
      </w:r>
    </w:p>
    <w:p w14:paraId="0F98D5B6">
      <w:pPr>
        <w:pStyle w:val="11"/>
        <w:keepNext w:val="0"/>
        <w:keepLines w:val="0"/>
        <w:pageBreakBefore w:val="0"/>
        <w:widowControl w:val="0"/>
        <w:numPr>
          <w:ilvl w:val="0"/>
          <w:numId w:val="14"/>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多级多中心建设，可为接入的基层医疗机构配置会诊关系，一个申请医院可对应多个会诊医院，扩展多级会诊中心，助力医院建立省-市-乡-村多级远程心电诊断体系。平台支持会诊服务内容维护，支持管理医院向基层医疗机构开展的包括：常规心电、动态心电、动态血压等会诊服务内容，实现对基层会诊内容及诊断组的管理。</w:t>
      </w:r>
    </w:p>
    <w:p w14:paraId="007A1A3A">
      <w:pPr>
        <w:pStyle w:val="11"/>
        <w:keepNext w:val="0"/>
        <w:keepLines w:val="0"/>
        <w:pageBreakBefore w:val="0"/>
        <w:widowControl w:val="0"/>
        <w:numPr>
          <w:ilvl w:val="0"/>
          <w:numId w:val="14"/>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具备会诊费用管理功能，平台提供会诊费用的统一管理工具，针对不同的会诊服务内容制定会诊收费标准，便于后期对会诊费用的统计提供详细可靠的数据。</w:t>
      </w:r>
    </w:p>
    <w:p w14:paraId="460E8E83">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区域心电质控管理</w:t>
      </w:r>
    </w:p>
    <w:p w14:paraId="04A19DB5">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具备完整的报告质控流程，定期对报告质量进行回顾，根据病种、诊断医生、是否疑难等多个维度对报告进行质控，抽取一定数量的报告按照时间定期开展质控工作。</w:t>
      </w:r>
    </w:p>
    <w:p w14:paraId="179CDD8C">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具有质控对有问题的报告进行标注，按照不合格报告的定义，在诊断质控界面界定报告不合格的原因，手动书写质控意见和原因备注。质控完成后生成质控报告。</w:t>
      </w:r>
    </w:p>
    <w:p w14:paraId="13C77C52">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具备心电质控功能，包含图像质控、报告质控、综合质控；</w:t>
      </w:r>
    </w:p>
    <w:p w14:paraId="31957C8D">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图像质控：支持对心电波形图像是否良好、是否存在干扰及导联错接情况进行质控；</w:t>
      </w:r>
    </w:p>
    <w:p w14:paraId="3B34D98B">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支持对报告诊断的规范与否，是否误诊断进行报告质量的质控；</w:t>
      </w:r>
    </w:p>
    <w:p w14:paraId="6ABD7EFB">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综合质控：支持图像质控与报告质量双重质控，全面评价心电图像采集与诊断的质量；</w:t>
      </w:r>
    </w:p>
    <w:p w14:paraId="684D9476">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w:t>
      </w:r>
    </w:p>
    <w:p w14:paraId="2B9FA4AE">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 xml:space="preserve">支持对所有质控报告进行统一列表管理，并显示质控不合格原因； </w:t>
      </w:r>
    </w:p>
    <w:p w14:paraId="371C40F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区域心电BI展示</w:t>
      </w:r>
    </w:p>
    <w:p w14:paraId="10BA3C7A">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基于大屏显示的心电数据BI展示平台，提供包括检查量趋势、工作量、检查机构排名、异常类疾病排名、诊断医生排名、报告时效质控、诊断分布、诊断分级等丰富全面的图表及仪表盘样式，为管理人员提供有效的管理工具。</w:t>
      </w:r>
    </w:p>
    <w:p w14:paraId="63144BCE">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利用心电数据BI展示平台，通过区域内心电检查、诊断、资源分布、等数据的分析挖掘，对区域内的业务资源进行精准定向指导和调整优化。</w:t>
      </w:r>
    </w:p>
    <w:p w14:paraId="02DC4AD8">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利用心电数据BI展示平台动态显示医院信息、医生信息、报告信息、会诊信息，直观反映区域心电业务整体情况。</w:t>
      </w:r>
    </w:p>
    <w:p w14:paraId="345ABEC0">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支持地理信息系统展示，通过地图全方位展现区域内的医疗机构的运行情况。</w:t>
      </w:r>
    </w:p>
    <w:p w14:paraId="24F803D9">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通过对区域内的心电检查结果的统计分析，实现对区域内流行病或其他突发事件的监控。</w:t>
      </w:r>
    </w:p>
    <w:p w14:paraId="268AD27F">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平台支持直观的读取与浏览各种图表，具备在线多维分析数据与交互式动态报表展现，同时展示内容可根据用户需求定制。</w:t>
      </w:r>
    </w:p>
    <w:p w14:paraId="3E3528FE">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支持接入机构数量及详细机构名单及地图展示，方便直观浏览</w:t>
      </w:r>
      <w:r>
        <w:rPr>
          <w:rFonts w:hint="eastAsia" w:ascii="宋体" w:hAnsi="宋体" w:eastAsia="宋体" w:cs="宋体"/>
          <w:color w:val="auto"/>
          <w:sz w:val="24"/>
          <w:szCs w:val="24"/>
          <w:highlight w:val="yellow"/>
          <w:lang w:val="en-US" w:eastAsia="zh-CN"/>
        </w:rPr>
        <w:t>心电融合管理平台</w:t>
      </w:r>
      <w:r>
        <w:rPr>
          <w:rFonts w:hint="eastAsia" w:ascii="宋体" w:hAnsi="宋体" w:eastAsia="宋体" w:cs="宋体"/>
          <w:color w:val="auto"/>
          <w:sz w:val="24"/>
          <w:szCs w:val="24"/>
          <w:highlight w:val="yellow"/>
        </w:rPr>
        <w:t>覆盖范围。</w:t>
      </w:r>
    </w:p>
    <w:p w14:paraId="054887A9">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支持按年、按月对医生诊断量、检查机构上传量进行排名展示。</w:t>
      </w:r>
    </w:p>
    <w:p w14:paraId="48CB8154">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支持月度业务时效分析展示，可直观展示医生的审核用时、报告用时，方便科室内质控管理，有效提升报告诊断效率。</w:t>
      </w:r>
    </w:p>
    <w:p w14:paraId="4C27F65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心电诊断中心</w:t>
      </w:r>
    </w:p>
    <w:p w14:paraId="282B789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支持将静息心电、动态心电、动态血压、电生理检查多种不同类型的检查项目融合到一套系统中分析诊断；</w:t>
      </w:r>
    </w:p>
    <w:p w14:paraId="787AEC95">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依托</w:t>
      </w:r>
      <w:r>
        <w:rPr>
          <w:rFonts w:hint="eastAsia" w:ascii="宋体" w:hAnsi="宋体" w:eastAsia="宋体" w:cs="宋体"/>
          <w:color w:val="auto"/>
          <w:sz w:val="24"/>
          <w:szCs w:val="24"/>
          <w:highlight w:val="yellow"/>
          <w:lang w:val="en-US" w:eastAsia="zh-CN"/>
        </w:rPr>
        <w:t>县</w:t>
      </w:r>
      <w:r>
        <w:rPr>
          <w:rFonts w:hint="eastAsia" w:ascii="宋体" w:hAnsi="宋体" w:eastAsia="宋体" w:cs="宋体"/>
          <w:color w:val="auto"/>
          <w:sz w:val="24"/>
          <w:szCs w:val="24"/>
          <w:highlight w:val="yellow"/>
        </w:rPr>
        <w:t>医院建立诊断中心，在诊断中心内部实现心电检查流程的优化，向下实现对下级医院提供心电诊断服务，向上实现心电检查数据在区域内的数据集中和共享；</w:t>
      </w:r>
    </w:p>
    <w:p w14:paraId="1880949E">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 xml:space="preserve">建设专家会诊平台，在心电诊断中心疑难的病历，可以通过平台的专家诊断服务，实现区域内的心电专家会诊，专家会诊支持智能终端，实现移动远程诊断； </w:t>
      </w:r>
    </w:p>
    <w:p w14:paraId="182C944E">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支持会诊流程管理，通过机构与权责配置，重新组合检查机构和检查医生，实现医生的工作量动态平衡，实现医疗资源的优化整合；</w:t>
      </w:r>
    </w:p>
    <w:p w14:paraId="71AFD65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区域诊断中心支持查看全局的检查工作量，统计分析医生、诊断组、检查机构的工作量分布，实时监控各个诊断组的当天工作量和即时工作量以及每个医生的平均工作量；</w:t>
      </w:r>
    </w:p>
    <w:p w14:paraId="3A318CB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静息心电分析</w:t>
      </w:r>
    </w:p>
    <w:p w14:paraId="430DE363">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具备新会诊病历到达提醒、会诊病历到达提醒及会诊病历返回提醒功能，并支持设置是否提醒、声音提醒开启时间设置及提醒方式的设置；</w:t>
      </w:r>
    </w:p>
    <w:p w14:paraId="373B282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接收到远程诊断申请后，系统具有智能后台预分析，对于系统已经判断出存在危险情况的病人自动标明危急；</w:t>
      </w:r>
    </w:p>
    <w:p w14:paraId="2C36744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具有诊断医生对不符合要求的图谱进行退回、加采、 重采等操作；并具有对退回、加采和重采的报告加注原因。</w:t>
      </w:r>
    </w:p>
    <w:p w14:paraId="03ED89F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具备对异常测量参数标红显示，同时支持每一个分析测量值进行手动修改；</w:t>
      </w:r>
    </w:p>
    <w:p w14:paraId="3B4C539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支持原始采集的心电波形进行重分析；</w:t>
      </w:r>
    </w:p>
    <w:p w14:paraId="19471DB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支持对原始采集的心电波形进行重新调整滤波设置，可设置滤波包括：25、35、45、75、100、150、无；</w:t>
      </w:r>
    </w:p>
    <w:p w14:paraId="43F9833E">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电子标尺功能：支持一次拖动测量框，可一次性得到“时间差”、“心率”、“幅值差”的测量值。</w:t>
      </w:r>
    </w:p>
    <w:p w14:paraId="7BBC2612">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直角尺测量功能，模拟直角尺工具，横向、纵向匀有刻度，横向可测量时间差并折算心率值、纵向可测量幅值差，使用鼠标右键点击直角尺横、纵向，可自动测量出数值。</w:t>
      </w:r>
    </w:p>
    <w:p w14:paraId="0E5BB20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平行尺功能：等距标尺可对间期倍数快速测量；对于波形重叠的心电图，支持重新排列以方便测量分析，测量精度达毫秒/微伏级；</w:t>
      </w:r>
    </w:p>
    <w:p w14:paraId="7AD2386C">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心拍放大分析功能：支持任意心搏单击放大分析，可对每个P、Q、T测量点进行手动微调，使测量结果更加精准；每个单击放大QRS波群测量参数不少于25种，并且支持12导波形叠加对比；</w:t>
      </w:r>
    </w:p>
    <w:p w14:paraId="1C1B6E63">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支持同一个患者多次心电图对比</w:t>
      </w:r>
    </w:p>
    <w:p w14:paraId="0B836528">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具备导联纠错功能：在肢体导联接反或胸导联接错的情况下，可以通过软件直接修正，无需重复采集。</w:t>
      </w:r>
    </w:p>
    <w:p w14:paraId="0BCED11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 xml:space="preserve">提供复合波与选中心搏两种分析模式，医生可根据波形情况在分析诊断界面手动选择不同的分析模式，保证心电诊断的准确性； </w:t>
      </w:r>
    </w:p>
    <w:p w14:paraId="77BD029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 xml:space="preserve">具备AF房颤分析功能，医生可在分析诊断界面手动开启或取消房颤分析； </w:t>
      </w:r>
    </w:p>
    <w:p w14:paraId="2C799434">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支持胸痛加急功能，诊断界面有胸痛加急按钮，点击之后有胸痛加急的提示弹窗并可将检查完成消息推送到手机微信端。</w:t>
      </w:r>
    </w:p>
    <w:p w14:paraId="6A94F8B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提供标准的心电图诊断词条，辅助医生快速进行报告编辑，在编辑过程中支持词条模糊查询及 词条与测值的联动。</w:t>
      </w:r>
    </w:p>
    <w:p w14:paraId="746D046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支持频谱心电、高频心电、QT 离散度、心电向量、心室晚电位、心率变异等分析功能</w:t>
      </w:r>
    </w:p>
    <w:p w14:paraId="5AE0E740">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具备详细参数矩阵，不少于200种测量参数值；</w:t>
      </w:r>
    </w:p>
    <w:p w14:paraId="05732DE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支持导联标识等特殊字符快速输入功能，方便医生快速书写诊断结论；</w:t>
      </w:r>
    </w:p>
    <w:p w14:paraId="77675B05">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提供丰富的报告诊断库，避免过多的键盘输入</w:t>
      </w:r>
    </w:p>
    <w:p w14:paraId="675DE58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具备微信分享功能，可在进行心电图诊断分析时直接将该份病历的原始心电波形分享至微信群或专家微信，并支持在微信端打开心电原始波形，进行走纸速度、灵敏度、显示模式的调整，及查看心电报告；</w:t>
      </w:r>
    </w:p>
    <w:p w14:paraId="07672218">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具有空间心向量环动态回放功能，可播放、暂停、停止、速度倍数调整、回放模式选择，</w:t>
      </w:r>
    </w:p>
    <w:p w14:paraId="28A57D84">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具有心电测量值不合理报警显示功能，可设置不同测量值的不合理值范围，并在回放界面以突出方式清晰显示并弹窗预警</w:t>
      </w:r>
      <w:r>
        <w:rPr>
          <w:rFonts w:hint="eastAsia" w:ascii="宋体" w:hAnsi="宋体" w:eastAsia="宋体" w:cs="宋体"/>
          <w:color w:val="auto"/>
          <w:sz w:val="24"/>
          <w:szCs w:val="24"/>
          <w:highlight w:val="yellow"/>
          <w:lang w:eastAsia="zh-CN"/>
        </w:rPr>
        <w:t>。</w:t>
      </w:r>
    </w:p>
    <w:p w14:paraId="09927DB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具有心电报告敏感词预警功能，可为不同检查项目、不同性别设置不同敏感词，当符合条件敏感词出现，系统自动弹窗预警</w:t>
      </w:r>
      <w:r>
        <w:rPr>
          <w:rFonts w:hint="eastAsia" w:ascii="宋体" w:hAnsi="宋体" w:eastAsia="宋体" w:cs="宋体"/>
          <w:color w:val="auto"/>
          <w:sz w:val="24"/>
          <w:szCs w:val="24"/>
          <w:highlight w:val="yellow"/>
          <w:lang w:eastAsia="zh-CN"/>
        </w:rPr>
        <w:t>。</w:t>
      </w:r>
    </w:p>
    <w:p w14:paraId="7FEBEBBF">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cs="宋体"/>
          <w:color w:val="auto"/>
          <w:sz w:val="24"/>
          <w:szCs w:val="24"/>
          <w:highlight w:val="yellow"/>
          <w:lang w:val="en-US" w:eastAsia="zh-CN"/>
        </w:rPr>
        <w:t>具备分析值参数矩阵，分析值数量不少180种，且分析矩阵可导出为execl。</w:t>
      </w:r>
    </w:p>
    <w:p w14:paraId="05ED937D">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动态心电分析</w:t>
      </w:r>
    </w:p>
    <w:p w14:paraId="4C774579">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支持记录和采集24小时内的人体十二导联心电信号，并对记录和采集的数据进行存储，通过计算机软件系统，对数据进行读取、病例填写、显示、回放、分析、查看和打印。</w:t>
      </w:r>
    </w:p>
    <w:p w14:paraId="5FFDA85B">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分析工具自由组合：提供多种分析工具，包括K线图、直方图、散点图、栅状图、事件图、波形全览图等。使用者根据自身习惯灵活设置、自由组合分析工具栏。</w:t>
      </w:r>
    </w:p>
    <w:p w14:paraId="5CE5ABAB">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差分栅状图功能：快速捕捉及定位偶发心率失常；</w:t>
      </w:r>
    </w:p>
    <w:p w14:paraId="6B72E56E">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具有时间散点图、小时散点图、Lorenz散点图、差值散点图、四象限散点图五项散点图功能；</w:t>
      </w:r>
    </w:p>
    <w:p w14:paraId="68EFF46E">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阵发性房颤、房扑快速定位分析：基于时间散点图和小时时间散点图，快速的定位房颤、房扑发生的位置以及起始结束时间。</w:t>
      </w:r>
    </w:p>
    <w:p w14:paraId="2ACFD468">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睡眠分析、运动、体位分析：记录睡眠时呼吸波以及运动、体位的测量数据，与心电图综合分析会诊。</w:t>
      </w:r>
    </w:p>
    <w:p w14:paraId="223BA8C9">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具备起搏分析通道，无需勾选起搏器类型，可自动检测起搏脉冲信号。</w:t>
      </w:r>
    </w:p>
    <w:p w14:paraId="5B832A71">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cs="宋体"/>
          <w:color w:val="auto"/>
          <w:sz w:val="24"/>
          <w:szCs w:val="24"/>
          <w:highlight w:val="yellow"/>
          <w:lang w:val="en-US" w:eastAsia="zh-CN"/>
        </w:rPr>
        <w:t>支持不同厂家动态心电、血压设备原始数据集成，不少于10种。</w:t>
      </w:r>
    </w:p>
    <w:p w14:paraId="366E6CAC">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val="en-US" w:eastAsia="zh-CN"/>
        </w:rPr>
        <w:t>具备动态心电、血压设备管理模块，可用于统计每天动态心电检查模块，统计模块中可清晰查阅动态盒子使用状态。</w:t>
      </w:r>
    </w:p>
    <w:p w14:paraId="7AE91C03">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val="en-US" w:eastAsia="zh-CN"/>
        </w:rPr>
        <w:t>具备设备维修模块：可以详细显示设备得故障原因、维修时间、维修人等信息。</w:t>
      </w:r>
    </w:p>
    <w:p w14:paraId="49D3206C">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危急值闭环管理</w:t>
      </w:r>
    </w:p>
    <w:p w14:paraId="3962B4B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rPr>
        <w:t>具备自动诊断、自动预警功能，一方面辅助医生快速分析诊断，同时对危急值进行自动预警；</w:t>
      </w:r>
    </w:p>
    <w:p w14:paraId="0BF6891E">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rPr>
        <w:t>支持医生可全选或自由选择自动诊断词条内容，一键录入报告结论框内</w:t>
      </w:r>
      <w:r>
        <w:rPr>
          <w:rFonts w:hint="eastAsia" w:ascii="宋体" w:hAnsi="宋体" w:eastAsia="宋体" w:cs="宋体"/>
          <w:color w:val="auto"/>
          <w:sz w:val="24"/>
          <w:szCs w:val="24"/>
          <w:highlight w:val="yellow"/>
          <w:lang w:eastAsia="zh-CN"/>
        </w:rPr>
        <w:t>；</w:t>
      </w:r>
    </w:p>
    <w:p w14:paraId="79709264">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具备危急值预警功能，支持后台智能预分析技术，根据危急值标准自动判断危急病历，并进行危急预警提醒；</w:t>
      </w:r>
    </w:p>
    <w:p w14:paraId="3D62B63C">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支持危急值自动预警级别的设置，用户可自定义设置危急值预警级别；</w:t>
      </w:r>
    </w:p>
    <w:p w14:paraId="0CBBC591">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支持危急值项目、危急值字典维护功能，用户可根据医院现行的危急值标准进行自定义维护，并对危急值内容进行新增、修改、删除；</w:t>
      </w:r>
    </w:p>
    <w:p w14:paraId="6E71E90F">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支持后台自动分析，对于系统已经判断出存在危险情况的病人标明危急，即时在心</w:t>
      </w:r>
      <w:r>
        <w:rPr>
          <w:rFonts w:hint="eastAsia" w:ascii="宋体" w:hAnsi="宋体" w:eastAsia="宋体" w:cs="宋体"/>
          <w:color w:val="auto"/>
          <w:sz w:val="24"/>
          <w:szCs w:val="24"/>
          <w:highlight w:val="yellow"/>
          <w:lang w:val="en-US" w:eastAsia="zh-CN"/>
        </w:rPr>
        <w:t>电</w:t>
      </w:r>
      <w:r>
        <w:rPr>
          <w:rFonts w:hint="eastAsia" w:ascii="宋体" w:hAnsi="宋体" w:eastAsia="宋体" w:cs="宋体"/>
          <w:color w:val="auto"/>
          <w:sz w:val="24"/>
          <w:szCs w:val="24"/>
          <w:highlight w:val="yellow"/>
        </w:rPr>
        <w:t>诊断客户端发出提醒，以特殊颜色</w:t>
      </w:r>
      <w:r>
        <w:rPr>
          <w:rFonts w:hint="eastAsia" w:ascii="宋体" w:hAnsi="宋体" w:eastAsia="宋体" w:cs="宋体"/>
          <w:color w:val="auto"/>
          <w:sz w:val="24"/>
          <w:szCs w:val="24"/>
          <w:highlight w:val="yellow"/>
          <w:lang w:val="en-US" w:eastAsia="zh-CN"/>
        </w:rPr>
        <w:t>标识</w:t>
      </w:r>
      <w:r>
        <w:rPr>
          <w:rFonts w:hint="eastAsia" w:ascii="宋体" w:hAnsi="宋体" w:eastAsia="宋体" w:cs="宋体"/>
          <w:color w:val="auto"/>
          <w:sz w:val="24"/>
          <w:szCs w:val="24"/>
          <w:highlight w:val="yellow"/>
        </w:rPr>
        <w:t>显示在病例列表上方。</w:t>
      </w:r>
    </w:p>
    <w:p w14:paraId="75F7CFE0">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对于心电诊断客户端已确诊危急病人，支持将相应病人检查信息、检查结论自动发送至病房医生工作站或护士工作站，有相应弹窗、声音提示，从而提醒医护人员进行相关危急处理。</w:t>
      </w:r>
    </w:p>
    <w:p w14:paraId="2EE4B5D4">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支持对所有报危急值的病历进行统一列表管理功能，</w:t>
      </w:r>
      <w:r>
        <w:rPr>
          <w:rFonts w:hint="eastAsia" w:ascii="宋体" w:hAnsi="宋体" w:eastAsia="宋体" w:cs="宋体"/>
          <w:color w:val="auto"/>
          <w:sz w:val="24"/>
          <w:szCs w:val="24"/>
          <w:highlight w:val="yellow"/>
          <w:lang w:val="en-US" w:eastAsia="zh-CN"/>
        </w:rPr>
        <w:t>可显示危急值病例的处理状态及危急值内容，</w:t>
      </w:r>
      <w:r>
        <w:rPr>
          <w:rFonts w:hint="eastAsia" w:ascii="宋体" w:hAnsi="宋体" w:eastAsia="宋体" w:cs="宋体"/>
          <w:color w:val="auto"/>
          <w:sz w:val="24"/>
          <w:szCs w:val="24"/>
          <w:highlight w:val="yellow"/>
        </w:rPr>
        <w:t>且支持与医院的危急值平台集成，同步显示临床科室处理意见、临床科室处理人、处理时间以及临床最终确认是否为危急值，实现危急值的全流程闭环管理。</w:t>
      </w:r>
    </w:p>
    <w:p w14:paraId="14C31A90">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心电移动诊断</w:t>
      </w:r>
    </w:p>
    <w:p w14:paraId="374BA91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移动会诊支持手机端 H5、微信公众号等多种方式实现原始心电图数据的查看，支持 Android 和 iOS 系统等各种品牌终端，满足出差、居家等不同场景下的远程会诊需求</w:t>
      </w:r>
    </w:p>
    <w:p w14:paraId="7E0411D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支持患者列表显示患者信息、报告状态，支持心电波形显示模式调整、波形放大、走纸增益调整、电子标尺测量等心电图分析功能；</w:t>
      </w:r>
    </w:p>
    <w:p w14:paraId="41D68C4C">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支持使用报告助手快速编辑心电图报告功能，报告助手内容可根据需求进行自定义编辑；</w:t>
      </w:r>
    </w:p>
    <w:p w14:paraId="58A72BC7">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报告结果可与客户端实时同步；</w:t>
      </w:r>
    </w:p>
    <w:p w14:paraId="1B5573A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系统支持将心电数据通过网络分享到微信群或者专家的微信，寻求技术指导或典型数据分享。</w:t>
      </w:r>
    </w:p>
    <w:p w14:paraId="4C124B06">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区域WEB发布</w:t>
      </w:r>
    </w:p>
    <w:p w14:paraId="6A25AB80">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支持嵌入居民健康档案、政府网站、门诊医生站、住院电子病历系统等；</w:t>
      </w:r>
    </w:p>
    <w:p w14:paraId="4D3AAECE">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当心电图专业医生确认检查报告后，在医院的医生工作站上就可以浏览到具有查看权限的心电图结论，心电波形和打印带网格的心电图报告；</w:t>
      </w:r>
    </w:p>
    <w:p w14:paraId="74EE0EA8">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支持通过检查科室、受检者来源、检查时间、受检者标识、受检者姓名快速检索报告。</w:t>
      </w:r>
    </w:p>
    <w:p w14:paraId="52C7B163">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WEB浏览无需安装控件，可查看原始数据，支持全院数据共享；</w:t>
      </w:r>
    </w:p>
    <w:p w14:paraId="5965FBF5">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为实现临床的报告查询与共享，要求提供临床WEB发布管理系统计算机软件著作权登记证书的复印件证明。</w:t>
      </w:r>
    </w:p>
    <w:p w14:paraId="79A983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2、心电设备</w:t>
      </w:r>
    </w:p>
    <w:p w14:paraId="3821729D">
      <w:pPr>
        <w:keepNext w:val="0"/>
        <w:keepLines w:val="0"/>
        <w:pageBreakBefore w:val="0"/>
        <w:numPr>
          <w:ilvl w:val="1"/>
          <w:numId w:val="23"/>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心电采集设备</w:t>
      </w:r>
    </w:p>
    <w:p w14:paraId="1C58A40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设备小巧轻便</w:t>
      </w:r>
      <w:r>
        <w:rPr>
          <w:rFonts w:hint="eastAsia" w:ascii="宋体" w:hAnsi="宋体" w:eastAsia="宋体" w:cs="宋体"/>
          <w:color w:val="auto"/>
          <w:sz w:val="24"/>
          <w:szCs w:val="24"/>
          <w:highlight w:val="yellow"/>
          <w:lang w:val="en-US" w:eastAsia="zh-CN"/>
        </w:rPr>
        <w:t>，方便基层、村医出诊使用</w:t>
      </w:r>
      <w:r>
        <w:rPr>
          <w:rFonts w:hint="eastAsia" w:ascii="宋体" w:hAnsi="宋体" w:eastAsia="宋体" w:cs="宋体"/>
          <w:color w:val="auto"/>
          <w:sz w:val="24"/>
          <w:szCs w:val="24"/>
          <w:highlight w:val="yellow"/>
        </w:rPr>
        <w:t>；</w:t>
      </w:r>
    </w:p>
    <w:p w14:paraId="7DC4BD2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为了方便操作和使用要求支持无线采集；</w:t>
      </w:r>
    </w:p>
    <w:p w14:paraId="3F113CC1">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数据传输方式同时支持WIFI、4G/5G网络传输；</w:t>
      </w:r>
    </w:p>
    <w:p w14:paraId="647CDB3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心电图采集模式： 支持12导同步采集同时具备12导模拟输出18导功能；</w:t>
      </w:r>
    </w:p>
    <w:p w14:paraId="740044B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频率和脉冲响应范围：0.05-500Hz；</w:t>
      </w:r>
    </w:p>
    <w:p w14:paraId="3124768B">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共模抑制比：≥100dB；</w:t>
      </w:r>
    </w:p>
    <w:p w14:paraId="4EF2A178">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耐极化电压：≥±980mV；</w:t>
      </w:r>
    </w:p>
    <w:p w14:paraId="02056AD3">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输入回路电流：≤0.1μA；</w:t>
      </w:r>
    </w:p>
    <w:p w14:paraId="1C63D5F7">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时间常数：≥3.2s；</w:t>
      </w:r>
    </w:p>
    <w:p w14:paraId="6AD91A1A">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定标电压：≤1mV±1%；</w:t>
      </w:r>
    </w:p>
    <w:p w14:paraId="28665D4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标准灵敏度：10mm/mV+5%；</w:t>
      </w:r>
    </w:p>
    <w:p w14:paraId="125D88A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灵敏度转换误差：由10mm/mV转换为5 mm/mV、20mm/mV时，转换误差≤+5%；</w:t>
      </w:r>
    </w:p>
    <w:p w14:paraId="2C3555F7">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抗干扰滤波：具有交流滤波、肌电滤波、基线滤波；</w:t>
      </w:r>
    </w:p>
    <w:p w14:paraId="1EDFD0A9">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显示屏≥10英寸，支持多点触控操作；</w:t>
      </w:r>
    </w:p>
    <w:p w14:paraId="31A335F6">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提供用户名/工号+密码、扫二维码、急诊登录等多种登录模式，同时支持系统设置显示或不显示登录界面；</w:t>
      </w:r>
    </w:p>
    <w:p w14:paraId="70ABF61B">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具备导联连接示意图；</w:t>
      </w:r>
    </w:p>
    <w:p w14:paraId="467DC686">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b w:val="0"/>
          <w:bCs w:val="0"/>
          <w:color w:val="auto"/>
          <w:sz w:val="24"/>
          <w:szCs w:val="24"/>
          <w:highlight w:val="yellow"/>
        </w:rPr>
      </w:pPr>
      <w:r>
        <w:rPr>
          <w:rFonts w:hint="eastAsia" w:ascii="宋体" w:hAnsi="宋体" w:eastAsia="宋体" w:cs="宋体"/>
          <w:b w:val="0"/>
          <w:bCs w:val="0"/>
          <w:color w:val="auto"/>
          <w:sz w:val="24"/>
          <w:szCs w:val="24"/>
          <w:highlight w:val="yellow"/>
        </w:rPr>
        <w:t>具备下载诊断中心诊断报告到心电图机回放查看；</w:t>
      </w:r>
    </w:p>
    <w:p w14:paraId="1697CC42">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智能操作系统，可远程自动更新升级；</w:t>
      </w:r>
    </w:p>
    <w:p w14:paraId="707B5EA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具备WORKLIST及批量下载预约记录功能，并待检查列表显示，列表应包含检查姓名、性别、年龄等信息；</w:t>
      </w:r>
    </w:p>
    <w:p w14:paraId="722C66F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消息实时提醒功能，如危急报告提醒、诊断退回提醒、导联纠错提醒、诊断完成提醒；</w:t>
      </w:r>
    </w:p>
    <w:p w14:paraId="1B59D51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yellow"/>
        </w:rPr>
      </w:pP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rPr>
        <w:t>具备危急值管理功能，</w:t>
      </w:r>
    </w:p>
    <w:p w14:paraId="2A08C22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b w:val="0"/>
          <w:bCs w:val="0"/>
          <w:color w:val="auto"/>
          <w:sz w:val="24"/>
          <w:szCs w:val="24"/>
          <w:highlight w:val="yellow"/>
        </w:rPr>
      </w:pPr>
      <w:r>
        <w:rPr>
          <w:rFonts w:hint="eastAsia" w:ascii="宋体" w:hAnsi="宋体" w:eastAsia="宋体" w:cs="宋体"/>
          <w:color w:val="auto"/>
          <w:sz w:val="24"/>
          <w:szCs w:val="24"/>
          <w:highlight w:val="yellow"/>
        </w:rPr>
        <w:t>具备转胸痛功能，经心电图检查后，如诊断为胸痛患者，可在心电检查设备直接对患者“转胸痛”，患者进入胸痛系统，建立胸痛档案。</w:t>
      </w:r>
    </w:p>
    <w:p w14:paraId="283B1EA1">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both"/>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系统</w:t>
      </w:r>
      <w:r>
        <w:rPr>
          <w:rFonts w:hint="eastAsia" w:ascii="宋体" w:hAnsi="宋体" w:eastAsia="宋体" w:cs="宋体"/>
          <w:b/>
          <w:bCs/>
          <w:color w:val="auto"/>
          <w:sz w:val="24"/>
          <w:szCs w:val="24"/>
          <w:highlight w:val="yellow"/>
          <w:lang w:val="en-US" w:eastAsia="zh-CN"/>
        </w:rPr>
        <w:t>互联互通、接口集成要求</w:t>
      </w:r>
    </w:p>
    <w:p w14:paraId="7B8E82CE">
      <w:pPr>
        <w:keepNext w:val="0"/>
        <w:keepLines w:val="0"/>
        <w:pageBreakBefore w:val="0"/>
        <w:widowControl w:val="0"/>
        <w:numPr>
          <w:ilvl w:val="0"/>
          <w:numId w:val="26"/>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eastAsia="zh-CN"/>
        </w:rPr>
        <w:t>、</w:t>
      </w:r>
      <w:r>
        <w:rPr>
          <w:rFonts w:hint="eastAsia" w:ascii="宋体" w:hAnsi="宋体" w:eastAsia="宋体" w:cs="宋体"/>
          <w:b w:val="0"/>
          <w:bCs w:val="0"/>
          <w:color w:val="auto"/>
          <w:sz w:val="24"/>
          <w:szCs w:val="24"/>
          <w:highlight w:val="yellow"/>
        </w:rPr>
        <w:t>依托现有资源，实现县乡村</w:t>
      </w:r>
      <w:r>
        <w:rPr>
          <w:rFonts w:hint="eastAsia" w:ascii="宋体" w:hAnsi="宋体" w:eastAsia="宋体" w:cs="宋体"/>
          <w:b w:val="0"/>
          <w:bCs w:val="0"/>
          <w:color w:val="auto"/>
          <w:sz w:val="24"/>
          <w:szCs w:val="24"/>
          <w:highlight w:val="yellow"/>
          <w:lang w:eastAsia="zh-CN"/>
        </w:rPr>
        <w:t>心电数据互通。</w:t>
      </w:r>
      <w:r>
        <w:rPr>
          <w:rFonts w:hint="eastAsia" w:ascii="宋体" w:hAnsi="宋体" w:eastAsia="宋体" w:cs="宋体"/>
          <w:b w:val="0"/>
          <w:bCs w:val="0"/>
          <w:color w:val="auto"/>
          <w:sz w:val="24"/>
          <w:szCs w:val="24"/>
          <w:highlight w:val="yellow"/>
          <w:lang w:val="en-US" w:eastAsia="zh-CN"/>
        </w:rPr>
        <w:t>村级心电数据与</w:t>
      </w:r>
      <w:r>
        <w:rPr>
          <w:rFonts w:hint="eastAsia" w:ascii="宋体" w:hAnsi="宋体" w:cs="宋体"/>
          <w:b w:val="0"/>
          <w:bCs w:val="0"/>
          <w:color w:val="auto"/>
          <w:sz w:val="24"/>
          <w:szCs w:val="24"/>
          <w:highlight w:val="yellow"/>
          <w:lang w:val="en-US" w:eastAsia="zh-CN"/>
        </w:rPr>
        <w:t>呼图壁</w:t>
      </w:r>
      <w:r>
        <w:rPr>
          <w:rFonts w:hint="eastAsia" w:ascii="宋体" w:hAnsi="宋体" w:eastAsia="宋体" w:cs="宋体"/>
          <w:b w:val="0"/>
          <w:bCs w:val="0"/>
          <w:color w:val="auto"/>
          <w:sz w:val="24"/>
          <w:szCs w:val="24"/>
          <w:highlight w:val="yellow"/>
          <w:lang w:val="en-US" w:eastAsia="zh-CN"/>
        </w:rPr>
        <w:t>县总医院</w:t>
      </w:r>
      <w:r>
        <w:rPr>
          <w:rFonts w:hint="eastAsia" w:ascii="宋体" w:hAnsi="宋体" w:cs="宋体"/>
          <w:b w:val="0"/>
          <w:bCs w:val="0"/>
          <w:color w:val="auto"/>
          <w:sz w:val="24"/>
          <w:szCs w:val="24"/>
          <w:highlight w:val="yellow"/>
          <w:lang w:val="en-US" w:eastAsia="zh-CN"/>
        </w:rPr>
        <w:t>与</w:t>
      </w:r>
      <w:r>
        <w:rPr>
          <w:rFonts w:hint="eastAsia" w:ascii="宋体" w:hAnsi="宋体" w:eastAsia="宋体" w:cs="宋体"/>
          <w:b w:val="0"/>
          <w:bCs w:val="0"/>
          <w:color w:val="auto"/>
          <w:sz w:val="24"/>
          <w:szCs w:val="24"/>
          <w:highlight w:val="yellow"/>
          <w:lang w:val="en-US" w:eastAsia="zh-CN"/>
        </w:rPr>
        <w:t>各乡镇卫生院心电诊断中心数据交互。</w:t>
      </w:r>
    </w:p>
    <w:p w14:paraId="0D49E50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2）、</w:t>
      </w:r>
      <w:r>
        <w:rPr>
          <w:rFonts w:hint="eastAsia" w:ascii="宋体" w:hAnsi="宋体" w:cs="宋体"/>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村卫生室心电数据和昌吉健康云平台数据进行交互，</w:t>
      </w:r>
      <w:r>
        <w:rPr>
          <w:rFonts w:hint="eastAsia" w:ascii="宋体" w:hAnsi="宋体" w:eastAsia="宋体" w:cs="宋体"/>
          <w:b w:val="0"/>
          <w:bCs w:val="0"/>
          <w:color w:val="auto"/>
          <w:sz w:val="24"/>
          <w:szCs w:val="24"/>
          <w:highlight w:val="yellow"/>
        </w:rPr>
        <w:t>医疗机构和患者能够查到心电图图形和诊断报告</w:t>
      </w:r>
      <w:r>
        <w:rPr>
          <w:rFonts w:hint="eastAsia" w:ascii="宋体" w:hAnsi="宋体" w:eastAsia="宋体" w:cs="宋体"/>
          <w:b w:val="0"/>
          <w:bCs w:val="0"/>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提供接入协议、项目合同或集成完成证明，所有相关接口费用由中标商承担）。</w:t>
      </w:r>
    </w:p>
    <w:p w14:paraId="40835BC8">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3）、</w:t>
      </w:r>
      <w:r>
        <w:rPr>
          <w:rFonts w:hint="eastAsia" w:ascii="宋体" w:hAnsi="宋体" w:cs="宋体"/>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村卫生室检查信息、患者信息、检查结果需与冠新基层公卫、全名体检系统互通，实现患者信息、检查信息及检查结果得交互（提供接入协议、项目合同或集成完成证明，涉及所有相关接口费用由中标商承担）。</w:t>
      </w:r>
    </w:p>
    <w:p w14:paraId="07CEA842">
      <w:pPr>
        <w:rPr>
          <w:color w:val="auto"/>
          <w:highlight w:val="yellow"/>
        </w:rPr>
      </w:pPr>
      <w:r>
        <w:rPr>
          <w:rFonts w:hint="eastAsia" w:ascii="宋体" w:hAnsi="宋体" w:cs="宋体"/>
          <w:b w:val="0"/>
          <w:bCs w:val="0"/>
          <w:color w:val="auto"/>
          <w:sz w:val="24"/>
          <w:szCs w:val="24"/>
          <w:highlight w:val="yellow"/>
          <w:lang w:val="en-US" w:eastAsia="zh-CN"/>
        </w:rPr>
        <w:t>4</w:t>
      </w:r>
      <w:r>
        <w:rPr>
          <w:rFonts w:hint="eastAsia" w:ascii="宋体" w:hAnsi="宋体" w:eastAsia="宋体" w:cs="宋体"/>
          <w:b w:val="0"/>
          <w:bCs w:val="0"/>
          <w:color w:val="auto"/>
          <w:sz w:val="24"/>
          <w:szCs w:val="24"/>
          <w:highlight w:val="yellow"/>
          <w:lang w:val="en-US" w:eastAsia="zh-CN"/>
        </w:rPr>
        <w:t>）、</w:t>
      </w:r>
      <w:r>
        <w:rPr>
          <w:rFonts w:hint="eastAsia" w:ascii="宋体" w:hAnsi="宋体" w:cs="宋体"/>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需要将心电检查数据上报至国家</w:t>
      </w:r>
      <w:r>
        <w:rPr>
          <w:rFonts w:hint="eastAsia" w:ascii="宋体" w:hAnsi="宋体" w:eastAsia="宋体" w:cs="宋体"/>
          <w:color w:val="auto"/>
          <w:sz w:val="24"/>
          <w:szCs w:val="24"/>
          <w:highlight w:val="yellow"/>
          <w:lang w:val="en-US" w:eastAsia="zh-CN"/>
        </w:rPr>
        <w:t>心电融合管理</w:t>
      </w:r>
      <w:r>
        <w:rPr>
          <w:rFonts w:hint="eastAsia" w:ascii="宋体" w:hAnsi="宋体" w:eastAsia="宋体" w:cs="宋体"/>
          <w:b w:val="0"/>
          <w:bCs w:val="0"/>
          <w:color w:val="auto"/>
          <w:sz w:val="24"/>
          <w:szCs w:val="24"/>
          <w:highlight w:val="yellow"/>
          <w:lang w:val="en-US" w:eastAsia="zh-CN"/>
        </w:rPr>
        <w:t>平台，辅助科室完善心电质控中心建设，达到</w:t>
      </w:r>
      <w:r>
        <w:rPr>
          <w:rFonts w:hint="eastAsia" w:ascii="宋体" w:hAnsi="宋体" w:eastAsia="宋体" w:cs="宋体"/>
          <w:color w:val="auto"/>
          <w:sz w:val="24"/>
          <w:szCs w:val="24"/>
          <w:highlight w:val="yellow"/>
          <w:lang w:val="en-US" w:eastAsia="zh-CN"/>
        </w:rPr>
        <w:t>心电融合管理</w:t>
      </w:r>
      <w:r>
        <w:rPr>
          <w:rFonts w:hint="eastAsia" w:ascii="宋体" w:hAnsi="宋体" w:eastAsia="宋体" w:cs="宋体"/>
          <w:b w:val="0"/>
          <w:bCs w:val="0"/>
          <w:color w:val="auto"/>
          <w:sz w:val="24"/>
          <w:szCs w:val="24"/>
          <w:highlight w:val="yellow"/>
          <w:lang w:val="en-US" w:eastAsia="zh-CN"/>
        </w:rPr>
        <w:t>平台质控标准</w:t>
      </w:r>
      <w:r>
        <w:rPr>
          <w:rFonts w:hint="eastAsia" w:ascii="宋体" w:hAnsi="宋体" w:eastAsia="宋体" w:cs="宋体"/>
          <w:b w:val="0"/>
          <w:bCs w:val="0"/>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涉及所有相关接口费用由中标商承担）。</w:t>
      </w:r>
    </w:p>
    <w:p w14:paraId="6955726F">
      <w:pPr>
        <w:pStyle w:val="2"/>
        <w:numPr>
          <w:ilvl w:val="0"/>
          <w:numId w:val="0"/>
        </w:numPr>
        <w:spacing w:line="400" w:lineRule="atLeast"/>
        <w:ind w:leftChars="0"/>
        <w:jc w:val="center"/>
        <w:rPr>
          <w:rFonts w:hint="eastAsia" w:ascii="宋体" w:hAnsi="宋体" w:cs="宋体"/>
          <w:color w:val="auto"/>
          <w:sz w:val="36"/>
          <w:szCs w:val="36"/>
          <w:highlight w:val="yellow"/>
          <w:lang w:val="en-US" w:eastAsia="zh-CN"/>
        </w:rPr>
      </w:pPr>
    </w:p>
    <w:p w14:paraId="664CC442">
      <w:pPr>
        <w:rPr>
          <w:rFonts w:hint="eastAsia" w:ascii="宋体" w:hAnsi="宋体" w:cs="宋体"/>
          <w:color w:val="auto"/>
          <w:sz w:val="36"/>
          <w:szCs w:val="36"/>
          <w:highlight w:val="none"/>
          <w:lang w:val="en-US" w:eastAsia="zh-CN"/>
        </w:rPr>
      </w:pPr>
    </w:p>
    <w:p w14:paraId="4D330A13">
      <w:pPr>
        <w:rPr>
          <w:rFonts w:hint="eastAsia" w:ascii="宋体" w:hAnsi="宋体" w:cs="宋体"/>
          <w:color w:val="auto"/>
          <w:sz w:val="36"/>
          <w:szCs w:val="36"/>
          <w:highlight w:val="none"/>
          <w:lang w:val="en-US" w:eastAsia="zh-CN"/>
        </w:rPr>
      </w:pPr>
    </w:p>
    <w:p w14:paraId="51104E66">
      <w:pPr>
        <w:rPr>
          <w:rFonts w:hint="eastAsia" w:ascii="宋体" w:hAnsi="宋体" w:cs="宋体"/>
          <w:color w:val="auto"/>
          <w:sz w:val="36"/>
          <w:szCs w:val="36"/>
          <w:highlight w:val="none"/>
          <w:lang w:val="en-US" w:eastAsia="zh-CN"/>
        </w:rPr>
      </w:pPr>
    </w:p>
    <w:p w14:paraId="5428F8C6">
      <w:pPr>
        <w:rPr>
          <w:rFonts w:hint="eastAsia" w:ascii="宋体" w:hAnsi="宋体" w:cs="宋体"/>
          <w:color w:val="auto"/>
          <w:sz w:val="36"/>
          <w:szCs w:val="36"/>
          <w:highlight w:val="none"/>
          <w:lang w:val="en-US" w:eastAsia="zh-CN"/>
        </w:rPr>
      </w:pPr>
    </w:p>
    <w:p w14:paraId="6571B352">
      <w:pPr>
        <w:rPr>
          <w:rFonts w:hint="eastAsia" w:ascii="宋体" w:hAnsi="宋体" w:cs="宋体"/>
          <w:color w:val="auto"/>
          <w:sz w:val="36"/>
          <w:szCs w:val="36"/>
          <w:highlight w:val="none"/>
          <w:lang w:val="en-US" w:eastAsia="zh-CN"/>
        </w:rPr>
      </w:pPr>
    </w:p>
    <w:p w14:paraId="5EF2AD79">
      <w:pPr>
        <w:rPr>
          <w:rFonts w:hint="eastAsia" w:ascii="宋体" w:hAnsi="宋体" w:cs="宋体"/>
          <w:color w:val="auto"/>
          <w:sz w:val="36"/>
          <w:szCs w:val="36"/>
          <w:highlight w:val="none"/>
          <w:lang w:val="en-US" w:eastAsia="zh-CN"/>
        </w:rPr>
      </w:pPr>
    </w:p>
    <w:p w14:paraId="6CCE5B04">
      <w:pPr>
        <w:pStyle w:val="2"/>
        <w:numPr>
          <w:ilvl w:val="0"/>
          <w:numId w:val="0"/>
        </w:numPr>
        <w:spacing w:line="400" w:lineRule="atLeast"/>
        <w:ind w:leftChars="0"/>
        <w:jc w:val="center"/>
        <w:rPr>
          <w:rFonts w:hint="eastAsia" w:ascii="宋体" w:hAnsi="宋体" w:eastAsia="宋体" w:cs="宋体"/>
          <w:color w:val="auto"/>
          <w:sz w:val="36"/>
          <w:szCs w:val="36"/>
          <w:highlight w:val="none"/>
        </w:rPr>
      </w:pPr>
      <w:r>
        <w:rPr>
          <w:rFonts w:hint="eastAsia" w:ascii="宋体" w:hAnsi="宋体" w:cs="宋体"/>
          <w:color w:val="auto"/>
          <w:sz w:val="36"/>
          <w:szCs w:val="36"/>
          <w:highlight w:val="none"/>
          <w:lang w:val="en-US" w:eastAsia="zh-CN"/>
        </w:rPr>
        <w:t>第五部分</w:t>
      </w: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合同部分</w:t>
      </w:r>
    </w:p>
    <w:p w14:paraId="58625A8D">
      <w:pPr>
        <w:numPr>
          <w:ilvl w:val="0"/>
          <w:numId w:val="0"/>
        </w:numPr>
        <w:jc w:val="center"/>
        <w:rPr>
          <w:rFonts w:hint="eastAsia"/>
          <w:b w:val="0"/>
          <w:bCs w:val="0"/>
          <w:color w:val="auto"/>
          <w:highlight w:val="none"/>
        </w:rPr>
      </w:pPr>
      <w:r>
        <w:rPr>
          <w:rFonts w:hint="eastAsia" w:ascii="宋体" w:hAnsi="宋体" w:eastAsia="宋体" w:cs="宋体"/>
          <w:b w:val="0"/>
          <w:bCs w:val="0"/>
          <w:color w:val="auto"/>
          <w:sz w:val="28"/>
          <w:szCs w:val="28"/>
          <w:highlight w:val="none"/>
          <w:lang w:val="zh-CN"/>
        </w:rPr>
        <w:t>（</w:t>
      </w:r>
      <w:r>
        <w:rPr>
          <w:rFonts w:hint="eastAsia" w:ascii="宋体" w:hAnsi="宋体" w:eastAsia="宋体" w:cs="宋体"/>
          <w:b w:val="0"/>
          <w:bCs w:val="0"/>
          <w:color w:val="auto"/>
          <w:sz w:val="28"/>
          <w:szCs w:val="28"/>
          <w:highlight w:val="none"/>
          <w:lang w:val="en-US" w:eastAsia="zh-CN"/>
        </w:rPr>
        <w:t>此合同</w:t>
      </w:r>
      <w:r>
        <w:rPr>
          <w:rFonts w:hint="eastAsia" w:ascii="宋体" w:hAnsi="宋体" w:cs="宋体"/>
          <w:b w:val="0"/>
          <w:bCs w:val="0"/>
          <w:color w:val="auto"/>
          <w:sz w:val="28"/>
          <w:szCs w:val="28"/>
          <w:highlight w:val="none"/>
          <w:lang w:val="en-US" w:eastAsia="zh-CN"/>
        </w:rPr>
        <w:t>条款</w:t>
      </w:r>
      <w:r>
        <w:rPr>
          <w:rFonts w:hint="eastAsia" w:ascii="宋体" w:hAnsi="宋体" w:eastAsia="宋体" w:cs="宋体"/>
          <w:b w:val="0"/>
          <w:bCs w:val="0"/>
          <w:color w:val="auto"/>
          <w:sz w:val="28"/>
          <w:szCs w:val="28"/>
          <w:highlight w:val="none"/>
          <w:lang w:val="en-US" w:eastAsia="zh-CN"/>
        </w:rPr>
        <w:t>仅供参考，具体以实际签订为准</w:t>
      </w:r>
      <w:r>
        <w:rPr>
          <w:rFonts w:hint="eastAsia" w:ascii="宋体" w:hAnsi="宋体" w:eastAsia="宋体" w:cs="宋体"/>
          <w:b w:val="0"/>
          <w:bCs w:val="0"/>
          <w:color w:val="auto"/>
          <w:sz w:val="28"/>
          <w:szCs w:val="28"/>
          <w:highlight w:val="none"/>
          <w:lang w:val="zh-CN"/>
        </w:rPr>
        <w:t>）</w:t>
      </w:r>
    </w:p>
    <w:p w14:paraId="01872D5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p>
    <w:p w14:paraId="6CF9780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A2703AB">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一、合同标的、规格、数量、单价 </w:t>
      </w:r>
    </w:p>
    <w:tbl>
      <w:tblPr>
        <w:tblStyle w:val="23"/>
        <w:tblW w:w="10419" w:type="dxa"/>
        <w:jc w:val="center"/>
        <w:tblLayout w:type="fixed"/>
        <w:tblCellMar>
          <w:top w:w="0" w:type="dxa"/>
          <w:left w:w="108" w:type="dxa"/>
          <w:bottom w:w="0" w:type="dxa"/>
          <w:right w:w="108" w:type="dxa"/>
        </w:tblCellMar>
      </w:tblPr>
      <w:tblGrid>
        <w:gridCol w:w="855"/>
        <w:gridCol w:w="1266"/>
        <w:gridCol w:w="851"/>
        <w:gridCol w:w="728"/>
        <w:gridCol w:w="974"/>
        <w:gridCol w:w="850"/>
        <w:gridCol w:w="1559"/>
        <w:gridCol w:w="1276"/>
        <w:gridCol w:w="996"/>
        <w:gridCol w:w="1064"/>
      </w:tblGrid>
      <w:tr w14:paraId="6637A89A">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noWrap w:val="0"/>
            <w:vAlign w:val="center"/>
          </w:tcPr>
          <w:p w14:paraId="6F983B4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项目序号</w:t>
            </w:r>
          </w:p>
        </w:tc>
        <w:tc>
          <w:tcPr>
            <w:tcW w:w="1266" w:type="dxa"/>
            <w:vMerge w:val="restart"/>
            <w:tcBorders>
              <w:top w:val="single" w:color="auto" w:sz="4" w:space="0"/>
              <w:left w:val="single" w:color="auto" w:sz="4" w:space="0"/>
              <w:right w:val="single" w:color="auto" w:sz="4" w:space="0"/>
            </w:tcBorders>
            <w:noWrap w:val="0"/>
            <w:vAlign w:val="center"/>
          </w:tcPr>
          <w:p w14:paraId="038DE7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p w14:paraId="5F64C76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（通用名）</w:t>
            </w:r>
          </w:p>
        </w:tc>
        <w:tc>
          <w:tcPr>
            <w:tcW w:w="851" w:type="dxa"/>
            <w:vMerge w:val="restart"/>
            <w:tcBorders>
              <w:top w:val="single" w:color="auto" w:sz="4" w:space="0"/>
              <w:left w:val="single" w:color="auto" w:sz="4" w:space="0"/>
              <w:right w:val="single" w:color="auto" w:sz="4" w:space="0"/>
            </w:tcBorders>
            <w:noWrap w:val="0"/>
            <w:vAlign w:val="center"/>
          </w:tcPr>
          <w:p w14:paraId="215DB0D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国产/进口</w:t>
            </w:r>
          </w:p>
        </w:tc>
        <w:tc>
          <w:tcPr>
            <w:tcW w:w="728" w:type="dxa"/>
            <w:vMerge w:val="restart"/>
            <w:tcBorders>
              <w:top w:val="single" w:color="auto" w:sz="4" w:space="0"/>
              <w:left w:val="single" w:color="auto" w:sz="4" w:space="0"/>
              <w:right w:val="single" w:color="auto" w:sz="4" w:space="0"/>
            </w:tcBorders>
            <w:noWrap w:val="0"/>
            <w:vAlign w:val="center"/>
          </w:tcPr>
          <w:p w14:paraId="0AF7855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品名型号</w:t>
            </w:r>
          </w:p>
        </w:tc>
        <w:tc>
          <w:tcPr>
            <w:tcW w:w="974" w:type="dxa"/>
            <w:vMerge w:val="restart"/>
            <w:tcBorders>
              <w:top w:val="single" w:color="auto" w:sz="4" w:space="0"/>
              <w:left w:val="single" w:color="auto" w:sz="4" w:space="0"/>
              <w:right w:val="single" w:color="auto" w:sz="4" w:space="0"/>
            </w:tcBorders>
            <w:noWrap w:val="0"/>
            <w:vAlign w:val="center"/>
          </w:tcPr>
          <w:p w14:paraId="74A7B3D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 数</w:t>
            </w:r>
          </w:p>
        </w:tc>
        <w:tc>
          <w:tcPr>
            <w:tcW w:w="850" w:type="dxa"/>
            <w:vMerge w:val="restart"/>
            <w:tcBorders>
              <w:top w:val="single" w:color="auto" w:sz="4" w:space="0"/>
              <w:left w:val="single" w:color="auto" w:sz="4" w:space="0"/>
              <w:right w:val="single" w:color="auto" w:sz="4" w:space="0"/>
            </w:tcBorders>
            <w:noWrap w:val="0"/>
            <w:vAlign w:val="center"/>
          </w:tcPr>
          <w:p w14:paraId="0F9C240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DFF33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投标方报价</w:t>
            </w:r>
          </w:p>
        </w:tc>
        <w:tc>
          <w:tcPr>
            <w:tcW w:w="1276" w:type="dxa"/>
            <w:vMerge w:val="restart"/>
            <w:tcBorders>
              <w:top w:val="single" w:color="auto" w:sz="4" w:space="0"/>
              <w:left w:val="single" w:color="auto" w:sz="4" w:space="0"/>
              <w:right w:val="single" w:color="auto" w:sz="4" w:space="0"/>
            </w:tcBorders>
            <w:noWrap w:val="0"/>
            <w:vAlign w:val="center"/>
          </w:tcPr>
          <w:p w14:paraId="7DDDD9B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996" w:type="dxa"/>
            <w:vMerge w:val="restart"/>
            <w:tcBorders>
              <w:top w:val="single" w:color="auto" w:sz="4" w:space="0"/>
              <w:left w:val="single" w:color="auto" w:sz="4" w:space="0"/>
              <w:right w:val="single" w:color="auto" w:sz="4" w:space="0"/>
            </w:tcBorders>
            <w:noWrap w:val="0"/>
            <w:vAlign w:val="center"/>
          </w:tcPr>
          <w:p w14:paraId="55C2C62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w:t>
            </w:r>
          </w:p>
        </w:tc>
        <w:tc>
          <w:tcPr>
            <w:tcW w:w="1064" w:type="dxa"/>
            <w:vMerge w:val="restart"/>
            <w:tcBorders>
              <w:top w:val="single" w:color="auto" w:sz="4" w:space="0"/>
              <w:right w:val="single" w:color="auto" w:sz="4" w:space="0"/>
            </w:tcBorders>
            <w:noWrap w:val="0"/>
            <w:vAlign w:val="center"/>
          </w:tcPr>
          <w:p w14:paraId="6A300874">
            <w:pPr>
              <w:widowControl/>
              <w:adjustRightInd w:val="0"/>
              <w:snapToGrid w:val="0"/>
              <w:jc w:val="center"/>
              <w:rPr>
                <w:rFonts w:hint="eastAsia" w:ascii="宋体" w:hAnsi="宋体" w:eastAsia="宋体" w:cs="宋体"/>
                <w:color w:val="auto"/>
                <w:sz w:val="24"/>
                <w:szCs w:val="24"/>
                <w:highlight w:val="none"/>
              </w:rPr>
            </w:pPr>
          </w:p>
          <w:p w14:paraId="22D5829B">
            <w:pPr>
              <w:widowControl/>
              <w:adjustRightInd w:val="0"/>
              <w:snapToGrid w:val="0"/>
              <w:jc w:val="center"/>
              <w:rPr>
                <w:rFonts w:hint="eastAsia" w:ascii="宋体" w:hAnsi="宋体" w:eastAsia="宋体" w:cs="宋体"/>
                <w:color w:val="auto"/>
                <w:sz w:val="24"/>
                <w:szCs w:val="24"/>
                <w:highlight w:val="none"/>
              </w:rPr>
            </w:pPr>
          </w:p>
          <w:p w14:paraId="10E4DD28">
            <w:pPr>
              <w:widowControl/>
              <w:adjustRightInd w:val="0"/>
              <w:snapToGrid w:val="0"/>
              <w:jc w:val="center"/>
              <w:rPr>
                <w:rFonts w:hint="eastAsia" w:ascii="宋体" w:hAnsi="宋体" w:eastAsia="宋体" w:cs="宋体"/>
                <w:color w:val="auto"/>
                <w:sz w:val="24"/>
                <w:szCs w:val="24"/>
                <w:highlight w:val="none"/>
              </w:rPr>
            </w:pPr>
          </w:p>
          <w:p w14:paraId="7EEF4089">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收货人及电话</w:t>
            </w:r>
          </w:p>
        </w:tc>
      </w:tr>
      <w:tr w14:paraId="64B91AF5">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noWrap w:val="0"/>
            <w:vAlign w:val="center"/>
          </w:tcPr>
          <w:p w14:paraId="50A3DB69">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vMerge w:val="continue"/>
            <w:tcBorders>
              <w:left w:val="single" w:color="auto" w:sz="4" w:space="0"/>
              <w:right w:val="single" w:color="auto" w:sz="4" w:space="0"/>
            </w:tcBorders>
            <w:noWrap w:val="0"/>
            <w:vAlign w:val="center"/>
          </w:tcPr>
          <w:p w14:paraId="32F1A742">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vMerge w:val="continue"/>
            <w:tcBorders>
              <w:left w:val="single" w:color="auto" w:sz="4" w:space="0"/>
              <w:right w:val="single" w:color="auto" w:sz="4" w:space="0"/>
            </w:tcBorders>
            <w:noWrap w:val="0"/>
            <w:vAlign w:val="center"/>
          </w:tcPr>
          <w:p w14:paraId="303009AA">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vMerge w:val="continue"/>
            <w:tcBorders>
              <w:left w:val="single" w:color="auto" w:sz="4" w:space="0"/>
              <w:right w:val="single" w:color="auto" w:sz="4" w:space="0"/>
            </w:tcBorders>
            <w:noWrap w:val="0"/>
            <w:vAlign w:val="top"/>
          </w:tcPr>
          <w:p w14:paraId="69FA94CF">
            <w:pPr>
              <w:adjustRightInd w:val="0"/>
              <w:snapToGrid w:val="0"/>
              <w:spacing w:line="360" w:lineRule="auto"/>
              <w:rPr>
                <w:rFonts w:hint="eastAsia" w:ascii="宋体" w:hAnsi="宋体" w:eastAsia="宋体" w:cs="宋体"/>
                <w:color w:val="auto"/>
                <w:sz w:val="24"/>
                <w:szCs w:val="24"/>
                <w:highlight w:val="none"/>
              </w:rPr>
            </w:pPr>
          </w:p>
        </w:tc>
        <w:tc>
          <w:tcPr>
            <w:tcW w:w="974" w:type="dxa"/>
            <w:vMerge w:val="continue"/>
            <w:tcBorders>
              <w:left w:val="single" w:color="auto" w:sz="4" w:space="0"/>
              <w:right w:val="single" w:color="auto" w:sz="4" w:space="0"/>
            </w:tcBorders>
            <w:noWrap w:val="0"/>
            <w:vAlign w:val="center"/>
          </w:tcPr>
          <w:p w14:paraId="64BD55BE">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noWrap w:val="0"/>
            <w:vAlign w:val="top"/>
          </w:tcPr>
          <w:p w14:paraId="72C93830">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right w:val="single" w:color="auto" w:sz="4" w:space="0"/>
            </w:tcBorders>
            <w:noWrap w:val="0"/>
            <w:vAlign w:val="center"/>
          </w:tcPr>
          <w:p w14:paraId="6B895035">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单价（元/支）</w:t>
            </w:r>
          </w:p>
        </w:tc>
        <w:tc>
          <w:tcPr>
            <w:tcW w:w="1276" w:type="dxa"/>
            <w:vMerge w:val="continue"/>
            <w:tcBorders>
              <w:left w:val="single" w:color="auto" w:sz="4" w:space="0"/>
              <w:right w:val="single" w:color="auto" w:sz="4" w:space="0"/>
            </w:tcBorders>
            <w:noWrap w:val="0"/>
            <w:vAlign w:val="center"/>
          </w:tcPr>
          <w:p w14:paraId="5FEB5201">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vMerge w:val="continue"/>
            <w:tcBorders>
              <w:left w:val="single" w:color="auto" w:sz="4" w:space="0"/>
              <w:bottom w:val="single" w:color="auto" w:sz="4" w:space="0"/>
              <w:right w:val="single" w:color="auto" w:sz="4" w:space="0"/>
            </w:tcBorders>
            <w:noWrap w:val="0"/>
            <w:vAlign w:val="center"/>
          </w:tcPr>
          <w:p w14:paraId="6755B362">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vMerge w:val="continue"/>
            <w:tcBorders>
              <w:bottom w:val="single" w:color="auto" w:sz="4" w:space="0"/>
              <w:right w:val="single" w:color="auto" w:sz="4" w:space="0"/>
            </w:tcBorders>
            <w:noWrap w:val="0"/>
            <w:vAlign w:val="top"/>
          </w:tcPr>
          <w:p w14:paraId="04E76B63">
            <w:pPr>
              <w:widowControl/>
              <w:adjustRightInd w:val="0"/>
              <w:snapToGrid w:val="0"/>
              <w:jc w:val="left"/>
              <w:rPr>
                <w:rFonts w:hint="eastAsia" w:ascii="宋体" w:hAnsi="宋体" w:eastAsia="宋体" w:cs="宋体"/>
                <w:color w:val="auto"/>
                <w:sz w:val="24"/>
                <w:szCs w:val="24"/>
                <w:highlight w:val="none"/>
              </w:rPr>
            </w:pPr>
          </w:p>
        </w:tc>
      </w:tr>
      <w:tr w14:paraId="3BEA62FC">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0802E110">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2B4442F6">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44E9002B">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6E2A84A6">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3DB57D99">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3D9ACBF">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891E98">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0CCD049F">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right w:val="single" w:color="auto" w:sz="4" w:space="0"/>
            </w:tcBorders>
            <w:noWrap w:val="0"/>
            <w:vAlign w:val="center"/>
          </w:tcPr>
          <w:p w14:paraId="6FAD3755">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right w:val="single" w:color="auto" w:sz="4" w:space="0"/>
            </w:tcBorders>
            <w:noWrap w:val="0"/>
            <w:vAlign w:val="top"/>
          </w:tcPr>
          <w:p w14:paraId="33DA8ACF">
            <w:pPr>
              <w:widowControl/>
              <w:adjustRightInd w:val="0"/>
              <w:snapToGrid w:val="0"/>
              <w:jc w:val="left"/>
              <w:rPr>
                <w:rFonts w:hint="eastAsia" w:ascii="宋体" w:hAnsi="宋体" w:eastAsia="宋体" w:cs="宋体"/>
                <w:color w:val="auto"/>
                <w:sz w:val="24"/>
                <w:szCs w:val="24"/>
                <w:highlight w:val="none"/>
              </w:rPr>
            </w:pPr>
          </w:p>
        </w:tc>
      </w:tr>
      <w:tr w14:paraId="3E4CC037">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505D7816">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5584B411">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0F921C2A">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369BAB48">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3ED7B922">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A35119D">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148D9D">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7FF46E35">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bottom w:val="single" w:color="auto" w:sz="4" w:space="0"/>
              <w:right w:val="single" w:color="auto" w:sz="4" w:space="0"/>
            </w:tcBorders>
            <w:noWrap w:val="0"/>
            <w:vAlign w:val="center"/>
          </w:tcPr>
          <w:p w14:paraId="1A55B4FF">
            <w:pPr>
              <w:widowControl/>
              <w:adjustRightInd w:val="0"/>
              <w:snapToGrid w:val="0"/>
              <w:jc w:val="left"/>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E9C11F1">
            <w:pPr>
              <w:widowControl/>
              <w:adjustRightInd w:val="0"/>
              <w:snapToGrid w:val="0"/>
              <w:jc w:val="left"/>
              <w:rPr>
                <w:rFonts w:hint="eastAsia" w:ascii="宋体" w:hAnsi="宋体" w:eastAsia="宋体" w:cs="宋体"/>
                <w:color w:val="auto"/>
                <w:sz w:val="24"/>
                <w:szCs w:val="24"/>
                <w:highlight w:val="none"/>
              </w:rPr>
            </w:pPr>
          </w:p>
        </w:tc>
      </w:tr>
      <w:tr w14:paraId="65151EFF">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noWrap w:val="0"/>
            <w:vAlign w:val="center"/>
          </w:tcPr>
          <w:p w14:paraId="563CFF5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851" w:type="dxa"/>
            <w:tcBorders>
              <w:top w:val="single" w:color="auto" w:sz="4" w:space="0"/>
              <w:left w:val="single" w:color="auto" w:sz="6" w:space="0"/>
              <w:bottom w:val="single" w:color="auto" w:sz="4" w:space="0"/>
              <w:right w:val="single" w:color="auto" w:sz="6" w:space="0"/>
            </w:tcBorders>
            <w:noWrap w:val="0"/>
            <w:vAlign w:val="top"/>
          </w:tcPr>
          <w:p w14:paraId="1F65413E">
            <w:pPr>
              <w:adjustRightInd w:val="0"/>
              <w:snapToGrid w:val="0"/>
              <w:spacing w:line="360" w:lineRule="auto"/>
              <w:rPr>
                <w:rFonts w:hint="eastAsia" w:ascii="宋体" w:hAnsi="宋体" w:eastAsia="宋体" w:cs="宋体"/>
                <w:color w:val="auto"/>
                <w:sz w:val="24"/>
                <w:szCs w:val="24"/>
                <w:highlight w:val="none"/>
              </w:rPr>
            </w:pPr>
          </w:p>
        </w:tc>
        <w:tc>
          <w:tcPr>
            <w:tcW w:w="7447" w:type="dxa"/>
            <w:gridSpan w:val="7"/>
            <w:tcBorders>
              <w:top w:val="single" w:color="auto" w:sz="4" w:space="0"/>
              <w:left w:val="single" w:color="auto" w:sz="6" w:space="0"/>
              <w:bottom w:val="single" w:color="auto" w:sz="4" w:space="0"/>
              <w:right w:val="single" w:color="auto" w:sz="4" w:space="0"/>
            </w:tcBorders>
            <w:noWrap w:val="0"/>
            <w:vAlign w:val="top"/>
          </w:tcPr>
          <w:p w14:paraId="01B5ED75">
            <w:pPr>
              <w:adjustRightInd w:val="0"/>
              <w:snapToGrid w:val="0"/>
              <w:spacing w:line="360" w:lineRule="auto"/>
              <w:rPr>
                <w:rFonts w:hint="eastAsia" w:ascii="宋体" w:hAnsi="宋体" w:eastAsia="宋体" w:cs="宋体"/>
                <w:color w:val="auto"/>
                <w:kern w:val="0"/>
                <w:sz w:val="24"/>
                <w:szCs w:val="24"/>
                <w:highlight w:val="none"/>
              </w:rPr>
            </w:pPr>
          </w:p>
          <w:p w14:paraId="5F62FCE1">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元）</w:t>
            </w:r>
          </w:p>
          <w:p w14:paraId="53419A4E">
            <w:pPr>
              <w:widowControl/>
              <w:adjustRightInd w:val="0"/>
              <w:snapToGrid w:val="0"/>
              <w:jc w:val="left"/>
              <w:rPr>
                <w:rFonts w:hint="eastAsia" w:ascii="宋体" w:hAnsi="宋体" w:eastAsia="宋体" w:cs="宋体"/>
                <w:color w:val="auto"/>
                <w:sz w:val="24"/>
                <w:szCs w:val="24"/>
                <w:highlight w:val="none"/>
              </w:rPr>
            </w:pPr>
          </w:p>
        </w:tc>
      </w:tr>
    </w:tbl>
    <w:p w14:paraId="7B62CF04">
      <w:pPr>
        <w:adjustRightInd w:val="0"/>
        <w:snapToGrid w:val="0"/>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说      明：</w:t>
      </w:r>
    </w:p>
    <w:p w14:paraId="6EFEC22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合同总价包含到达交货地点的运杂费、技术服务（相关技术指导）、运输费、保险费、培训及其他各项费用。</w:t>
      </w:r>
    </w:p>
    <w:p w14:paraId="261911A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（二）合同总价包括乙方销售本合同产品，国家根据现行税法向乙方征收的与履行合同有关的一切税费。</w:t>
      </w:r>
    </w:p>
    <w:p w14:paraId="5E98D8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合同总价一次包死，不受市场价格变化的影响，并作为结算的唯一依据。</w:t>
      </w:r>
    </w:p>
    <w:p w14:paraId="5FB545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二、产品质量要求</w:t>
      </w:r>
    </w:p>
    <w:p w14:paraId="04E60E3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 国家标准：</w:t>
      </w:r>
      <w:r>
        <w:rPr>
          <w:rFonts w:hint="eastAsia" w:ascii="宋体" w:hAnsi="宋体" w:eastAsia="宋体" w:cs="宋体"/>
          <w:color w:val="auto"/>
          <w:sz w:val="24"/>
          <w:szCs w:val="24"/>
          <w:highlight w:val="none"/>
          <w:u w:val="single"/>
        </w:rPr>
        <w:t xml:space="preserve">                            </w:t>
      </w:r>
    </w:p>
    <w:p w14:paraId="64ABC3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（二）行业标准：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711938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 样品标准：</w:t>
      </w:r>
      <w:r>
        <w:rPr>
          <w:rFonts w:hint="eastAsia" w:ascii="宋体" w:hAnsi="宋体" w:eastAsia="宋体" w:cs="宋体"/>
          <w:color w:val="auto"/>
          <w:sz w:val="24"/>
          <w:szCs w:val="24"/>
          <w:highlight w:val="none"/>
          <w:u w:val="single"/>
        </w:rPr>
        <w:t xml:space="preserve">  乙方按甲方要求制作样品，该样品由甲乙双方封样，由甲方保存 </w:t>
      </w:r>
    </w:p>
    <w:p w14:paraId="306216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（四）乙方应保证其提供的产品是全新的、未使用过的，采用的是最佳材料和一流工艺，并在各个方面符合合同规定的质量、规格和性能要求。提供的产品和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一致。在规定的质量保证期内，乙方应对任何缺陷负责。除合同中另有规定外，出现上述情况乙方应在收到甲方通知后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天内，免费负责更换新的产品。对造成的损失甲方保留索赔的权利。</w:t>
      </w:r>
    </w:p>
    <w:p w14:paraId="548D4C1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（五）因乙方产品发生知识产权纠纷、质量问题导致的产品被监管部门没收、罚款或召回及因第三方主张民事权利等造成的甲方经济损失和相关费用均由乙方承担。</w:t>
      </w:r>
    </w:p>
    <w:p w14:paraId="0D02D5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三、包装方式及包装品处理</w:t>
      </w:r>
    </w:p>
    <w:p w14:paraId="04F30C3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（一）包装方式：</w:t>
      </w:r>
      <w:r>
        <w:rPr>
          <w:rFonts w:hint="eastAsia" w:ascii="宋体" w:hAnsi="宋体" w:eastAsia="宋体" w:cs="宋体"/>
          <w:color w:val="auto"/>
          <w:sz w:val="24"/>
          <w:szCs w:val="24"/>
          <w:highlight w:val="none"/>
          <w:u w:val="single"/>
        </w:rPr>
        <w:t xml:space="preserve">                           </w:t>
      </w:r>
    </w:p>
    <w:p w14:paraId="1F79DC3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（二）包装品处理：</w:t>
      </w:r>
      <w:r>
        <w:rPr>
          <w:rFonts w:hint="eastAsia" w:ascii="宋体" w:hAnsi="宋体" w:eastAsia="宋体" w:cs="宋体"/>
          <w:color w:val="auto"/>
          <w:sz w:val="24"/>
          <w:szCs w:val="24"/>
          <w:highlight w:val="none"/>
          <w:u w:val="single"/>
        </w:rPr>
        <w:t xml:space="preserve">                         </w:t>
      </w:r>
    </w:p>
    <w:p w14:paraId="2C128022">
      <w:pPr>
        <w:numPr>
          <w:ilvl w:val="0"/>
          <w:numId w:val="27"/>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p w14:paraId="0CB88D0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（一）交货期限：</w:t>
      </w:r>
      <w:r>
        <w:rPr>
          <w:rFonts w:hint="eastAsia" w:ascii="宋体" w:hAnsi="宋体" w:eastAsia="宋体" w:cs="宋体"/>
          <w:color w:val="auto"/>
          <w:sz w:val="24"/>
          <w:szCs w:val="24"/>
          <w:highlight w:val="none"/>
          <w:u w:val="single"/>
        </w:rPr>
        <w:t xml:space="preserve">                                </w:t>
      </w:r>
    </w:p>
    <w:p w14:paraId="035A7A9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（二）交货地点：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ECECAF">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（三）运输方式：</w:t>
      </w:r>
      <w:r>
        <w:rPr>
          <w:rFonts w:hint="eastAsia" w:ascii="宋体" w:hAnsi="宋体" w:eastAsia="宋体" w:cs="宋体"/>
          <w:color w:val="auto"/>
          <w:sz w:val="24"/>
          <w:szCs w:val="24"/>
          <w:highlight w:val="none"/>
          <w:u w:val="single"/>
        </w:rPr>
        <w:t xml:space="preserve">  乙方负责运输到甲方指定地点               </w:t>
      </w:r>
    </w:p>
    <w:p w14:paraId="47D5B40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7418267B">
      <w:pPr>
        <w:pStyle w:val="8"/>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4B074D5B">
      <w:pPr>
        <w:numPr>
          <w:ilvl w:val="0"/>
          <w:numId w:val="27"/>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14:paraId="7ABC7754">
      <w:pPr>
        <w:adjustRightInd w:val="0"/>
        <w:snapToGrid w:val="0"/>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（一）验收时间：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2045829">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（二）验收方式：</w:t>
      </w:r>
      <w:r>
        <w:rPr>
          <w:rFonts w:hint="eastAsia" w:ascii="宋体" w:hAnsi="宋体" w:eastAsia="宋体" w:cs="宋体"/>
          <w:color w:val="auto"/>
          <w:sz w:val="24"/>
          <w:szCs w:val="24"/>
          <w:highlight w:val="none"/>
          <w:u w:val="single"/>
          <w:lang w:val="en-US" w:eastAsia="zh-CN"/>
        </w:rPr>
        <w:t xml:space="preserve">                          </w:t>
      </w:r>
    </w:p>
    <w:p w14:paraId="0406AF3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验收按照下列要求验收，如一项不合格，视同产品不合格：</w:t>
      </w:r>
    </w:p>
    <w:p w14:paraId="6B4C109E">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资料验收：供方交货前应按合同规定的要求，提供相关的技术资料。</w:t>
      </w:r>
    </w:p>
    <w:p w14:paraId="3C0D8396">
      <w:pPr>
        <w:adjustRightInd w:val="0"/>
        <w:snapToGrid w:val="0"/>
        <w:spacing w:line="360" w:lineRule="auto"/>
        <w:ind w:left="210" w:leftChars="100" w:firstLine="496" w:firstLineChars="2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实物验收：包括产品名称、数量、规格和包装等外观形态。质保期剩余期限不得低于该产品限定质保期的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8111A2">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产品质量抽检复核。</w:t>
      </w:r>
    </w:p>
    <w:p w14:paraId="757F4C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（三）安装验收：</w:t>
      </w:r>
    </w:p>
    <w:p w14:paraId="7C28A9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产品如需安装验收，自设备正常运转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天后，视为验收合格。</w:t>
      </w:r>
    </w:p>
    <w:p w14:paraId="70C723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1A54E2C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（五）质量争议：对产品质量发生争议由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检验机构进行检验，检验费由违约方承担。  </w:t>
      </w:r>
    </w:p>
    <w:p w14:paraId="54001F48">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乙方接到甲方对产品质量提出异议的通知后，天内负责处理并通知甲方处理情况，否则即视为默认甲方提出的异议和处理意见。</w:t>
      </w:r>
    </w:p>
    <w:p w14:paraId="00FA349E">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（七）甲方因使用、保管、保养不善等造成产品质量下降的，不得提出异议。 </w:t>
      </w:r>
    </w:p>
    <w:p w14:paraId="2BE1C5BB">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（八）货物符合合同约定的技术规范要求和验收标准的，甲方签署验收合格证明 。                    </w:t>
      </w:r>
    </w:p>
    <w:p w14:paraId="0E00F000">
      <w:pPr>
        <w:adjustRightInd w:val="0"/>
        <w:snapToGrid w:val="0"/>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六、款项支付</w:t>
      </w:r>
    </w:p>
    <w:p w14:paraId="71B8D6A6">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70408217">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为保证乙方能够按合同履约，乙方应交付10%履约保证金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如物资为设备类，则该履约金自动转为质保金，保证金在质保期开始计算时，转为质保金，待质保期届满（无违约责任）后返还（无息）。如乙方有违约行为，甲方可用该保证金冲抵甲方的损失及乙方的违约金。</w:t>
      </w:r>
    </w:p>
    <w:p w14:paraId="55A17C77">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（二）货款支付：</w:t>
      </w:r>
    </w:p>
    <w:p w14:paraId="7A590FF1">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合同总价包含到达交货地点的运杂费、技术服务（相关技术指导）、运输费、保险费、培训、税费及其他各项费用。</w:t>
      </w:r>
    </w:p>
    <w:p w14:paraId="1EE6984A">
      <w:pPr>
        <w:numPr>
          <w:ilvl w:val="0"/>
          <w:numId w:val="28"/>
        </w:num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双方约定，合同签订后，乙方向甲方交纳10%履约金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4"/>
          <w:szCs w:val="24"/>
          <w:highlight w:val="none"/>
          <w:u w:val="single"/>
        </w:rPr>
        <w:t xml:space="preserve">           元。</w:t>
      </w:r>
    </w:p>
    <w:p w14:paraId="5CE681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（2）质保金为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元，质保期届满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工作日返回。</w:t>
      </w:r>
    </w:p>
    <w:p w14:paraId="43646CCC">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C9FFDE">
      <w:pPr>
        <w:adjustRightInd w:val="0"/>
        <w:snapToGrid w:val="0"/>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付款要求：甲方财务凭下列单据支付货款（按甲乙各方的义务提交）：</w:t>
      </w:r>
    </w:p>
    <w:p w14:paraId="44D23B05">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（a）全额发票（原件及复印件各1份）；（b）合同复印件（1份）；（c）中标通知书原件及复印件（1份）（d）自治区疾控中心采购验收单；（e）乙方供货清单（盖章） ； （f）自治区疾控中心物资采购廉洁合同（见附件1）；（g）自治区疾控中心使用科室付款说明  ；（h）供应商评价表（见附件2需由使用科室签字确认）；应乙方提交单据不全导致甲方财务未能付款的，甲方不承担逾期付款责任。</w:t>
      </w:r>
    </w:p>
    <w:p w14:paraId="1D21F96F">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（三）付款信息:</w:t>
      </w:r>
    </w:p>
    <w:p w14:paraId="74017CC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方：</w:t>
      </w: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方：税号：           </w:t>
      </w:r>
    </w:p>
    <w:p w14:paraId="3170CCD8">
      <w:pPr>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 户 行：</w:t>
      </w:r>
    </w:p>
    <w:p w14:paraId="5B9F558A">
      <w:pPr>
        <w:tabs>
          <w:tab w:val="center" w:pos="5070"/>
        </w:tabs>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开户行号：</w:t>
      </w:r>
    </w:p>
    <w:p w14:paraId="46221F9D">
      <w:pPr>
        <w:widowControl/>
        <w:shd w:val="clear" w:color="auto" w:fill="FFFFFF"/>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帐   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帐   号：   </w:t>
      </w:r>
    </w:p>
    <w:p w14:paraId="5120AA2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七、延期交货与核定损失额</w:t>
      </w:r>
    </w:p>
    <w:p w14:paraId="5A59CA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。如果乙方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天后仍不能交货，甲方有权因乙方违约终止合同，而乙方仍有义务支付上述迟交核定损失金额。</w:t>
      </w:r>
    </w:p>
    <w:p w14:paraId="15FF61F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八、保密</w:t>
      </w:r>
    </w:p>
    <w:p w14:paraId="1512929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双方保证对从另一方取得且无法自公开渠道获得的商业秘密（技术信息、经济信息及其他商业秘密）予以保密。未经对方同意不得向任何第三方泄露该商业秘密。</w:t>
      </w:r>
    </w:p>
    <w:p w14:paraId="2EEB95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九、保修与售后服务</w:t>
      </w:r>
    </w:p>
    <w:p w14:paraId="30F160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自产品最终验收合格之日起至质保期届满且经甲方确认无任何质量问题时止。在质保期内因产品质量造成产品不能正常使用，影响不能正常工作时间从质保期扣除。</w:t>
      </w:r>
    </w:p>
    <w:p w14:paraId="3B1CFF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（二）、接到甲方通知，乙方应在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小时内派遣相关人员到达现场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次维修后仍不能稳定、可靠运行的，甲方有权要求乙方免费更换。</w:t>
      </w:r>
      <w:r>
        <w:rPr>
          <w:rStyle w:val="57"/>
          <w:rFonts w:hint="eastAsia" w:ascii="宋体" w:hAnsi="宋体" w:eastAsia="宋体" w:cs="宋体"/>
          <w:color w:val="auto"/>
          <w:sz w:val="24"/>
          <w:szCs w:val="24"/>
          <w:highlight w:val="none"/>
        </w:rPr>
        <w:t>返修或更换部件后的产品保修期应重新计算。</w:t>
      </w:r>
    </w:p>
    <w:p w14:paraId="360F03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（三）、在质保期内，乙方应对产品出现的质量及安全问题负责处理解决并承担一切费用。</w:t>
      </w:r>
    </w:p>
    <w:p w14:paraId="6AFDE27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（四）、质保期届满后，乙方对本合同项下产品提供终身维修服务，且维修时只收取所需维修部件的成本费              </w:t>
      </w:r>
    </w:p>
    <w:p w14:paraId="292A62AD">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十、不可抗力</w:t>
      </w:r>
    </w:p>
    <w:p w14:paraId="32F9F0C7">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本合同所称不可抗力是指不能预见、不能克服、不能避免并对另一方造成重大影响的客观事件。包括但不限于自然灾害如洪水、地震、火灾和风暴等以及社会事件如战争、动乱、政府行为等。</w:t>
      </w:r>
    </w:p>
    <w:p w14:paraId="6C07A880">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如遇不可抗力事件的一方导致合同无法履行时，应立即将事故情况书面告知另一方，并在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天内，提供事故详情。</w:t>
      </w:r>
    </w:p>
    <w:p w14:paraId="312F6506">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十一、违约责任</w:t>
      </w:r>
    </w:p>
    <w:p w14:paraId="0AE506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（一）、在补救违约而采取的任何其他措施未能实现的情况下，即在乙方收到甲方发出的违约整改通知后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天内(或经甲方书面确认的更长时间内)仍未纠正其下述任何一种违约行为，甲方可向乙方发出书面解除通知，终止全部或部分合同条款：</w:t>
      </w:r>
    </w:p>
    <w:p w14:paraId="1627D8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(1)如果乙方未能在合同规定的期限内或甲方准许的任何延期内交付部分或全部产品。</w:t>
      </w:r>
    </w:p>
    <w:p w14:paraId="785910F0">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(2)乙方未能履行合同项下的其它义务。</w:t>
      </w:r>
    </w:p>
    <w:p w14:paraId="52E14B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（二）、因乙方违约致使甲方终止合同时，乙方除退还甲方已付全部货款及资金占用费外，应无条件承担合同总价30%的违约金。</w:t>
      </w:r>
    </w:p>
    <w:p w14:paraId="0A6503FE">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（三）、严禁乙方转让合同，若乙方违约，则甲方有权终止合同，乙方承担合同总价30%的违约金。</w:t>
      </w:r>
    </w:p>
    <w:p w14:paraId="402BAE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（四）：任何一方违约应承担守约方因主张权利而支付的所有费用，包含且不限于误工费、差旅费、住宿费、交通费、律师费等。</w:t>
      </w:r>
    </w:p>
    <w:p w14:paraId="42DB5E8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十二、其它事项</w:t>
      </w:r>
    </w:p>
    <w:p w14:paraId="5D38A3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均作为合同不可分割的部分。解释顺序为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、合同、合同附件。</w:t>
      </w:r>
    </w:p>
    <w:p w14:paraId="425557C5">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（二）、合同未尽事宜，由甲、乙双方协商，作为合同的补充与原合同具有同等法律效力。</w:t>
      </w:r>
    </w:p>
    <w:p w14:paraId="3D20CB00">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（三）、双方如对履行合同发生争执，应友好协商解决，如协商不成，任何一方均可向甲方所在地法院提起诉讼。</w:t>
      </w:r>
    </w:p>
    <w:p w14:paraId="5424EB6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 通知和送达</w:t>
      </w:r>
    </w:p>
    <w:p w14:paraId="075C25A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甲、乙双方因履行本合同而相互发出或者提供的所有通知、文件、材料等均以本合同所列明的地址、电子邮箱、传真送达。一方迁址或者变更邮箱、传真电话的，应当五日内书面通知对方。</w:t>
      </w:r>
    </w:p>
    <w:p w14:paraId="1E50602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以当面交付文件方式送达的，交付之时视为送达；以电子邮件方式送达的，发出电子邮件时视为送达；以传真方式送达的，发出传真时视为送达；以邮寄方式送达的，邮件交邮当日视为送达。</w:t>
      </w:r>
    </w:p>
    <w:p w14:paraId="4CB5614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十四、本合同签订时间、地点、履行期限</w:t>
      </w:r>
    </w:p>
    <w:p w14:paraId="60193167">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（一）签订时间：</w:t>
      </w:r>
    </w:p>
    <w:p w14:paraId="13A0652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（二）签订地点：</w:t>
      </w:r>
    </w:p>
    <w:p w14:paraId="1E54DF3A">
      <w:pPr>
        <w:adjustRightInd w:val="0"/>
        <w:snapToGrid w:val="0"/>
        <w:spacing w:line="360" w:lineRule="auto"/>
        <w:ind w:firstLine="705" w:firstLineChars="2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（三）履行期限：本合同供求关系时间自二零二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日，有效期限为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p>
    <w:p w14:paraId="06BBFD7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十四、合同签订及生效：本合同一式四份，甲方执叁份、乙方执壹份，双方签字并盖章后生效。</w:t>
      </w:r>
    </w:p>
    <w:p w14:paraId="4A3F5AC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00C986B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单位名称： </w:t>
      </w:r>
    </w:p>
    <w:p w14:paraId="7AD1FFF6">
      <w:pPr>
        <w:adjustRightInd w:val="0"/>
        <w:snapToGrid w:val="0"/>
        <w:spacing w:line="360" w:lineRule="auto"/>
        <w:ind w:right="-506" w:rightChars="-2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B913A57">
      <w:pPr>
        <w:adjustRightInd w:val="0"/>
        <w:snapToGrid w:val="0"/>
        <w:spacing w:line="360" w:lineRule="auto"/>
        <w:ind w:left="6960" w:leftChars="-57" w:right="-506" w:rightChars="-241" w:hanging="7080" w:hangingChars="2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36783C3C">
      <w:pPr>
        <w:adjustRightInd w:val="0"/>
        <w:snapToGrid w:val="0"/>
        <w:spacing w:line="360" w:lineRule="auto"/>
        <w:ind w:left="-359" w:leftChars="-171" w:right="-506" w:rightChars="-241"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法定代表人（签字）： </w:t>
      </w:r>
    </w:p>
    <w:p w14:paraId="2A6F1D0C">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代 理 人：                                    代 理 人（签字）：</w:t>
      </w:r>
    </w:p>
    <w:p w14:paraId="6BBB3ACA">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24"/>
          <w:szCs w:val="24"/>
          <w:highlight w:val="none"/>
        </w:rPr>
        <w:t xml:space="preserve">联系电话：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联系电</w:t>
      </w:r>
      <w:r>
        <w:rPr>
          <w:rFonts w:hint="eastAsia" w:ascii="宋体" w:hAnsi="宋体" w:eastAsia="宋体" w:cs="宋体"/>
          <w:b w:val="0"/>
          <w:bCs w:val="0"/>
          <w:color w:val="auto"/>
          <w:sz w:val="24"/>
          <w:szCs w:val="24"/>
          <w:highlight w:val="none"/>
          <w:lang w:val="en-US" w:eastAsia="zh-CN"/>
        </w:rPr>
        <w:t>话：</w:t>
      </w:r>
    </w:p>
    <w:p w14:paraId="4FB93A99">
      <w:pPr>
        <w:rPr>
          <w:rFonts w:hint="eastAsia" w:ascii="宋体" w:hAnsi="宋体" w:cs="宋体"/>
          <w:color w:val="auto"/>
          <w:sz w:val="36"/>
          <w:szCs w:val="36"/>
          <w:highlight w:val="none"/>
          <w:lang w:val="en-US" w:eastAsia="zh-CN"/>
        </w:rPr>
      </w:pPr>
    </w:p>
    <w:p w14:paraId="309FE25C">
      <w:pPr>
        <w:pStyle w:val="7"/>
        <w:rPr>
          <w:rFonts w:hint="eastAsia"/>
          <w:color w:val="auto"/>
          <w:highlight w:val="none"/>
          <w:lang w:val="en-US" w:eastAsia="zh-CN"/>
        </w:rPr>
      </w:pPr>
    </w:p>
    <w:p w14:paraId="07F8C9F1">
      <w:pPr>
        <w:rPr>
          <w:rFonts w:hint="eastAsia"/>
          <w:color w:val="auto"/>
          <w:highlight w:val="none"/>
          <w:lang w:val="en-US" w:eastAsia="zh-CN"/>
        </w:rPr>
      </w:pPr>
    </w:p>
    <w:p w14:paraId="2A54A9B5">
      <w:pPr>
        <w:rPr>
          <w:rFonts w:hint="eastAsia"/>
          <w:color w:val="auto"/>
          <w:highlight w:val="none"/>
          <w:lang w:val="en-US" w:eastAsia="zh-CN"/>
        </w:rPr>
      </w:pPr>
    </w:p>
    <w:p w14:paraId="7960BDC0">
      <w:pPr>
        <w:rPr>
          <w:rFonts w:hint="eastAsia"/>
          <w:color w:val="auto"/>
          <w:highlight w:val="none"/>
          <w:lang w:val="en-US" w:eastAsia="zh-CN"/>
        </w:rPr>
      </w:pPr>
    </w:p>
    <w:p w14:paraId="4B6F0C77">
      <w:pPr>
        <w:rPr>
          <w:rFonts w:hint="eastAsia"/>
          <w:color w:val="auto"/>
          <w:highlight w:val="none"/>
          <w:lang w:val="en-US" w:eastAsia="zh-CN"/>
        </w:rPr>
      </w:pPr>
    </w:p>
    <w:p w14:paraId="1192569C">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bookmarkStart w:id="22" w:name="_Toc18271"/>
    </w:p>
    <w:p w14:paraId="156A6A77">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第六部分 附件</w:t>
      </w:r>
    </w:p>
    <w:p w14:paraId="009DD22B">
      <w:pPr>
        <w:pStyle w:val="61"/>
        <w:outlineLvl w:val="1"/>
        <w:rPr>
          <w:rFonts w:hint="eastAsia" w:ascii="宋体" w:hAnsi="宋体" w:eastAsia="宋体" w:cs="宋体"/>
          <w:color w:val="auto"/>
          <w:sz w:val="28"/>
          <w:szCs w:val="28"/>
          <w:highlight w:val="none"/>
        </w:rPr>
      </w:pPr>
      <w:bookmarkStart w:id="23" w:name="_Toc4236"/>
      <w:bookmarkStart w:id="24" w:name="_Toc25635"/>
      <w:bookmarkStart w:id="25" w:name="_Toc27553"/>
      <w:bookmarkStart w:id="26" w:name="_Toc15441"/>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23"/>
      <w:bookmarkEnd w:id="24"/>
      <w:bookmarkEnd w:id="25"/>
      <w:bookmarkEnd w:id="26"/>
    </w:p>
    <w:p w14:paraId="66564D0C">
      <w:pPr>
        <w:pStyle w:val="53"/>
        <w:spacing w:line="360" w:lineRule="auto"/>
        <w:rPr>
          <w:rFonts w:hint="eastAsia" w:ascii="宋体" w:hAnsi="宋体" w:eastAsia="宋体" w:cs="宋体"/>
          <w:b/>
          <w:color w:val="auto"/>
          <w:sz w:val="24"/>
          <w:szCs w:val="24"/>
          <w:highlight w:val="none"/>
        </w:rPr>
      </w:pPr>
    </w:p>
    <w:p w14:paraId="4AD3FE5A">
      <w:pPr>
        <w:pStyle w:val="59"/>
        <w:spacing w:line="360" w:lineRule="auto"/>
        <w:ind w:firstLine="480" w:firstLineChars="200"/>
        <w:rPr>
          <w:rFonts w:hint="eastAsia" w:ascii="宋体" w:hAnsi="宋体" w:eastAsia="宋体" w:cs="宋体"/>
          <w:color w:val="auto"/>
          <w:sz w:val="24"/>
          <w:szCs w:val="24"/>
          <w:highlight w:val="none"/>
        </w:rPr>
      </w:pPr>
    </w:p>
    <w:p w14:paraId="0FCDA6A2">
      <w:pPr>
        <w:pStyle w:val="5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p>
    <w:p w14:paraId="79B8BA16">
      <w:pPr>
        <w:pStyle w:val="53"/>
        <w:spacing w:line="360" w:lineRule="auto"/>
        <w:jc w:val="center"/>
        <w:rPr>
          <w:rFonts w:hint="eastAsia" w:ascii="宋体" w:hAnsi="宋体" w:eastAsia="宋体" w:cs="宋体"/>
          <w:color w:val="auto"/>
          <w:sz w:val="24"/>
          <w:szCs w:val="24"/>
          <w:highlight w:val="none"/>
        </w:rPr>
      </w:pPr>
    </w:p>
    <w:p w14:paraId="76814BD2">
      <w:pPr>
        <w:pStyle w:val="53"/>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6A1A7357">
      <w:pPr>
        <w:pStyle w:val="53"/>
        <w:spacing w:line="360" w:lineRule="auto"/>
        <w:jc w:val="center"/>
        <w:rPr>
          <w:rFonts w:hint="eastAsia" w:ascii="宋体" w:hAnsi="宋体" w:eastAsia="宋体" w:cs="宋体"/>
          <w:color w:val="auto"/>
          <w:sz w:val="24"/>
          <w:szCs w:val="24"/>
          <w:highlight w:val="none"/>
        </w:rPr>
      </w:pPr>
    </w:p>
    <w:p w14:paraId="2036B6E1">
      <w:pPr>
        <w:pStyle w:val="53"/>
        <w:spacing w:line="360" w:lineRule="auto"/>
        <w:jc w:val="center"/>
        <w:rPr>
          <w:rFonts w:hint="eastAsia" w:ascii="宋体" w:hAnsi="宋体" w:eastAsia="宋体" w:cs="宋体"/>
          <w:color w:val="auto"/>
          <w:sz w:val="24"/>
          <w:szCs w:val="24"/>
          <w:highlight w:val="none"/>
        </w:rPr>
      </w:pPr>
    </w:p>
    <w:p w14:paraId="261F9617">
      <w:pPr>
        <w:pStyle w:val="53"/>
        <w:spacing w:line="360" w:lineRule="auto"/>
        <w:jc w:val="center"/>
        <w:rPr>
          <w:rFonts w:hint="eastAsia" w:ascii="宋体" w:hAnsi="宋体" w:eastAsia="宋体" w:cs="宋体"/>
          <w:color w:val="auto"/>
          <w:sz w:val="24"/>
          <w:szCs w:val="24"/>
          <w:highlight w:val="none"/>
        </w:rPr>
      </w:pPr>
    </w:p>
    <w:p w14:paraId="368423AF">
      <w:pPr>
        <w:pStyle w:val="53"/>
        <w:spacing w:line="360" w:lineRule="auto"/>
        <w:jc w:val="center"/>
        <w:rPr>
          <w:rFonts w:hint="eastAsia" w:ascii="宋体" w:hAnsi="宋体" w:eastAsia="宋体" w:cs="宋体"/>
          <w:color w:val="auto"/>
          <w:sz w:val="24"/>
          <w:szCs w:val="24"/>
          <w:highlight w:val="none"/>
        </w:rPr>
      </w:pPr>
    </w:p>
    <w:p w14:paraId="63E1F487">
      <w:pPr>
        <w:pStyle w:val="53"/>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响应文件</w:t>
      </w:r>
    </w:p>
    <w:p w14:paraId="7B39B8EA">
      <w:pPr>
        <w:pStyle w:val="53"/>
        <w:spacing w:line="360" w:lineRule="auto"/>
        <w:jc w:val="center"/>
        <w:rPr>
          <w:rFonts w:hint="eastAsia" w:ascii="宋体" w:hAnsi="宋体" w:eastAsia="宋体" w:cs="宋体"/>
          <w:color w:val="auto"/>
          <w:sz w:val="24"/>
          <w:szCs w:val="24"/>
          <w:highlight w:val="none"/>
        </w:rPr>
      </w:pPr>
    </w:p>
    <w:p w14:paraId="5E1BC1EF">
      <w:pPr>
        <w:pStyle w:val="53"/>
        <w:spacing w:line="360" w:lineRule="auto"/>
        <w:jc w:val="center"/>
        <w:rPr>
          <w:rFonts w:hint="eastAsia" w:ascii="宋体" w:hAnsi="宋体" w:eastAsia="宋体" w:cs="宋体"/>
          <w:color w:val="auto"/>
          <w:sz w:val="24"/>
          <w:szCs w:val="24"/>
          <w:highlight w:val="none"/>
        </w:rPr>
      </w:pPr>
    </w:p>
    <w:p w14:paraId="69B806BB">
      <w:pPr>
        <w:pStyle w:val="53"/>
        <w:spacing w:line="360" w:lineRule="auto"/>
        <w:jc w:val="center"/>
        <w:rPr>
          <w:rFonts w:hint="eastAsia" w:ascii="宋体" w:hAnsi="宋体" w:eastAsia="宋体" w:cs="宋体"/>
          <w:b/>
          <w:color w:val="auto"/>
          <w:sz w:val="24"/>
          <w:szCs w:val="24"/>
          <w:highlight w:val="none"/>
        </w:rPr>
      </w:pPr>
    </w:p>
    <w:p w14:paraId="6B5715CD">
      <w:pPr>
        <w:pStyle w:val="53"/>
        <w:spacing w:line="360" w:lineRule="auto"/>
        <w:jc w:val="center"/>
        <w:rPr>
          <w:rFonts w:hint="eastAsia" w:ascii="宋体" w:hAnsi="宋体" w:eastAsia="宋体" w:cs="宋体"/>
          <w:b/>
          <w:color w:val="auto"/>
          <w:sz w:val="24"/>
          <w:szCs w:val="24"/>
          <w:highlight w:val="none"/>
        </w:rPr>
      </w:pPr>
    </w:p>
    <w:p w14:paraId="4CB79DB3">
      <w:pPr>
        <w:pStyle w:val="53"/>
        <w:spacing w:line="360" w:lineRule="auto"/>
        <w:jc w:val="center"/>
        <w:rPr>
          <w:rFonts w:hint="eastAsia" w:ascii="宋体" w:hAnsi="宋体" w:eastAsia="宋体" w:cs="宋体"/>
          <w:b/>
          <w:color w:val="auto"/>
          <w:sz w:val="24"/>
          <w:szCs w:val="24"/>
          <w:highlight w:val="none"/>
        </w:rPr>
      </w:pPr>
    </w:p>
    <w:p w14:paraId="112E2511">
      <w:pPr>
        <w:pStyle w:val="53"/>
        <w:spacing w:line="360" w:lineRule="auto"/>
        <w:jc w:val="center"/>
        <w:rPr>
          <w:rFonts w:hint="eastAsia" w:ascii="宋体" w:hAnsi="宋体" w:eastAsia="宋体" w:cs="宋体"/>
          <w:b/>
          <w:color w:val="auto"/>
          <w:sz w:val="24"/>
          <w:szCs w:val="24"/>
          <w:highlight w:val="none"/>
        </w:rPr>
      </w:pPr>
    </w:p>
    <w:p w14:paraId="415EB945">
      <w:pPr>
        <w:pStyle w:val="53"/>
        <w:spacing w:line="360" w:lineRule="auto"/>
        <w:jc w:val="center"/>
        <w:rPr>
          <w:rFonts w:hint="eastAsia" w:ascii="宋体" w:hAnsi="宋体" w:eastAsia="宋体" w:cs="宋体"/>
          <w:b/>
          <w:color w:val="auto"/>
          <w:sz w:val="24"/>
          <w:szCs w:val="24"/>
          <w:highlight w:val="none"/>
        </w:rPr>
      </w:pPr>
    </w:p>
    <w:p w14:paraId="58BC0B3E">
      <w:pPr>
        <w:pStyle w:val="53"/>
        <w:spacing w:line="360" w:lineRule="auto"/>
        <w:jc w:val="center"/>
        <w:rPr>
          <w:rFonts w:hint="eastAsia" w:ascii="宋体" w:hAnsi="宋体" w:eastAsia="宋体" w:cs="宋体"/>
          <w:b/>
          <w:color w:val="auto"/>
          <w:sz w:val="24"/>
          <w:szCs w:val="24"/>
          <w:highlight w:val="none"/>
        </w:rPr>
      </w:pPr>
    </w:p>
    <w:p w14:paraId="45137419">
      <w:pPr>
        <w:pStyle w:val="53"/>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420F53C6">
      <w:pPr>
        <w:pStyle w:val="53"/>
        <w:spacing w:line="360" w:lineRule="auto"/>
        <w:ind w:firstLine="1920" w:firstLineChars="8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（电子签名） </w:t>
      </w:r>
    </w:p>
    <w:p w14:paraId="228EC164">
      <w:pPr>
        <w:pStyle w:val="53"/>
        <w:spacing w:line="360" w:lineRule="auto"/>
        <w:ind w:firstLine="1920" w:firstLineChars="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60F6FBCF">
      <w:pPr>
        <w:pStyle w:val="53"/>
        <w:spacing w:line="360" w:lineRule="auto"/>
        <w:jc w:val="center"/>
        <w:rPr>
          <w:rFonts w:hint="eastAsia" w:ascii="宋体" w:hAnsi="宋体" w:eastAsia="宋体" w:cs="宋体"/>
          <w:color w:val="auto"/>
          <w:sz w:val="24"/>
          <w:szCs w:val="24"/>
          <w:highlight w:val="none"/>
        </w:rPr>
      </w:pPr>
    </w:p>
    <w:p w14:paraId="3969145B">
      <w:pPr>
        <w:pStyle w:val="53"/>
        <w:spacing w:line="360" w:lineRule="auto"/>
        <w:jc w:val="center"/>
        <w:rPr>
          <w:rFonts w:hint="eastAsia" w:ascii="宋体" w:hAnsi="宋体" w:eastAsia="宋体" w:cs="宋体"/>
          <w:color w:val="auto"/>
          <w:sz w:val="24"/>
          <w:szCs w:val="24"/>
          <w:highlight w:val="none"/>
        </w:rPr>
      </w:pPr>
    </w:p>
    <w:p w14:paraId="39F96F2A">
      <w:pPr>
        <w:pStyle w:val="53"/>
        <w:spacing w:line="360" w:lineRule="auto"/>
        <w:jc w:val="both"/>
        <w:rPr>
          <w:rFonts w:hint="eastAsia" w:ascii="宋体" w:hAnsi="宋体" w:eastAsia="宋体" w:cs="宋体"/>
          <w:color w:val="auto"/>
          <w:sz w:val="24"/>
          <w:szCs w:val="24"/>
          <w:highlight w:val="none"/>
        </w:rPr>
      </w:pPr>
    </w:p>
    <w:p w14:paraId="4E32305F">
      <w:pPr>
        <w:pStyle w:val="59"/>
        <w:spacing w:line="360" w:lineRule="auto"/>
        <w:ind w:left="-210" w:leftChars="-10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5520571A">
      <w:pPr>
        <w:pStyle w:val="59"/>
        <w:pageBreakBefore w:val="0"/>
        <w:widowControl w:val="0"/>
        <w:numPr>
          <w:ilvl w:val="0"/>
          <w:numId w:val="29"/>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7" w:name="_Toc3150"/>
      <w:bookmarkStart w:id="28" w:name="_Toc32638"/>
      <w:bookmarkStart w:id="29" w:name="_Toc32418"/>
      <w:bookmarkStart w:id="30" w:name="_Toc16466"/>
      <w:bookmarkStart w:id="31" w:name="_Toc22093"/>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封面</w:t>
      </w:r>
      <w:bookmarkEnd w:id="27"/>
      <w:bookmarkEnd w:id="28"/>
      <w:bookmarkEnd w:id="29"/>
      <w:bookmarkEnd w:id="30"/>
      <w:bookmarkEnd w:id="31"/>
    </w:p>
    <w:p w14:paraId="78A23F2E">
      <w:pPr>
        <w:pStyle w:val="59"/>
        <w:pageBreakBefore w:val="0"/>
        <w:widowControl w:val="0"/>
        <w:numPr>
          <w:ilvl w:val="0"/>
          <w:numId w:val="29"/>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资格审查材料</w:t>
      </w:r>
    </w:p>
    <w:p w14:paraId="1688EE5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2" w:name="_Toc29160"/>
      <w:bookmarkStart w:id="33" w:name="_Toc9085"/>
      <w:bookmarkStart w:id="34" w:name="_Toc19200"/>
      <w:bookmarkStart w:id="35" w:name="_Toc19682"/>
      <w:bookmarkStart w:id="36" w:name="_Toc5935"/>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营业执照、组织机构代码证、税务登记证</w:t>
      </w:r>
      <w:bookmarkEnd w:id="32"/>
      <w:bookmarkEnd w:id="33"/>
      <w:bookmarkEnd w:id="34"/>
      <w:bookmarkEnd w:id="35"/>
      <w:bookmarkEnd w:id="36"/>
    </w:p>
    <w:p w14:paraId="281FD999">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7" w:name="_Toc10203"/>
      <w:bookmarkStart w:id="38" w:name="_Toc6730"/>
      <w:bookmarkStart w:id="39" w:name="_Toc10131"/>
      <w:bookmarkStart w:id="40" w:name="_Toc10042"/>
      <w:bookmarkStart w:id="41" w:name="_Toc735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法定代表人身份证明及授权委托书</w:t>
      </w:r>
      <w:bookmarkEnd w:id="37"/>
      <w:bookmarkEnd w:id="38"/>
      <w:bookmarkEnd w:id="39"/>
      <w:bookmarkEnd w:id="40"/>
      <w:bookmarkEnd w:id="41"/>
    </w:p>
    <w:p w14:paraId="5A135E80">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2" w:name="_Toc19355"/>
      <w:bookmarkStart w:id="43" w:name="_Toc16154"/>
      <w:bookmarkStart w:id="44" w:name="_Toc19232"/>
      <w:bookmarkStart w:id="45" w:name="_Toc10746"/>
      <w:bookmarkStart w:id="46" w:name="_Toc12269"/>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投标保证金</w:t>
      </w:r>
      <w:bookmarkEnd w:id="42"/>
      <w:bookmarkEnd w:id="43"/>
      <w:bookmarkEnd w:id="44"/>
      <w:bookmarkEnd w:id="45"/>
      <w:bookmarkEnd w:id="46"/>
    </w:p>
    <w:p w14:paraId="57DA48C4">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7" w:name="_Toc16231"/>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投标单位</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反商业贿赂承诺书</w:t>
      </w:r>
      <w:bookmarkEnd w:id="47"/>
    </w:p>
    <w:p w14:paraId="0354DC1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8" w:name="_Toc3184"/>
      <w:bookmarkStart w:id="49" w:name="_Toc17729"/>
      <w:bookmarkStart w:id="50" w:name="_Toc27032"/>
      <w:bookmarkStart w:id="51" w:name="_Toc27116"/>
      <w:bookmarkStart w:id="52" w:name="_Toc12883"/>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中、小企业声明函</w:t>
      </w:r>
      <w:bookmarkEnd w:id="48"/>
      <w:bookmarkEnd w:id="49"/>
      <w:bookmarkEnd w:id="50"/>
      <w:bookmarkEnd w:id="51"/>
      <w:bookmarkEnd w:id="52"/>
      <w:bookmarkStart w:id="53" w:name="_Toc12824"/>
      <w:bookmarkStart w:id="54" w:name="_Toc2408"/>
      <w:bookmarkStart w:id="55" w:name="_Toc18825"/>
      <w:bookmarkStart w:id="56" w:name="_Toc62"/>
      <w:bookmarkStart w:id="57" w:name="_Toc12838"/>
    </w:p>
    <w:p w14:paraId="63FCB32C">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bookmarkEnd w:id="53"/>
      <w:bookmarkEnd w:id="54"/>
      <w:bookmarkEnd w:id="55"/>
      <w:bookmarkEnd w:id="56"/>
      <w:bookmarkEnd w:id="57"/>
      <w:r>
        <w:rPr>
          <w:rFonts w:hint="eastAsia" w:ascii="宋体" w:hAnsi="宋体" w:eastAsia="宋体" w:cs="宋体"/>
          <w:b w:val="0"/>
          <w:bCs w:val="0"/>
          <w:color w:val="auto"/>
          <w:sz w:val="24"/>
          <w:szCs w:val="24"/>
          <w:highlight w:val="none"/>
        </w:rPr>
        <w:t>不参与围标串标承诺书</w:t>
      </w:r>
    </w:p>
    <w:p w14:paraId="328A3CA8">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8" w:name="_Toc22588"/>
      <w:bookmarkStart w:id="59" w:name="_Toc15517"/>
      <w:bookmarkStart w:id="60" w:name="_Toc17604"/>
      <w:bookmarkStart w:id="61" w:name="_Toc15246"/>
      <w:bookmarkStart w:id="62" w:name="_Toc20628"/>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《中华人民共和国政府采购法》第二十二条应当具备的条件</w:t>
      </w:r>
      <w:bookmarkEnd w:id="58"/>
      <w:bookmarkEnd w:id="59"/>
      <w:bookmarkEnd w:id="60"/>
      <w:bookmarkEnd w:id="61"/>
      <w:bookmarkEnd w:id="62"/>
    </w:p>
    <w:p w14:paraId="4AA0554D">
      <w:pPr>
        <w:pStyle w:val="50"/>
        <w:rPr>
          <w:rFonts w:hint="default" w:eastAsia="宋体"/>
          <w:color w:val="auto"/>
          <w:lang w:val="en-US" w:eastAsia="zh-CN"/>
        </w:rPr>
      </w:pPr>
      <w:r>
        <w:rPr>
          <w:rFonts w:hint="eastAsia" w:ascii="宋体" w:hAnsi="宋体" w:cs="宋体"/>
          <w:b w:val="0"/>
          <w:bCs w:val="0"/>
          <w:color w:val="auto"/>
          <w:sz w:val="24"/>
          <w:szCs w:val="24"/>
          <w:highlight w:val="none"/>
          <w:lang w:val="en-US" w:eastAsia="zh-CN"/>
        </w:rPr>
        <w:t xml:space="preserve">    8、特定资格</w:t>
      </w:r>
    </w:p>
    <w:p w14:paraId="5E51FA5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3" w:name="_Toc26013"/>
      <w:bookmarkStart w:id="64" w:name="_Toc16246"/>
      <w:bookmarkStart w:id="65" w:name="_Toc32005"/>
      <w:bookmarkStart w:id="66" w:name="_Toc18670"/>
      <w:bookmarkStart w:id="67" w:name="_Toc11506"/>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bookmarkEnd w:id="63"/>
      <w:bookmarkEnd w:id="64"/>
      <w:bookmarkEnd w:id="65"/>
      <w:bookmarkEnd w:id="66"/>
      <w:bookmarkEnd w:id="67"/>
      <w:r>
        <w:rPr>
          <w:rFonts w:hint="eastAsia" w:ascii="宋体" w:hAnsi="宋体" w:eastAsia="宋体" w:cs="宋体"/>
          <w:b w:val="0"/>
          <w:bCs w:val="0"/>
          <w:color w:val="auto"/>
          <w:sz w:val="24"/>
          <w:szCs w:val="24"/>
          <w:highlight w:val="none"/>
          <w:lang w:val="en-US" w:eastAsia="zh-CN"/>
        </w:rPr>
        <w:t>投标人认为需提供的证明文件及其它资料</w:t>
      </w:r>
    </w:p>
    <w:p w14:paraId="388662B7">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三、商务文件</w:t>
      </w:r>
    </w:p>
    <w:p w14:paraId="731846F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8" w:name="_Toc25397"/>
      <w:bookmarkStart w:id="69" w:name="_Toc20142"/>
      <w:bookmarkStart w:id="70" w:name="_Toc30655"/>
      <w:bookmarkStart w:id="71" w:name="_Toc24277"/>
      <w:bookmarkStart w:id="72" w:name="_Toc3000"/>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投标函</w:t>
      </w:r>
      <w:bookmarkEnd w:id="68"/>
      <w:bookmarkEnd w:id="69"/>
      <w:bookmarkEnd w:id="70"/>
      <w:bookmarkEnd w:id="71"/>
      <w:bookmarkEnd w:id="72"/>
    </w:p>
    <w:p w14:paraId="0F702062">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3" w:name="_Toc1460"/>
      <w:bookmarkStart w:id="74" w:name="_Toc12387"/>
      <w:bookmarkStart w:id="75" w:name="_Toc20739"/>
      <w:bookmarkStart w:id="76" w:name="_Toc18269"/>
      <w:bookmarkStart w:id="77" w:name="_Toc3101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开标一览表</w:t>
      </w:r>
      <w:bookmarkEnd w:id="73"/>
      <w:bookmarkEnd w:id="74"/>
      <w:bookmarkEnd w:id="75"/>
      <w:bookmarkEnd w:id="76"/>
      <w:bookmarkEnd w:id="77"/>
    </w:p>
    <w:p w14:paraId="705FAD16">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8" w:name="_Toc28671"/>
      <w:bookmarkStart w:id="79" w:name="_Toc16137"/>
      <w:bookmarkStart w:id="80" w:name="_Toc23375"/>
      <w:bookmarkStart w:id="81" w:name="_Toc30041"/>
      <w:bookmarkStart w:id="82" w:name="_Toc21358"/>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投标报价明细表</w:t>
      </w:r>
      <w:bookmarkEnd w:id="78"/>
      <w:bookmarkEnd w:id="79"/>
      <w:bookmarkEnd w:id="80"/>
      <w:bookmarkEnd w:id="81"/>
      <w:bookmarkEnd w:id="82"/>
    </w:p>
    <w:p w14:paraId="4B119DA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近三年经营业绩</w:t>
      </w:r>
    </w:p>
    <w:p w14:paraId="7E1AED96">
      <w:pPr>
        <w:pStyle w:val="50"/>
        <w:rPr>
          <w:rFonts w:hint="default" w:eastAsia="宋体"/>
          <w:color w:val="auto"/>
          <w:lang w:val="en-US" w:eastAsia="zh-CN"/>
        </w:rPr>
      </w:pPr>
      <w:r>
        <w:rPr>
          <w:rFonts w:hint="eastAsia" w:ascii="宋体" w:hAnsi="宋体" w:cs="宋体"/>
          <w:b w:val="0"/>
          <w:bCs w:val="0"/>
          <w:color w:val="auto"/>
          <w:sz w:val="24"/>
          <w:szCs w:val="24"/>
          <w:highlight w:val="none"/>
          <w:lang w:val="en-US" w:eastAsia="zh-CN"/>
        </w:rPr>
        <w:t xml:space="preserve">    5、企业资信</w:t>
      </w:r>
    </w:p>
    <w:p w14:paraId="183BB8BD">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、投标人认为需提供的证明文件及其它资料</w:t>
      </w:r>
    </w:p>
    <w:p w14:paraId="0F04A260">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四、技术文件</w:t>
      </w:r>
    </w:p>
    <w:p w14:paraId="3330A5B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w:t>
      </w:r>
    </w:p>
    <w:p w14:paraId="5250179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2、售后</w:t>
      </w:r>
      <w:r>
        <w:rPr>
          <w:rFonts w:hint="eastAsia" w:ascii="宋体" w:hAnsi="宋体" w:cs="宋体"/>
          <w:b w:val="0"/>
          <w:bCs w:val="0"/>
          <w:color w:val="auto"/>
          <w:sz w:val="24"/>
          <w:szCs w:val="24"/>
          <w:highlight w:val="none"/>
          <w:lang w:val="en-US" w:eastAsia="zh-CN"/>
        </w:rPr>
        <w:t>服务承诺</w:t>
      </w:r>
      <w:r>
        <w:rPr>
          <w:rFonts w:hint="eastAsia" w:ascii="宋体" w:hAnsi="宋体" w:eastAsia="宋体" w:cs="宋体"/>
          <w:b w:val="0"/>
          <w:bCs w:val="0"/>
          <w:color w:val="auto"/>
          <w:sz w:val="24"/>
          <w:szCs w:val="24"/>
          <w:highlight w:val="none"/>
          <w:lang w:val="en-US" w:eastAsia="zh-CN"/>
        </w:rPr>
        <w:t>及维保方案</w:t>
      </w:r>
    </w:p>
    <w:p w14:paraId="554168D7">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3、培训服务方案</w:t>
      </w:r>
    </w:p>
    <w:p w14:paraId="4E2F5F84">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4、配送方案</w:t>
      </w:r>
    </w:p>
    <w:p w14:paraId="2F802D6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5、应急处理方案</w:t>
      </w:r>
    </w:p>
    <w:p w14:paraId="73F81768">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、产品简要说明一览表</w:t>
      </w:r>
    </w:p>
    <w:p w14:paraId="6C3F3913">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、服务承诺书</w:t>
      </w:r>
    </w:p>
    <w:p w14:paraId="44A01BFB">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Style w:val="36"/>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Style w:val="36"/>
          <w:rFonts w:hint="eastAsia" w:ascii="宋体" w:hAnsi="宋体" w:eastAsia="宋体" w:cs="宋体"/>
          <w:b w:val="0"/>
          <w:bCs w:val="0"/>
          <w:color w:val="auto"/>
          <w:sz w:val="24"/>
          <w:szCs w:val="24"/>
          <w:highlight w:val="none"/>
        </w:rPr>
        <w:t>技术参数、功能偏离表</w:t>
      </w:r>
    </w:p>
    <w:p w14:paraId="1AD6A9A0">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商务条款偏离表</w:t>
      </w:r>
    </w:p>
    <w:p w14:paraId="204A177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、项目负责人简历表及拟投入本项目主要成员</w:t>
      </w:r>
    </w:p>
    <w:p w14:paraId="0D019BC6">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、投标人认为需提供的证明文件及其它资料</w:t>
      </w:r>
    </w:p>
    <w:p w14:paraId="231ACDE5">
      <w:pPr>
        <w:pStyle w:val="53"/>
        <w:spacing w:line="360" w:lineRule="auto"/>
        <w:jc w:val="center"/>
        <w:rPr>
          <w:rFonts w:hint="eastAsia" w:ascii="宋体" w:hAnsi="宋体" w:eastAsia="宋体" w:cs="宋体"/>
          <w:color w:val="auto"/>
          <w:sz w:val="24"/>
          <w:szCs w:val="24"/>
          <w:highlight w:val="none"/>
        </w:rPr>
      </w:pPr>
    </w:p>
    <w:bookmarkEnd w:id="22"/>
    <w:p w14:paraId="3EF42714">
      <w:pPr>
        <w:pStyle w:val="62"/>
        <w:jc w:val="center"/>
        <w:outlineLvl w:val="1"/>
        <w:rPr>
          <w:rFonts w:hint="eastAsia" w:ascii="宋体" w:hAnsi="宋体" w:eastAsia="宋体" w:cs="宋体"/>
          <w:color w:val="auto"/>
          <w:sz w:val="24"/>
          <w:szCs w:val="24"/>
          <w:highlight w:val="none"/>
        </w:rPr>
      </w:pPr>
      <w:bookmarkStart w:id="83" w:name="_Toc29976"/>
      <w:bookmarkStart w:id="84" w:name="_Toc7857"/>
      <w:bookmarkStart w:id="85" w:name="_Toc28720"/>
      <w:bookmarkStart w:id="86" w:name="_Toc2623"/>
      <w:r>
        <w:rPr>
          <w:rFonts w:hint="eastAsia" w:ascii="宋体" w:hAnsi="宋体" w:eastAsia="宋体" w:cs="宋体"/>
          <w:color w:val="auto"/>
          <w:sz w:val="28"/>
          <w:szCs w:val="28"/>
          <w:highlight w:val="none"/>
        </w:rPr>
        <w:t>二、资格审查材料</w:t>
      </w:r>
      <w:bookmarkEnd w:id="83"/>
      <w:bookmarkEnd w:id="84"/>
      <w:bookmarkEnd w:id="85"/>
      <w:bookmarkEnd w:id="86"/>
    </w:p>
    <w:p w14:paraId="114204A9">
      <w:pPr>
        <w:pStyle w:val="63"/>
        <w:outlineLvl w:val="2"/>
        <w:rPr>
          <w:rFonts w:hint="eastAsia" w:ascii="宋体" w:hAnsi="宋体" w:eastAsia="宋体" w:cs="宋体"/>
          <w:color w:val="auto"/>
          <w:sz w:val="24"/>
          <w:szCs w:val="24"/>
          <w:highlight w:val="none"/>
        </w:rPr>
      </w:pPr>
      <w:bookmarkStart w:id="87" w:name="_Toc21290"/>
      <w:bookmarkStart w:id="88" w:name="_Toc1137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营业执照、组织机构代码证、税务登记证</w:t>
      </w:r>
      <w:bookmarkEnd w:id="87"/>
      <w:bookmarkEnd w:id="88"/>
    </w:p>
    <w:p w14:paraId="61A36FA7">
      <w:pPr>
        <w:pStyle w:val="64"/>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说明：此处上传营业执照、组织机构代码证、税务登记证，如三证合一，只需要导入营业执照即可。</w:t>
      </w:r>
    </w:p>
    <w:p w14:paraId="21D62E12">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7C732B6A">
      <w:pPr>
        <w:pStyle w:val="65"/>
        <w:jc w:val="center"/>
        <w:outlineLvl w:val="1"/>
        <w:rPr>
          <w:rFonts w:hint="eastAsia" w:ascii="宋体" w:hAnsi="宋体" w:eastAsia="宋体" w:cs="宋体"/>
          <w:color w:val="auto"/>
          <w:sz w:val="24"/>
          <w:szCs w:val="24"/>
          <w:highlight w:val="none"/>
          <w:lang w:val="en-US" w:eastAsia="zh-CN"/>
        </w:rPr>
      </w:pPr>
      <w:bookmarkStart w:id="89" w:name="_Toc31884"/>
      <w:bookmarkStart w:id="90" w:name="_Toc30067"/>
      <w:bookmarkStart w:id="91" w:name="_Toc32734"/>
      <w:bookmarkStart w:id="92" w:name="_Toc20627"/>
    </w:p>
    <w:p w14:paraId="35926748">
      <w:pPr>
        <w:pStyle w:val="65"/>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法定代表人身份证明及授权委托书</w:t>
      </w:r>
      <w:bookmarkEnd w:id="89"/>
      <w:bookmarkEnd w:id="90"/>
      <w:bookmarkEnd w:id="91"/>
      <w:bookmarkEnd w:id="92"/>
      <w:bookmarkStart w:id="93" w:name="_Toc468535482"/>
    </w:p>
    <w:p w14:paraId="5DC393DB">
      <w:pPr>
        <w:pStyle w:val="66"/>
        <w:jc w:val="center"/>
        <w:outlineLvl w:val="9"/>
        <w:rPr>
          <w:rFonts w:hint="eastAsia" w:ascii="宋体" w:hAnsi="宋体" w:eastAsia="宋体" w:cs="宋体"/>
          <w:b/>
          <w:bCs w:val="0"/>
          <w:color w:val="auto"/>
          <w:sz w:val="24"/>
          <w:szCs w:val="24"/>
          <w:highlight w:val="none"/>
          <w:lang w:eastAsia="zh-CN"/>
        </w:rPr>
      </w:pPr>
      <w:bookmarkStart w:id="94" w:name="_Toc480371721"/>
      <w:bookmarkStart w:id="95" w:name="_Toc480368424"/>
      <w:bookmarkStart w:id="96" w:name="_Toc480368653"/>
      <w:bookmarkStart w:id="97" w:name="_Toc29225"/>
      <w:bookmarkStart w:id="98" w:name="_Toc31558"/>
      <w:bookmarkStart w:id="99" w:name="_Toc480368595"/>
      <w:r>
        <w:rPr>
          <w:rFonts w:hint="eastAsia" w:ascii="宋体" w:hAnsi="宋体" w:eastAsia="宋体" w:cs="宋体"/>
          <w:b/>
          <w:bCs w:val="0"/>
          <w:color w:val="auto"/>
          <w:sz w:val="24"/>
          <w:szCs w:val="24"/>
          <w:highlight w:val="none"/>
        </w:rPr>
        <w:t>法定代表人资格证明文件</w:t>
      </w:r>
      <w:bookmarkEnd w:id="93"/>
      <w:bookmarkEnd w:id="94"/>
      <w:bookmarkEnd w:id="95"/>
      <w:bookmarkEnd w:id="96"/>
      <w:bookmarkEnd w:id="97"/>
      <w:bookmarkEnd w:id="98"/>
      <w:bookmarkEnd w:id="99"/>
    </w:p>
    <w:p w14:paraId="43AD6EAC">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7151AC4A">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12EF4E24">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0532B400">
      <w:pPr>
        <w:pStyle w:val="64"/>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9585C4D">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DE5025E">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7A7293DE">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BB3DAE8">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2FAC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50420E79">
            <w:pPr>
              <w:pStyle w:val="64"/>
              <w:adjustRightInd w:val="0"/>
              <w:snapToGrid w:val="0"/>
              <w:spacing w:line="500" w:lineRule="exact"/>
              <w:jc w:val="center"/>
              <w:rPr>
                <w:rFonts w:hint="eastAsia" w:ascii="宋体" w:hAnsi="宋体" w:eastAsia="宋体" w:cs="宋体"/>
                <w:color w:val="auto"/>
                <w:sz w:val="24"/>
                <w:szCs w:val="24"/>
                <w:highlight w:val="none"/>
              </w:rPr>
            </w:pPr>
          </w:p>
          <w:p w14:paraId="69F81046">
            <w:pPr>
              <w:pStyle w:val="64"/>
              <w:adjustRightInd w:val="0"/>
              <w:snapToGrid w:val="0"/>
              <w:spacing w:line="500" w:lineRule="exact"/>
              <w:jc w:val="center"/>
              <w:rPr>
                <w:rFonts w:hint="eastAsia" w:ascii="宋体" w:hAnsi="宋体" w:eastAsia="宋体" w:cs="宋体"/>
                <w:color w:val="auto"/>
                <w:sz w:val="24"/>
                <w:szCs w:val="24"/>
                <w:highlight w:val="none"/>
              </w:rPr>
            </w:pPr>
          </w:p>
          <w:p w14:paraId="1F62E160">
            <w:pPr>
              <w:pStyle w:val="64"/>
              <w:adjustRightInd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法定代表人《居民身份证》</w:t>
            </w:r>
            <w:r>
              <w:rPr>
                <w:rFonts w:hint="eastAsia" w:ascii="宋体" w:hAnsi="宋体" w:eastAsia="宋体" w:cs="宋体"/>
                <w:color w:val="auto"/>
                <w:sz w:val="24"/>
                <w:szCs w:val="24"/>
                <w:highlight w:val="none"/>
                <w:lang w:eastAsia="zh-CN"/>
              </w:rPr>
              <w:t>原件扫描件</w:t>
            </w:r>
          </w:p>
        </w:tc>
      </w:tr>
    </w:tbl>
    <w:p w14:paraId="55D5973A">
      <w:pPr>
        <w:pStyle w:val="64"/>
        <w:adjustRightInd w:val="0"/>
        <w:snapToGrid w:val="0"/>
        <w:spacing w:line="500" w:lineRule="exact"/>
        <w:rPr>
          <w:rFonts w:hint="eastAsia" w:ascii="宋体" w:hAnsi="宋体" w:eastAsia="宋体" w:cs="宋体"/>
          <w:color w:val="auto"/>
          <w:sz w:val="24"/>
          <w:szCs w:val="24"/>
          <w:highlight w:val="none"/>
        </w:rPr>
      </w:pPr>
    </w:p>
    <w:p w14:paraId="4CDBEF4F">
      <w:pPr>
        <w:pStyle w:val="64"/>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325B89D7">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58DF021E">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 ：</w:t>
      </w:r>
      <w:r>
        <w:rPr>
          <w:rFonts w:hint="eastAsia" w:ascii="宋体" w:hAnsi="宋体" w:eastAsia="宋体" w:cs="宋体"/>
          <w:color w:val="auto"/>
          <w:sz w:val="24"/>
          <w:szCs w:val="24"/>
          <w:highlight w:val="none"/>
          <w:u w:val="single"/>
        </w:rPr>
        <w:t xml:space="preserve">           </w:t>
      </w:r>
    </w:p>
    <w:p w14:paraId="2E20D114">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4B14A438">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9E78D5">
      <w:pPr>
        <w:pStyle w:val="66"/>
        <w:outlineLvl w:val="0"/>
        <w:rPr>
          <w:rFonts w:hint="eastAsia" w:ascii="宋体" w:hAnsi="宋体" w:eastAsia="宋体" w:cs="宋体"/>
          <w:b/>
          <w:bCs/>
          <w:color w:val="auto"/>
          <w:sz w:val="24"/>
          <w:szCs w:val="24"/>
          <w:highlight w:val="none"/>
        </w:rPr>
      </w:pPr>
      <w:bookmarkStart w:id="100" w:name="_Toc24043"/>
      <w:bookmarkStart w:id="101" w:name="_Toc21518"/>
      <w:bookmarkStart w:id="102" w:name="_Toc9423"/>
      <w:bookmarkStart w:id="103" w:name="_Toc27033"/>
      <w:bookmarkStart w:id="104" w:name="_Toc12692"/>
      <w:bookmarkStart w:id="105" w:name="_Toc32141"/>
      <w:bookmarkStart w:id="106" w:name="_Toc424"/>
    </w:p>
    <w:p w14:paraId="6336D916">
      <w:pPr>
        <w:pStyle w:val="66"/>
        <w:outlineLvl w:val="0"/>
        <w:rPr>
          <w:rFonts w:hint="eastAsia" w:ascii="宋体" w:hAnsi="宋体" w:eastAsia="宋体" w:cs="宋体"/>
          <w:b/>
          <w:bCs/>
          <w:color w:val="auto"/>
          <w:sz w:val="24"/>
          <w:szCs w:val="24"/>
          <w:highlight w:val="none"/>
        </w:rPr>
      </w:pPr>
    </w:p>
    <w:p w14:paraId="31CDADFC">
      <w:pPr>
        <w:pStyle w:val="66"/>
        <w:outlineLvl w:val="0"/>
        <w:rPr>
          <w:rFonts w:hint="eastAsia" w:ascii="宋体" w:hAnsi="宋体" w:eastAsia="宋体" w:cs="宋体"/>
          <w:b/>
          <w:bCs/>
          <w:color w:val="auto"/>
          <w:sz w:val="24"/>
          <w:szCs w:val="24"/>
          <w:highlight w:val="none"/>
        </w:rPr>
      </w:pPr>
    </w:p>
    <w:p w14:paraId="79AC3758">
      <w:pPr>
        <w:pStyle w:val="64"/>
        <w:rPr>
          <w:rFonts w:hint="eastAsia"/>
          <w:color w:val="auto"/>
          <w:highlight w:val="none"/>
        </w:rPr>
      </w:pPr>
    </w:p>
    <w:p w14:paraId="4A034593">
      <w:pPr>
        <w:pStyle w:val="66"/>
        <w:outlineLvl w:val="0"/>
        <w:rPr>
          <w:rFonts w:hint="eastAsia" w:ascii="宋体" w:hAnsi="宋体" w:eastAsia="宋体" w:cs="宋体"/>
          <w:b/>
          <w:bCs/>
          <w:color w:val="auto"/>
          <w:sz w:val="24"/>
          <w:szCs w:val="24"/>
          <w:highlight w:val="none"/>
        </w:rPr>
      </w:pPr>
    </w:p>
    <w:p w14:paraId="03C510A0">
      <w:pPr>
        <w:pStyle w:val="66"/>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bookmarkEnd w:id="100"/>
      <w:bookmarkEnd w:id="101"/>
      <w:bookmarkEnd w:id="102"/>
      <w:bookmarkEnd w:id="103"/>
      <w:bookmarkEnd w:id="104"/>
      <w:bookmarkEnd w:id="105"/>
      <w:bookmarkEnd w:id="106"/>
    </w:p>
    <w:p w14:paraId="3765CA7E">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2E07E56B">
      <w:pPr>
        <w:pStyle w:val="6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0786C55D">
      <w:pPr>
        <w:pStyle w:val="64"/>
        <w:spacing w:line="500" w:lineRule="exact"/>
        <w:rPr>
          <w:rFonts w:hint="eastAsia" w:ascii="宋体" w:hAnsi="宋体" w:eastAsia="宋体" w:cs="宋体"/>
          <w:color w:val="auto"/>
          <w:sz w:val="24"/>
          <w:szCs w:val="24"/>
          <w:highlight w:val="none"/>
        </w:rPr>
      </w:pPr>
    </w:p>
    <w:p w14:paraId="09547E75">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2BD75A55">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w:t>
      </w:r>
      <w:r>
        <w:rPr>
          <w:rFonts w:hint="eastAsia" w:ascii="宋体" w:hAnsi="宋体" w:eastAsia="宋体" w:cs="宋体"/>
          <w:color w:val="auto"/>
          <w:sz w:val="24"/>
          <w:szCs w:val="24"/>
          <w:highlight w:val="none"/>
          <w:u w:val="single"/>
        </w:rPr>
        <w:t xml:space="preserve">       </w:t>
      </w:r>
    </w:p>
    <w:p w14:paraId="00E49E49">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0184FB">
      <w:pPr>
        <w:pStyle w:val="64"/>
        <w:spacing w:line="500" w:lineRule="exact"/>
        <w:rPr>
          <w:rFonts w:hint="eastAsia" w:ascii="宋体" w:hAnsi="宋体" w:eastAsia="宋体" w:cs="宋体"/>
          <w:color w:val="auto"/>
          <w:sz w:val="24"/>
          <w:szCs w:val="24"/>
          <w:highlight w:val="none"/>
        </w:rPr>
      </w:pPr>
    </w:p>
    <w:p w14:paraId="0F2158AA">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724440E">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12DFE643">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495E8E03">
      <w:pPr>
        <w:pStyle w:val="64"/>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D7A93CD">
      <w:pPr>
        <w:pStyle w:val="64"/>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0EE6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57DF6F7F">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w:t>
            </w:r>
            <w:r>
              <w:rPr>
                <w:rFonts w:hint="eastAsia" w:ascii="宋体" w:hAnsi="宋体" w:eastAsia="宋体" w:cs="宋体"/>
                <w:color w:val="auto"/>
                <w:sz w:val="24"/>
                <w:szCs w:val="24"/>
                <w:highlight w:val="none"/>
                <w:lang w:eastAsia="zh-CN"/>
              </w:rPr>
              <w:t>原件扫描件</w:t>
            </w:r>
            <w:r>
              <w:rPr>
                <w:rFonts w:hint="eastAsia" w:ascii="宋体" w:hAnsi="宋体" w:eastAsia="宋体" w:cs="宋体"/>
                <w:color w:val="auto"/>
                <w:sz w:val="24"/>
                <w:szCs w:val="24"/>
                <w:highlight w:val="none"/>
              </w:rPr>
              <w:t>）</w:t>
            </w:r>
          </w:p>
        </w:tc>
      </w:tr>
    </w:tbl>
    <w:p w14:paraId="0865CB3C">
      <w:pPr>
        <w:pStyle w:val="67"/>
        <w:outlineLvl w:val="2"/>
        <w:rPr>
          <w:rFonts w:hint="eastAsia" w:ascii="宋体" w:hAnsi="宋体" w:eastAsia="宋体" w:cs="宋体"/>
          <w:color w:val="auto"/>
          <w:sz w:val="24"/>
          <w:szCs w:val="24"/>
          <w:highlight w:val="none"/>
          <w:lang w:val="en-US" w:eastAsia="zh-CN"/>
        </w:rPr>
      </w:pPr>
      <w:bookmarkStart w:id="107" w:name="_Toc3913"/>
      <w:bookmarkStart w:id="108" w:name="_Toc7716"/>
    </w:p>
    <w:p w14:paraId="75CD9A54">
      <w:pPr>
        <w:pStyle w:val="67"/>
        <w:outlineLvl w:val="2"/>
        <w:rPr>
          <w:rFonts w:hint="eastAsia" w:ascii="宋体" w:hAnsi="宋体" w:eastAsia="宋体" w:cs="宋体"/>
          <w:color w:val="auto"/>
          <w:sz w:val="24"/>
          <w:szCs w:val="24"/>
          <w:highlight w:val="none"/>
          <w:lang w:val="en-US" w:eastAsia="zh-CN"/>
        </w:rPr>
      </w:pPr>
    </w:p>
    <w:p w14:paraId="226EEF7E">
      <w:pPr>
        <w:pStyle w:val="67"/>
        <w:outlineLvl w:val="2"/>
        <w:rPr>
          <w:rFonts w:hint="eastAsia" w:ascii="宋体" w:hAnsi="宋体" w:eastAsia="宋体" w:cs="宋体"/>
          <w:color w:val="auto"/>
          <w:sz w:val="24"/>
          <w:szCs w:val="24"/>
          <w:highlight w:val="none"/>
          <w:lang w:val="en-US" w:eastAsia="zh-CN"/>
        </w:rPr>
      </w:pPr>
    </w:p>
    <w:p w14:paraId="76181318">
      <w:pPr>
        <w:pStyle w:val="67"/>
        <w:outlineLvl w:val="2"/>
        <w:rPr>
          <w:rFonts w:hint="eastAsia" w:ascii="宋体" w:hAnsi="宋体" w:eastAsia="宋体" w:cs="宋体"/>
          <w:color w:val="auto"/>
          <w:sz w:val="24"/>
          <w:szCs w:val="24"/>
          <w:highlight w:val="none"/>
          <w:lang w:val="en-US" w:eastAsia="zh-CN"/>
        </w:rPr>
      </w:pPr>
    </w:p>
    <w:p w14:paraId="4952C9B3">
      <w:pPr>
        <w:pStyle w:val="67"/>
        <w:outlineLvl w:val="2"/>
        <w:rPr>
          <w:rFonts w:hint="eastAsia" w:ascii="宋体" w:hAnsi="宋体" w:eastAsia="宋体" w:cs="宋体"/>
          <w:color w:val="auto"/>
          <w:sz w:val="24"/>
          <w:szCs w:val="24"/>
          <w:highlight w:val="none"/>
          <w:lang w:val="en-US" w:eastAsia="zh-CN"/>
        </w:rPr>
      </w:pPr>
    </w:p>
    <w:p w14:paraId="405F5BAB">
      <w:pPr>
        <w:pStyle w:val="67"/>
        <w:outlineLvl w:val="2"/>
        <w:rPr>
          <w:rFonts w:hint="eastAsia" w:ascii="宋体" w:hAnsi="宋体" w:eastAsia="宋体" w:cs="宋体"/>
          <w:color w:val="auto"/>
          <w:sz w:val="24"/>
          <w:szCs w:val="24"/>
          <w:highlight w:val="none"/>
          <w:lang w:val="en-US" w:eastAsia="zh-CN"/>
        </w:rPr>
      </w:pPr>
    </w:p>
    <w:p w14:paraId="7938227F">
      <w:pPr>
        <w:pStyle w:val="67"/>
        <w:outlineLvl w:val="2"/>
        <w:rPr>
          <w:rFonts w:hint="eastAsia" w:ascii="宋体" w:hAnsi="宋体" w:eastAsia="宋体" w:cs="宋体"/>
          <w:color w:val="auto"/>
          <w:sz w:val="24"/>
          <w:szCs w:val="24"/>
          <w:highlight w:val="none"/>
          <w:lang w:val="en-US" w:eastAsia="zh-CN"/>
        </w:rPr>
      </w:pPr>
    </w:p>
    <w:p w14:paraId="7801C512">
      <w:pPr>
        <w:pStyle w:val="67"/>
        <w:outlineLvl w:val="2"/>
        <w:rPr>
          <w:rFonts w:hint="eastAsia" w:ascii="宋体" w:hAnsi="宋体" w:eastAsia="宋体" w:cs="宋体"/>
          <w:color w:val="auto"/>
          <w:sz w:val="24"/>
          <w:szCs w:val="24"/>
          <w:highlight w:val="none"/>
          <w:lang w:val="en-US" w:eastAsia="zh-CN"/>
        </w:rPr>
      </w:pPr>
    </w:p>
    <w:p w14:paraId="15E4496A">
      <w:pPr>
        <w:pStyle w:val="67"/>
        <w:outlineLvl w:val="2"/>
        <w:rPr>
          <w:rFonts w:hint="eastAsia" w:ascii="宋体" w:hAnsi="宋体" w:eastAsia="宋体" w:cs="宋体"/>
          <w:color w:val="auto"/>
          <w:sz w:val="24"/>
          <w:szCs w:val="24"/>
          <w:highlight w:val="none"/>
          <w:lang w:val="en-US" w:eastAsia="zh-CN"/>
        </w:rPr>
      </w:pPr>
    </w:p>
    <w:p w14:paraId="43A6784F">
      <w:pPr>
        <w:pStyle w:val="67"/>
        <w:outlineLvl w:val="2"/>
        <w:rPr>
          <w:rFonts w:hint="eastAsia" w:ascii="宋体" w:hAnsi="宋体" w:eastAsia="宋体" w:cs="宋体"/>
          <w:color w:val="auto"/>
          <w:sz w:val="24"/>
          <w:szCs w:val="24"/>
          <w:highlight w:val="none"/>
          <w:lang w:val="en-US" w:eastAsia="zh-CN"/>
        </w:rPr>
      </w:pPr>
    </w:p>
    <w:p w14:paraId="642CB1BB">
      <w:pPr>
        <w:pStyle w:val="67"/>
        <w:outlineLvl w:val="2"/>
        <w:rPr>
          <w:rFonts w:hint="eastAsia" w:ascii="宋体" w:hAnsi="宋体" w:eastAsia="宋体" w:cs="宋体"/>
          <w:color w:val="auto"/>
          <w:sz w:val="24"/>
          <w:szCs w:val="24"/>
          <w:highlight w:val="none"/>
          <w:lang w:val="en-US" w:eastAsia="zh-CN"/>
        </w:rPr>
      </w:pPr>
    </w:p>
    <w:p w14:paraId="7364DD3D">
      <w:pPr>
        <w:pStyle w:val="67"/>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w:t>
      </w:r>
      <w:bookmarkEnd w:id="107"/>
      <w:bookmarkEnd w:id="108"/>
    </w:p>
    <w:p w14:paraId="5AF70F88">
      <w:pPr>
        <w:rPr>
          <w:rFonts w:hint="eastAsia" w:ascii="宋体" w:hAnsi="宋体" w:eastAsia="宋体" w:cs="宋体"/>
          <w:color w:val="auto"/>
          <w:kern w:val="2"/>
          <w:sz w:val="24"/>
          <w:szCs w:val="24"/>
          <w:highlight w:val="none"/>
          <w:lang w:val="en-US" w:eastAsia="zh-CN" w:bidi="ar-SA"/>
        </w:rPr>
      </w:pPr>
    </w:p>
    <w:p w14:paraId="518AF00A">
      <w:pPr>
        <w:pStyle w:val="14"/>
        <w:rPr>
          <w:rFonts w:hint="eastAsia" w:ascii="宋体" w:hAnsi="宋体" w:eastAsia="宋体" w:cs="宋体"/>
          <w:color w:val="auto"/>
          <w:kern w:val="2"/>
          <w:sz w:val="24"/>
          <w:szCs w:val="24"/>
          <w:highlight w:val="none"/>
          <w:lang w:val="en-US" w:eastAsia="zh-CN" w:bidi="ar-SA"/>
        </w:rPr>
      </w:pPr>
    </w:p>
    <w:p w14:paraId="7442B0C3">
      <w:pPr>
        <w:pStyle w:val="14"/>
        <w:rPr>
          <w:rFonts w:hint="eastAsia" w:ascii="宋体" w:hAnsi="宋体" w:eastAsia="宋体" w:cs="宋体"/>
          <w:color w:val="auto"/>
          <w:kern w:val="2"/>
          <w:sz w:val="24"/>
          <w:szCs w:val="24"/>
          <w:highlight w:val="none"/>
          <w:lang w:val="en-US" w:eastAsia="zh-CN" w:bidi="ar-SA"/>
        </w:rPr>
      </w:pPr>
    </w:p>
    <w:p w14:paraId="0E2CB3A2">
      <w:pPr>
        <w:pStyle w:val="14"/>
        <w:rPr>
          <w:rFonts w:hint="eastAsia" w:ascii="宋体" w:hAnsi="宋体" w:eastAsia="宋体" w:cs="宋体"/>
          <w:color w:val="auto"/>
          <w:kern w:val="2"/>
          <w:sz w:val="24"/>
          <w:szCs w:val="24"/>
          <w:highlight w:val="none"/>
          <w:lang w:val="en-US" w:eastAsia="zh-CN" w:bidi="ar-SA"/>
        </w:rPr>
      </w:pPr>
    </w:p>
    <w:p w14:paraId="4FE043E1">
      <w:pPr>
        <w:pStyle w:val="14"/>
        <w:rPr>
          <w:rFonts w:hint="eastAsia" w:ascii="宋体" w:hAnsi="宋体" w:eastAsia="宋体" w:cs="宋体"/>
          <w:color w:val="auto"/>
          <w:kern w:val="2"/>
          <w:sz w:val="24"/>
          <w:szCs w:val="24"/>
          <w:highlight w:val="none"/>
          <w:lang w:val="en-US" w:eastAsia="zh-CN" w:bidi="ar-SA"/>
        </w:rPr>
      </w:pPr>
    </w:p>
    <w:p w14:paraId="5A9EED34">
      <w:pPr>
        <w:pStyle w:val="14"/>
        <w:rPr>
          <w:rFonts w:hint="eastAsia" w:ascii="宋体" w:hAnsi="宋体" w:eastAsia="宋体" w:cs="宋体"/>
          <w:color w:val="auto"/>
          <w:kern w:val="2"/>
          <w:sz w:val="24"/>
          <w:szCs w:val="24"/>
          <w:highlight w:val="none"/>
          <w:lang w:val="en-US" w:eastAsia="zh-CN" w:bidi="ar-SA"/>
        </w:rPr>
      </w:pPr>
    </w:p>
    <w:p w14:paraId="35F3A0E0">
      <w:pPr>
        <w:pStyle w:val="14"/>
        <w:rPr>
          <w:rFonts w:hint="eastAsia" w:ascii="宋体" w:hAnsi="宋体" w:eastAsia="宋体" w:cs="宋体"/>
          <w:color w:val="auto"/>
          <w:kern w:val="2"/>
          <w:sz w:val="24"/>
          <w:szCs w:val="24"/>
          <w:highlight w:val="none"/>
          <w:lang w:val="en-US" w:eastAsia="zh-CN" w:bidi="ar-SA"/>
        </w:rPr>
      </w:pPr>
    </w:p>
    <w:p w14:paraId="34F3CB56">
      <w:pPr>
        <w:pStyle w:val="14"/>
        <w:rPr>
          <w:rFonts w:hint="eastAsia" w:ascii="宋体" w:hAnsi="宋体" w:eastAsia="宋体" w:cs="宋体"/>
          <w:color w:val="auto"/>
          <w:kern w:val="2"/>
          <w:sz w:val="24"/>
          <w:szCs w:val="24"/>
          <w:highlight w:val="none"/>
          <w:lang w:val="en-US" w:eastAsia="zh-CN" w:bidi="ar-SA"/>
        </w:rPr>
      </w:pPr>
    </w:p>
    <w:p w14:paraId="2202D0A1">
      <w:pPr>
        <w:pStyle w:val="14"/>
        <w:rPr>
          <w:rFonts w:hint="eastAsia" w:ascii="宋体" w:hAnsi="宋体" w:eastAsia="宋体" w:cs="宋体"/>
          <w:color w:val="auto"/>
          <w:kern w:val="2"/>
          <w:sz w:val="24"/>
          <w:szCs w:val="24"/>
          <w:highlight w:val="none"/>
          <w:lang w:val="en-US" w:eastAsia="zh-CN" w:bidi="ar-SA"/>
        </w:rPr>
      </w:pPr>
    </w:p>
    <w:p w14:paraId="6ABE00AC">
      <w:pPr>
        <w:pStyle w:val="14"/>
        <w:rPr>
          <w:rFonts w:hint="eastAsia" w:ascii="宋体" w:hAnsi="宋体" w:eastAsia="宋体" w:cs="宋体"/>
          <w:color w:val="auto"/>
          <w:kern w:val="2"/>
          <w:sz w:val="24"/>
          <w:szCs w:val="24"/>
          <w:highlight w:val="none"/>
          <w:lang w:val="en-US" w:eastAsia="zh-CN" w:bidi="ar-SA"/>
        </w:rPr>
      </w:pPr>
    </w:p>
    <w:p w14:paraId="2FEB5202">
      <w:pPr>
        <w:pStyle w:val="14"/>
        <w:rPr>
          <w:rFonts w:hint="eastAsia" w:ascii="宋体" w:hAnsi="宋体" w:eastAsia="宋体" w:cs="宋体"/>
          <w:color w:val="auto"/>
          <w:kern w:val="2"/>
          <w:sz w:val="24"/>
          <w:szCs w:val="24"/>
          <w:highlight w:val="none"/>
          <w:lang w:val="en-US" w:eastAsia="zh-CN" w:bidi="ar-SA"/>
        </w:rPr>
      </w:pPr>
    </w:p>
    <w:p w14:paraId="54265CE3">
      <w:pPr>
        <w:pStyle w:val="14"/>
        <w:rPr>
          <w:rFonts w:hint="eastAsia" w:ascii="宋体" w:hAnsi="宋体" w:eastAsia="宋体" w:cs="宋体"/>
          <w:color w:val="auto"/>
          <w:kern w:val="2"/>
          <w:sz w:val="24"/>
          <w:szCs w:val="24"/>
          <w:highlight w:val="none"/>
          <w:lang w:val="en-US" w:eastAsia="zh-CN" w:bidi="ar-SA"/>
        </w:rPr>
      </w:pPr>
    </w:p>
    <w:p w14:paraId="60E4A340">
      <w:pPr>
        <w:pStyle w:val="14"/>
        <w:rPr>
          <w:rFonts w:hint="eastAsia" w:ascii="宋体" w:hAnsi="宋体" w:eastAsia="宋体" w:cs="宋体"/>
          <w:color w:val="auto"/>
          <w:kern w:val="2"/>
          <w:sz w:val="24"/>
          <w:szCs w:val="24"/>
          <w:highlight w:val="none"/>
          <w:lang w:val="en-US" w:eastAsia="zh-CN" w:bidi="ar-SA"/>
        </w:rPr>
      </w:pPr>
    </w:p>
    <w:p w14:paraId="44E03D44">
      <w:pPr>
        <w:pStyle w:val="14"/>
        <w:rPr>
          <w:rFonts w:hint="eastAsia" w:ascii="宋体" w:hAnsi="宋体" w:eastAsia="宋体" w:cs="宋体"/>
          <w:color w:val="auto"/>
          <w:kern w:val="2"/>
          <w:sz w:val="24"/>
          <w:szCs w:val="24"/>
          <w:highlight w:val="none"/>
          <w:lang w:val="en-US" w:eastAsia="zh-CN" w:bidi="ar-SA"/>
        </w:rPr>
      </w:pPr>
    </w:p>
    <w:p w14:paraId="5C4AB79C">
      <w:pPr>
        <w:pStyle w:val="14"/>
        <w:rPr>
          <w:rFonts w:hint="eastAsia" w:ascii="宋体" w:hAnsi="宋体" w:eastAsia="宋体" w:cs="宋体"/>
          <w:color w:val="auto"/>
          <w:kern w:val="2"/>
          <w:sz w:val="24"/>
          <w:szCs w:val="24"/>
          <w:highlight w:val="none"/>
          <w:lang w:val="en-US" w:eastAsia="zh-CN" w:bidi="ar-SA"/>
        </w:rPr>
      </w:pPr>
    </w:p>
    <w:p w14:paraId="3F3ABEC3">
      <w:pPr>
        <w:pStyle w:val="14"/>
        <w:rPr>
          <w:rFonts w:hint="eastAsia" w:ascii="宋体" w:hAnsi="宋体" w:eastAsia="宋体" w:cs="宋体"/>
          <w:color w:val="auto"/>
          <w:kern w:val="2"/>
          <w:sz w:val="24"/>
          <w:szCs w:val="24"/>
          <w:highlight w:val="none"/>
          <w:lang w:val="en-US" w:eastAsia="zh-CN" w:bidi="ar-SA"/>
        </w:rPr>
      </w:pPr>
    </w:p>
    <w:p w14:paraId="600EA74C">
      <w:pPr>
        <w:pStyle w:val="14"/>
        <w:rPr>
          <w:rFonts w:hint="eastAsia" w:ascii="宋体" w:hAnsi="宋体" w:eastAsia="宋体" w:cs="宋体"/>
          <w:color w:val="auto"/>
          <w:kern w:val="2"/>
          <w:sz w:val="24"/>
          <w:szCs w:val="24"/>
          <w:highlight w:val="none"/>
          <w:lang w:val="en-US" w:eastAsia="zh-CN" w:bidi="ar-SA"/>
        </w:rPr>
      </w:pPr>
    </w:p>
    <w:p w14:paraId="6DFAD2EE">
      <w:pPr>
        <w:pStyle w:val="14"/>
        <w:rPr>
          <w:rFonts w:hint="eastAsia" w:ascii="宋体" w:hAnsi="宋体" w:eastAsia="宋体" w:cs="宋体"/>
          <w:color w:val="auto"/>
          <w:kern w:val="2"/>
          <w:sz w:val="24"/>
          <w:szCs w:val="24"/>
          <w:highlight w:val="none"/>
          <w:lang w:val="en-US" w:eastAsia="zh-CN" w:bidi="ar-SA"/>
        </w:rPr>
      </w:pPr>
    </w:p>
    <w:p w14:paraId="33FA11CE">
      <w:pPr>
        <w:pStyle w:val="14"/>
        <w:rPr>
          <w:rFonts w:hint="eastAsia" w:ascii="宋体" w:hAnsi="宋体" w:eastAsia="宋体" w:cs="宋体"/>
          <w:color w:val="auto"/>
          <w:kern w:val="2"/>
          <w:sz w:val="24"/>
          <w:szCs w:val="24"/>
          <w:highlight w:val="none"/>
          <w:lang w:val="en-US" w:eastAsia="zh-CN" w:bidi="ar-SA"/>
        </w:rPr>
      </w:pPr>
    </w:p>
    <w:p w14:paraId="64D4B70E">
      <w:pPr>
        <w:pStyle w:val="14"/>
        <w:rPr>
          <w:rFonts w:hint="eastAsia" w:ascii="宋体" w:hAnsi="宋体" w:eastAsia="宋体" w:cs="宋体"/>
          <w:color w:val="auto"/>
          <w:kern w:val="2"/>
          <w:sz w:val="24"/>
          <w:szCs w:val="24"/>
          <w:highlight w:val="none"/>
          <w:lang w:val="en-US" w:eastAsia="zh-CN" w:bidi="ar-SA"/>
        </w:rPr>
      </w:pPr>
    </w:p>
    <w:p w14:paraId="06E38F6A">
      <w:pPr>
        <w:pStyle w:val="14"/>
        <w:rPr>
          <w:rFonts w:hint="eastAsia" w:ascii="宋体" w:hAnsi="宋体" w:eastAsia="宋体" w:cs="宋体"/>
          <w:color w:val="auto"/>
          <w:kern w:val="2"/>
          <w:sz w:val="24"/>
          <w:szCs w:val="24"/>
          <w:highlight w:val="none"/>
          <w:lang w:val="en-US" w:eastAsia="zh-CN" w:bidi="ar-SA"/>
        </w:rPr>
      </w:pPr>
    </w:p>
    <w:p w14:paraId="31BFC62C">
      <w:pPr>
        <w:pStyle w:val="14"/>
        <w:rPr>
          <w:rFonts w:hint="eastAsia" w:ascii="宋体" w:hAnsi="宋体" w:eastAsia="宋体" w:cs="宋体"/>
          <w:color w:val="auto"/>
          <w:kern w:val="2"/>
          <w:sz w:val="24"/>
          <w:szCs w:val="24"/>
          <w:highlight w:val="none"/>
          <w:lang w:val="en-US" w:eastAsia="zh-CN" w:bidi="ar-SA"/>
        </w:rPr>
      </w:pPr>
    </w:p>
    <w:p w14:paraId="41431C9E">
      <w:pPr>
        <w:pStyle w:val="14"/>
        <w:rPr>
          <w:rFonts w:hint="eastAsia" w:ascii="宋体" w:hAnsi="宋体" w:eastAsia="宋体" w:cs="宋体"/>
          <w:color w:val="auto"/>
          <w:kern w:val="2"/>
          <w:sz w:val="24"/>
          <w:szCs w:val="24"/>
          <w:highlight w:val="none"/>
          <w:lang w:val="en-US" w:eastAsia="zh-CN" w:bidi="ar-SA"/>
        </w:rPr>
      </w:pPr>
    </w:p>
    <w:p w14:paraId="7707EB2A">
      <w:pPr>
        <w:pStyle w:val="14"/>
        <w:rPr>
          <w:rFonts w:hint="eastAsia" w:ascii="宋体" w:hAnsi="宋体" w:eastAsia="宋体" w:cs="宋体"/>
          <w:color w:val="auto"/>
          <w:kern w:val="2"/>
          <w:sz w:val="24"/>
          <w:szCs w:val="24"/>
          <w:highlight w:val="none"/>
          <w:lang w:val="en-US" w:eastAsia="zh-CN" w:bidi="ar-SA"/>
        </w:rPr>
      </w:pPr>
    </w:p>
    <w:p w14:paraId="3E3594C4">
      <w:pPr>
        <w:pStyle w:val="14"/>
        <w:rPr>
          <w:rFonts w:hint="eastAsia" w:ascii="宋体" w:hAnsi="宋体" w:eastAsia="宋体" w:cs="宋体"/>
          <w:color w:val="auto"/>
          <w:kern w:val="2"/>
          <w:sz w:val="24"/>
          <w:szCs w:val="24"/>
          <w:highlight w:val="none"/>
          <w:lang w:val="en-US" w:eastAsia="zh-CN" w:bidi="ar-SA"/>
        </w:rPr>
      </w:pPr>
    </w:p>
    <w:p w14:paraId="14A40648">
      <w:pPr>
        <w:pStyle w:val="14"/>
        <w:rPr>
          <w:rFonts w:hint="eastAsia" w:ascii="宋体" w:hAnsi="宋体" w:eastAsia="宋体" w:cs="宋体"/>
          <w:color w:val="auto"/>
          <w:kern w:val="2"/>
          <w:sz w:val="24"/>
          <w:szCs w:val="24"/>
          <w:highlight w:val="none"/>
          <w:lang w:val="en-US" w:eastAsia="zh-CN" w:bidi="ar-SA"/>
        </w:rPr>
      </w:pPr>
    </w:p>
    <w:p w14:paraId="5D1853F4">
      <w:pPr>
        <w:pStyle w:val="14"/>
        <w:rPr>
          <w:rFonts w:hint="eastAsia" w:ascii="宋体" w:hAnsi="宋体" w:eastAsia="宋体" w:cs="宋体"/>
          <w:color w:val="auto"/>
          <w:kern w:val="2"/>
          <w:sz w:val="24"/>
          <w:szCs w:val="24"/>
          <w:highlight w:val="none"/>
          <w:lang w:val="en-US" w:eastAsia="zh-CN" w:bidi="ar-SA"/>
        </w:rPr>
      </w:pPr>
    </w:p>
    <w:p w14:paraId="67E23585">
      <w:pPr>
        <w:pStyle w:val="14"/>
        <w:rPr>
          <w:rFonts w:hint="eastAsia" w:ascii="宋体" w:hAnsi="宋体" w:eastAsia="宋体" w:cs="宋体"/>
          <w:color w:val="auto"/>
          <w:kern w:val="2"/>
          <w:sz w:val="24"/>
          <w:szCs w:val="24"/>
          <w:highlight w:val="none"/>
          <w:lang w:val="en-US" w:eastAsia="zh-CN" w:bidi="ar-SA"/>
        </w:rPr>
      </w:pPr>
    </w:p>
    <w:p w14:paraId="7D729ABC">
      <w:pPr>
        <w:pStyle w:val="14"/>
        <w:rPr>
          <w:rFonts w:hint="eastAsia" w:ascii="宋体" w:hAnsi="宋体" w:eastAsia="宋体" w:cs="宋体"/>
          <w:color w:val="auto"/>
          <w:kern w:val="2"/>
          <w:sz w:val="24"/>
          <w:szCs w:val="24"/>
          <w:highlight w:val="none"/>
          <w:lang w:val="en-US" w:eastAsia="zh-CN" w:bidi="ar-SA"/>
        </w:rPr>
      </w:pPr>
    </w:p>
    <w:p w14:paraId="012C6F04">
      <w:pPr>
        <w:pStyle w:val="14"/>
        <w:rPr>
          <w:rFonts w:hint="eastAsia" w:ascii="宋体" w:hAnsi="宋体" w:eastAsia="宋体" w:cs="宋体"/>
          <w:color w:val="auto"/>
          <w:kern w:val="2"/>
          <w:sz w:val="24"/>
          <w:szCs w:val="24"/>
          <w:highlight w:val="none"/>
          <w:lang w:val="en-US" w:eastAsia="zh-CN" w:bidi="ar-SA"/>
        </w:rPr>
      </w:pPr>
    </w:p>
    <w:p w14:paraId="593916B8">
      <w:pPr>
        <w:pStyle w:val="14"/>
        <w:rPr>
          <w:rFonts w:hint="eastAsia" w:ascii="宋体" w:hAnsi="宋体" w:eastAsia="宋体" w:cs="宋体"/>
          <w:color w:val="auto"/>
          <w:kern w:val="2"/>
          <w:sz w:val="24"/>
          <w:szCs w:val="24"/>
          <w:highlight w:val="none"/>
          <w:lang w:val="en-US" w:eastAsia="zh-CN" w:bidi="ar-SA"/>
        </w:rPr>
      </w:pPr>
    </w:p>
    <w:p w14:paraId="3CF72E7D">
      <w:pPr>
        <w:pStyle w:val="14"/>
        <w:rPr>
          <w:rFonts w:hint="eastAsia" w:ascii="宋体" w:hAnsi="宋体" w:eastAsia="宋体" w:cs="宋体"/>
          <w:color w:val="auto"/>
          <w:kern w:val="2"/>
          <w:sz w:val="24"/>
          <w:szCs w:val="24"/>
          <w:highlight w:val="none"/>
          <w:lang w:val="en-US" w:eastAsia="zh-CN" w:bidi="ar-SA"/>
        </w:rPr>
      </w:pPr>
    </w:p>
    <w:p w14:paraId="798FEB25">
      <w:pPr>
        <w:pStyle w:val="14"/>
        <w:rPr>
          <w:rFonts w:hint="eastAsia" w:ascii="宋体" w:hAnsi="宋体" w:eastAsia="宋体" w:cs="宋体"/>
          <w:color w:val="auto"/>
          <w:kern w:val="2"/>
          <w:sz w:val="24"/>
          <w:szCs w:val="24"/>
          <w:highlight w:val="none"/>
          <w:lang w:val="en-US" w:eastAsia="zh-CN" w:bidi="ar-SA"/>
        </w:rPr>
      </w:pPr>
    </w:p>
    <w:p w14:paraId="6B9AE59E">
      <w:pPr>
        <w:pStyle w:val="14"/>
        <w:rPr>
          <w:rFonts w:hint="eastAsia" w:ascii="宋体" w:hAnsi="宋体" w:eastAsia="宋体" w:cs="宋体"/>
          <w:color w:val="auto"/>
          <w:kern w:val="2"/>
          <w:sz w:val="24"/>
          <w:szCs w:val="24"/>
          <w:highlight w:val="none"/>
          <w:lang w:val="en-US" w:eastAsia="zh-CN" w:bidi="ar-SA"/>
        </w:rPr>
      </w:pPr>
    </w:p>
    <w:p w14:paraId="43EA1324">
      <w:pPr>
        <w:pStyle w:val="14"/>
        <w:rPr>
          <w:rFonts w:hint="eastAsia" w:ascii="宋体" w:hAnsi="宋体" w:eastAsia="宋体" w:cs="宋体"/>
          <w:color w:val="auto"/>
          <w:kern w:val="2"/>
          <w:sz w:val="24"/>
          <w:szCs w:val="24"/>
          <w:highlight w:val="none"/>
          <w:lang w:val="en-US" w:eastAsia="zh-CN" w:bidi="ar-SA"/>
        </w:rPr>
      </w:pPr>
    </w:p>
    <w:p w14:paraId="69D34CB7">
      <w:pPr>
        <w:pStyle w:val="14"/>
        <w:rPr>
          <w:rFonts w:hint="eastAsia" w:ascii="宋体" w:hAnsi="宋体" w:eastAsia="宋体" w:cs="宋体"/>
          <w:color w:val="auto"/>
          <w:kern w:val="2"/>
          <w:sz w:val="24"/>
          <w:szCs w:val="24"/>
          <w:highlight w:val="none"/>
          <w:lang w:val="en-US" w:eastAsia="zh-CN" w:bidi="ar-SA"/>
        </w:rPr>
      </w:pPr>
    </w:p>
    <w:p w14:paraId="6B7D81B5">
      <w:pPr>
        <w:pStyle w:val="14"/>
        <w:rPr>
          <w:rFonts w:hint="eastAsia" w:ascii="宋体" w:hAnsi="宋体" w:eastAsia="宋体" w:cs="宋体"/>
          <w:color w:val="auto"/>
          <w:kern w:val="2"/>
          <w:sz w:val="24"/>
          <w:szCs w:val="24"/>
          <w:highlight w:val="none"/>
          <w:lang w:val="en-US" w:eastAsia="zh-CN" w:bidi="ar-SA"/>
        </w:rPr>
      </w:pPr>
    </w:p>
    <w:p w14:paraId="784BFD66">
      <w:pPr>
        <w:pStyle w:val="14"/>
        <w:rPr>
          <w:rFonts w:hint="eastAsia" w:ascii="宋体" w:hAnsi="宋体" w:eastAsia="宋体" w:cs="宋体"/>
          <w:color w:val="auto"/>
          <w:kern w:val="2"/>
          <w:sz w:val="24"/>
          <w:szCs w:val="24"/>
          <w:highlight w:val="none"/>
          <w:lang w:val="en-US" w:eastAsia="zh-CN" w:bidi="ar-SA"/>
        </w:rPr>
      </w:pPr>
    </w:p>
    <w:p w14:paraId="179A3695">
      <w:pPr>
        <w:pStyle w:val="14"/>
        <w:rPr>
          <w:rFonts w:hint="eastAsia" w:ascii="宋体" w:hAnsi="宋体" w:eastAsia="宋体" w:cs="宋体"/>
          <w:color w:val="auto"/>
          <w:kern w:val="2"/>
          <w:sz w:val="24"/>
          <w:szCs w:val="24"/>
          <w:highlight w:val="none"/>
          <w:lang w:val="en-US" w:eastAsia="zh-CN" w:bidi="ar-SA"/>
        </w:rPr>
      </w:pPr>
    </w:p>
    <w:p w14:paraId="1D08F0C2">
      <w:pPr>
        <w:pStyle w:val="14"/>
        <w:rPr>
          <w:rFonts w:hint="eastAsia" w:ascii="宋体" w:hAnsi="宋体" w:eastAsia="宋体" w:cs="宋体"/>
          <w:color w:val="auto"/>
          <w:kern w:val="2"/>
          <w:sz w:val="24"/>
          <w:szCs w:val="24"/>
          <w:highlight w:val="none"/>
          <w:lang w:val="en-US" w:eastAsia="zh-CN" w:bidi="ar-SA"/>
        </w:rPr>
      </w:pPr>
    </w:p>
    <w:p w14:paraId="1108EA41">
      <w:pPr>
        <w:pStyle w:val="14"/>
        <w:rPr>
          <w:rFonts w:hint="eastAsia" w:ascii="宋体" w:hAnsi="宋体" w:eastAsia="宋体" w:cs="宋体"/>
          <w:color w:val="auto"/>
          <w:kern w:val="2"/>
          <w:sz w:val="24"/>
          <w:szCs w:val="24"/>
          <w:highlight w:val="none"/>
          <w:lang w:val="en-US" w:eastAsia="zh-CN" w:bidi="ar-SA"/>
        </w:rPr>
      </w:pPr>
    </w:p>
    <w:p w14:paraId="47CD7F52">
      <w:pPr>
        <w:pStyle w:val="14"/>
        <w:rPr>
          <w:rFonts w:hint="eastAsia" w:ascii="宋体" w:hAnsi="宋体" w:eastAsia="宋体" w:cs="宋体"/>
          <w:color w:val="auto"/>
          <w:kern w:val="2"/>
          <w:sz w:val="24"/>
          <w:szCs w:val="24"/>
          <w:highlight w:val="none"/>
          <w:lang w:val="en-US" w:eastAsia="zh-CN" w:bidi="ar-SA"/>
        </w:rPr>
      </w:pPr>
    </w:p>
    <w:p w14:paraId="4DF5791F">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投标单位（</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）反商业贿赂承诺书</w:t>
      </w:r>
    </w:p>
    <w:p w14:paraId="42DDEECF">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   我公司承诺在</w:t>
      </w:r>
      <w:r>
        <w:rPr>
          <w:rFonts w:hint="eastAsia" w:ascii="宋体" w:hAnsi="宋体" w:eastAsia="宋体" w:cs="宋体"/>
          <w:color w:val="auto"/>
          <w:sz w:val="24"/>
          <w:szCs w:val="24"/>
          <w:highlight w:val="none"/>
          <w:u w:val="single"/>
        </w:rPr>
        <w:t>（项目编号、项目名称）</w:t>
      </w:r>
      <w:r>
        <w:rPr>
          <w:rFonts w:hint="eastAsia" w:ascii="宋体" w:hAnsi="宋体" w:eastAsia="宋体" w:cs="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）承诺书 </w:t>
      </w:r>
    </w:p>
    <w:p w14:paraId="1DD7A225">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我公司承诺在参加本次投标前三年内，无以下行为：</w:t>
      </w:r>
    </w:p>
    <w:p w14:paraId="65D37663">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重大违法行为；</w:t>
      </w:r>
    </w:p>
    <w:p w14:paraId="0AD0217D">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商业贿赂行为；</w:t>
      </w:r>
    </w:p>
    <w:p w14:paraId="23C9A15D">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政府采购法《第七十七条》，列入不良行为记录名单的各种行为；</w:t>
      </w:r>
    </w:p>
    <w:p w14:paraId="0079A511">
      <w:pPr>
        <w:pStyle w:val="68"/>
        <w:widowControl/>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如有上述行为，我公司及项目参与人员自愿放弃本次项目的投标、报价资格，若为预中标、成交人，也自愿放弃中标、成交资格。 </w:t>
      </w:r>
    </w:p>
    <w:p w14:paraId="25E17577">
      <w:pPr>
        <w:pStyle w:val="68"/>
        <w:widowControl/>
        <w:spacing w:line="480" w:lineRule="auto"/>
        <w:jc w:val="left"/>
        <w:rPr>
          <w:rFonts w:hint="eastAsia" w:ascii="宋体" w:hAnsi="宋体" w:eastAsia="宋体" w:cs="宋体"/>
          <w:color w:val="auto"/>
          <w:sz w:val="24"/>
          <w:szCs w:val="24"/>
          <w:highlight w:val="none"/>
        </w:rPr>
      </w:pPr>
    </w:p>
    <w:p w14:paraId="65A3BA7A">
      <w:pPr>
        <w:pStyle w:val="68"/>
        <w:widowControl/>
        <w:spacing w:line="480" w:lineRule="auto"/>
        <w:jc w:val="left"/>
        <w:rPr>
          <w:rFonts w:hint="eastAsia" w:ascii="宋体" w:hAnsi="宋体" w:eastAsia="宋体" w:cs="宋体"/>
          <w:color w:val="auto"/>
          <w:sz w:val="24"/>
          <w:szCs w:val="24"/>
          <w:highlight w:val="none"/>
        </w:rPr>
      </w:pPr>
    </w:p>
    <w:p w14:paraId="6173B939">
      <w:pPr>
        <w:pStyle w:val="68"/>
        <w:widowControl/>
        <w:spacing w:line="480" w:lineRule="auto"/>
        <w:jc w:val="left"/>
        <w:rPr>
          <w:rFonts w:hint="eastAsia" w:ascii="宋体" w:hAnsi="宋体" w:eastAsia="宋体" w:cs="宋体"/>
          <w:color w:val="auto"/>
          <w:sz w:val="24"/>
          <w:szCs w:val="24"/>
          <w:highlight w:val="none"/>
        </w:rPr>
      </w:pPr>
    </w:p>
    <w:p w14:paraId="4E9DBF30">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363946E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1E99436D">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BD248BA">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4E37746E">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6D42075B">
      <w:pPr>
        <w:pStyle w:val="14"/>
        <w:rPr>
          <w:rFonts w:hint="eastAsia" w:ascii="宋体" w:hAnsi="宋体" w:eastAsia="宋体" w:cs="宋体"/>
          <w:b/>
          <w:color w:val="auto"/>
          <w:kern w:val="0"/>
          <w:sz w:val="24"/>
          <w:szCs w:val="24"/>
          <w:highlight w:val="none"/>
          <w:lang w:val="en-US" w:eastAsia="zh-CN" w:bidi="ar-SA"/>
        </w:rPr>
      </w:pPr>
    </w:p>
    <w:p w14:paraId="7A373361">
      <w:pPr>
        <w:pStyle w:val="14"/>
        <w:rPr>
          <w:rFonts w:hint="eastAsia" w:ascii="宋体" w:hAnsi="宋体" w:eastAsia="宋体" w:cs="宋体"/>
          <w:b/>
          <w:color w:val="auto"/>
          <w:kern w:val="0"/>
          <w:sz w:val="24"/>
          <w:szCs w:val="24"/>
          <w:highlight w:val="none"/>
          <w:lang w:val="en-US" w:eastAsia="zh-CN" w:bidi="ar-SA"/>
        </w:rPr>
      </w:pPr>
    </w:p>
    <w:p w14:paraId="50DBF9AC">
      <w:pPr>
        <w:pStyle w:val="14"/>
        <w:rPr>
          <w:rFonts w:hint="eastAsia" w:ascii="宋体" w:hAnsi="宋体" w:eastAsia="宋体" w:cs="宋体"/>
          <w:b/>
          <w:color w:val="auto"/>
          <w:kern w:val="0"/>
          <w:sz w:val="24"/>
          <w:szCs w:val="24"/>
          <w:highlight w:val="none"/>
          <w:lang w:val="en-US" w:eastAsia="zh-CN" w:bidi="ar-SA"/>
        </w:rPr>
      </w:pPr>
    </w:p>
    <w:p w14:paraId="4D3AE7CF">
      <w:pPr>
        <w:pStyle w:val="14"/>
        <w:rPr>
          <w:rFonts w:hint="eastAsia" w:ascii="宋体" w:hAnsi="宋体" w:eastAsia="宋体" w:cs="宋体"/>
          <w:b/>
          <w:color w:val="auto"/>
          <w:kern w:val="0"/>
          <w:sz w:val="24"/>
          <w:szCs w:val="24"/>
          <w:highlight w:val="none"/>
          <w:lang w:val="en-US" w:eastAsia="zh-CN" w:bidi="ar-SA"/>
        </w:rPr>
      </w:pPr>
    </w:p>
    <w:p w14:paraId="75EDB92E">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48A33F7F">
      <w:pPr>
        <w:numPr>
          <w:ilvl w:val="0"/>
          <w:numId w:val="0"/>
        </w:numPr>
        <w:tabs>
          <w:tab w:val="left" w:pos="360"/>
          <w:tab w:val="left" w:pos="480"/>
          <w:tab w:val="left" w:pos="1413"/>
        </w:tabs>
        <w:spacing w:line="360" w:lineRule="auto"/>
        <w:jc w:val="center"/>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bidi="ar-SA"/>
        </w:rPr>
        <w:t>中、小微企业声明函</w:t>
      </w:r>
    </w:p>
    <w:p w14:paraId="2EC51FB7">
      <w:pPr>
        <w:keepNext w:val="0"/>
        <w:keepLines w:val="0"/>
        <w:widowControl/>
        <w:suppressLineNumbers w:val="0"/>
        <w:jc w:val="center"/>
        <w:rPr>
          <w:color w:val="auto"/>
          <w:highlight w:val="none"/>
        </w:rPr>
      </w:pPr>
      <w:r>
        <w:rPr>
          <w:rFonts w:ascii="宋体" w:hAnsi="宋体" w:eastAsia="宋体" w:cs="宋体"/>
          <w:b/>
          <w:bCs/>
          <w:color w:val="auto"/>
          <w:kern w:val="0"/>
          <w:sz w:val="36"/>
          <w:szCs w:val="36"/>
          <w:highlight w:val="none"/>
          <w:lang w:val="en-US" w:eastAsia="zh-CN" w:bidi="ar"/>
        </w:rPr>
        <w:t>中小企业声明函（货物）</w:t>
      </w:r>
    </w:p>
    <w:p w14:paraId="2F078B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 </w:t>
      </w:r>
    </w:p>
    <w:p w14:paraId="4595FB2A">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（采购文件中明确的所属行业）行业</w:t>
      </w:r>
      <w:r>
        <w:rPr>
          <w:rFonts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none"/>
        </w:rPr>
        <w:t>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426CE63E">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w:t>
      </w:r>
      <w:r>
        <w:rPr>
          <w:rFonts w:ascii="宋体" w:hAnsi="宋体" w:cs="宋体"/>
          <w:color w:val="auto"/>
          <w:kern w:val="0"/>
          <w:sz w:val="24"/>
          <w:szCs w:val="24"/>
          <w:highlight w:val="none"/>
        </w:rPr>
        <w:t>行业； 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1A195ABD">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0540078D">
      <w:pPr>
        <w:pStyle w:val="2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 为大企业的情形，也不存在与大企业的负责人为同一人的情 形。 本企业对上述声明内容的真实性负责。如有虚假，将依 法承担相应责任。</w:t>
      </w:r>
    </w:p>
    <w:p w14:paraId="41E7B0D0">
      <w:pPr>
        <w:rPr>
          <w:rFonts w:hint="eastAsia" w:ascii="宋体" w:hAnsi="宋体" w:eastAsia="宋体" w:cs="宋体"/>
          <w:color w:val="auto"/>
          <w:kern w:val="2"/>
          <w:sz w:val="24"/>
          <w:szCs w:val="24"/>
          <w:highlight w:val="none"/>
          <w:lang w:val="en-US" w:eastAsia="zh-CN" w:bidi="ar-SA"/>
        </w:rPr>
      </w:pPr>
    </w:p>
    <w:p w14:paraId="77D1D000">
      <w:pPr>
        <w:pStyle w:val="22"/>
        <w:rPr>
          <w:rFonts w:hint="eastAsia"/>
          <w:color w:val="auto"/>
          <w:highlight w:val="none"/>
          <w:lang w:val="en-US" w:eastAsia="zh-CN"/>
        </w:rPr>
      </w:pPr>
    </w:p>
    <w:p w14:paraId="16C8C1CD">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投标人法定代表人（电子签名）：                  </w:t>
      </w:r>
    </w:p>
    <w:p w14:paraId="59CF2A59">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投标人名称（电子签章）：                       </w:t>
      </w:r>
    </w:p>
    <w:p w14:paraId="3AA5874E">
      <w:pPr>
        <w:pStyle w:val="69"/>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0B88633B">
      <w:pPr>
        <w:pStyle w:val="73"/>
        <w:outlineLvl w:val="2"/>
        <w:rPr>
          <w:rFonts w:hint="eastAsia" w:ascii="宋体" w:hAnsi="宋体" w:eastAsia="宋体" w:cs="宋体"/>
          <w:color w:val="auto"/>
          <w:kern w:val="2"/>
          <w:sz w:val="24"/>
          <w:szCs w:val="24"/>
          <w:highlight w:val="none"/>
          <w:lang w:val="en-US" w:eastAsia="zh-CN" w:bidi="ar-SA"/>
        </w:rPr>
      </w:pPr>
      <w:bookmarkStart w:id="109" w:name="_Toc17973"/>
      <w:bookmarkStart w:id="110" w:name="_Toc11559"/>
    </w:p>
    <w:p w14:paraId="63775A56">
      <w:pPr>
        <w:pStyle w:val="73"/>
        <w:outlineLvl w:val="2"/>
        <w:rPr>
          <w:rFonts w:hint="eastAsia" w:ascii="宋体" w:hAnsi="宋体" w:eastAsia="宋体" w:cs="宋体"/>
          <w:color w:val="auto"/>
          <w:sz w:val="24"/>
          <w:szCs w:val="24"/>
          <w:highlight w:val="none"/>
          <w:lang w:val="en-US" w:eastAsia="zh-CN"/>
        </w:rPr>
      </w:pPr>
    </w:p>
    <w:p w14:paraId="2028356E">
      <w:pPr>
        <w:pStyle w:val="73"/>
        <w:outlineLvl w:val="2"/>
        <w:rPr>
          <w:rFonts w:hint="eastAsia" w:ascii="宋体" w:hAnsi="宋体" w:eastAsia="宋体" w:cs="宋体"/>
          <w:color w:val="auto"/>
          <w:sz w:val="24"/>
          <w:szCs w:val="24"/>
          <w:highlight w:val="none"/>
          <w:lang w:val="en-US" w:eastAsia="zh-CN"/>
        </w:rPr>
      </w:pPr>
    </w:p>
    <w:p w14:paraId="756C3034">
      <w:pPr>
        <w:pStyle w:val="73"/>
        <w:outlineLvl w:val="2"/>
        <w:rPr>
          <w:rFonts w:hint="eastAsia" w:ascii="宋体" w:hAnsi="宋体" w:eastAsia="宋体" w:cs="宋体"/>
          <w:color w:val="auto"/>
          <w:sz w:val="24"/>
          <w:szCs w:val="24"/>
          <w:highlight w:val="none"/>
          <w:lang w:val="en-US" w:eastAsia="zh-CN"/>
        </w:rPr>
      </w:pPr>
    </w:p>
    <w:p w14:paraId="5F347CBB">
      <w:pPr>
        <w:pStyle w:val="73"/>
        <w:outlineLvl w:val="2"/>
        <w:rPr>
          <w:rFonts w:hint="eastAsia" w:ascii="宋体" w:hAnsi="宋体" w:eastAsia="宋体" w:cs="宋体"/>
          <w:color w:val="auto"/>
          <w:sz w:val="24"/>
          <w:szCs w:val="24"/>
          <w:highlight w:val="none"/>
          <w:lang w:val="en-US" w:eastAsia="zh-CN"/>
        </w:rPr>
      </w:pPr>
    </w:p>
    <w:p w14:paraId="35F372AA">
      <w:pPr>
        <w:pStyle w:val="73"/>
        <w:outlineLvl w:val="2"/>
        <w:rPr>
          <w:rFonts w:hint="eastAsia" w:ascii="宋体" w:hAnsi="宋体" w:eastAsia="宋体" w:cs="宋体"/>
          <w:color w:val="auto"/>
          <w:sz w:val="24"/>
          <w:szCs w:val="24"/>
          <w:highlight w:val="none"/>
          <w:lang w:val="en-US" w:eastAsia="zh-CN"/>
        </w:rPr>
      </w:pPr>
    </w:p>
    <w:p w14:paraId="711CBB2F">
      <w:pPr>
        <w:pStyle w:val="73"/>
        <w:outlineLvl w:val="2"/>
        <w:rPr>
          <w:rFonts w:hint="eastAsia" w:ascii="宋体" w:hAnsi="宋体" w:eastAsia="宋体" w:cs="宋体"/>
          <w:color w:val="auto"/>
          <w:sz w:val="24"/>
          <w:szCs w:val="24"/>
          <w:highlight w:val="none"/>
          <w:lang w:val="en-US" w:eastAsia="zh-CN"/>
        </w:rPr>
      </w:pPr>
    </w:p>
    <w:p w14:paraId="51EB421C">
      <w:pPr>
        <w:pStyle w:val="73"/>
        <w:outlineLvl w:val="2"/>
        <w:rPr>
          <w:rFonts w:hint="eastAsia" w:ascii="宋体" w:hAnsi="宋体" w:eastAsia="宋体" w:cs="宋体"/>
          <w:color w:val="auto"/>
          <w:sz w:val="24"/>
          <w:szCs w:val="24"/>
          <w:highlight w:val="none"/>
          <w:lang w:val="en-US" w:eastAsia="zh-CN"/>
        </w:rPr>
      </w:pPr>
    </w:p>
    <w:p w14:paraId="44420028">
      <w:pPr>
        <w:pStyle w:val="73"/>
        <w:outlineLvl w:val="2"/>
        <w:rPr>
          <w:rFonts w:hint="eastAsia" w:ascii="宋体" w:hAnsi="宋体" w:eastAsia="宋体" w:cs="宋体"/>
          <w:color w:val="auto"/>
          <w:sz w:val="24"/>
          <w:szCs w:val="24"/>
          <w:highlight w:val="none"/>
          <w:lang w:val="en-US" w:eastAsia="zh-CN"/>
        </w:rPr>
      </w:pPr>
    </w:p>
    <w:p w14:paraId="2E6D5BC1">
      <w:pPr>
        <w:pStyle w:val="73"/>
        <w:outlineLvl w:val="2"/>
        <w:rPr>
          <w:rFonts w:hint="eastAsia" w:ascii="宋体" w:hAnsi="宋体" w:eastAsia="宋体" w:cs="宋体"/>
          <w:color w:val="auto"/>
          <w:sz w:val="24"/>
          <w:szCs w:val="24"/>
          <w:highlight w:val="none"/>
          <w:lang w:val="en-US" w:eastAsia="zh-CN"/>
        </w:rPr>
      </w:pPr>
    </w:p>
    <w:p w14:paraId="216BD8CE">
      <w:pPr>
        <w:pStyle w:val="73"/>
        <w:outlineLvl w:val="2"/>
        <w:rPr>
          <w:rFonts w:hint="eastAsia" w:ascii="宋体" w:hAnsi="宋体" w:eastAsia="宋体" w:cs="宋体"/>
          <w:color w:val="auto"/>
          <w:sz w:val="24"/>
          <w:szCs w:val="24"/>
          <w:highlight w:val="none"/>
          <w:lang w:val="en-US" w:eastAsia="zh-CN"/>
        </w:rPr>
      </w:pPr>
    </w:p>
    <w:p w14:paraId="6400E1D2">
      <w:pPr>
        <w:pStyle w:val="73"/>
        <w:outlineLvl w:val="2"/>
        <w:rPr>
          <w:rFonts w:hint="eastAsia" w:ascii="宋体" w:hAnsi="宋体" w:eastAsia="宋体" w:cs="宋体"/>
          <w:color w:val="auto"/>
          <w:sz w:val="24"/>
          <w:szCs w:val="24"/>
          <w:highlight w:val="none"/>
          <w:lang w:val="en-US" w:eastAsia="zh-CN"/>
        </w:rPr>
      </w:pPr>
    </w:p>
    <w:p w14:paraId="614E9708">
      <w:pPr>
        <w:pStyle w:val="73"/>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bookmarkEnd w:id="109"/>
      <w:bookmarkEnd w:id="110"/>
      <w:r>
        <w:rPr>
          <w:rFonts w:hint="eastAsia" w:ascii="宋体" w:hAnsi="宋体" w:eastAsia="宋体" w:cs="宋体"/>
          <w:color w:val="auto"/>
          <w:sz w:val="24"/>
          <w:szCs w:val="24"/>
          <w:highlight w:val="none"/>
        </w:rPr>
        <w:t>不参与围标串标承诺书</w:t>
      </w:r>
    </w:p>
    <w:p w14:paraId="57ADFC85">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4A494ED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702A5D8D">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二、我单位在本项目招标投标活动中，未参与围标串标。</w:t>
      </w:r>
    </w:p>
    <w:p w14:paraId="214847D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76EF3C9A">
      <w:pPr>
        <w:pStyle w:val="74"/>
        <w:spacing w:line="640" w:lineRule="exact"/>
        <w:ind w:firstLine="480" w:firstLineChars="200"/>
        <w:rPr>
          <w:rFonts w:hint="eastAsia" w:ascii="宋体" w:hAnsi="宋体" w:eastAsia="宋体" w:cs="宋体"/>
          <w:color w:val="auto"/>
          <w:sz w:val="24"/>
          <w:szCs w:val="24"/>
          <w:highlight w:val="none"/>
        </w:rPr>
      </w:pPr>
    </w:p>
    <w:p w14:paraId="6CB28393">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02471E20">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p>
    <w:p w14:paraId="0ED012C1">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法人签名：</w:t>
      </w:r>
    </w:p>
    <w:p w14:paraId="1AA4A188">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6F125C">
      <w:pPr>
        <w:pStyle w:val="74"/>
        <w:spacing w:line="640" w:lineRule="exact"/>
        <w:jc w:val="left"/>
        <w:rPr>
          <w:rFonts w:hint="eastAsia" w:ascii="宋体" w:hAnsi="宋体" w:eastAsia="宋体" w:cs="宋体"/>
          <w:color w:val="auto"/>
          <w:sz w:val="24"/>
          <w:szCs w:val="24"/>
          <w:highlight w:val="none"/>
        </w:rPr>
      </w:pPr>
    </w:p>
    <w:p w14:paraId="6D30DA00">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5B6659A5">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A41725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4C0311AA">
      <w:pPr>
        <w:pStyle w:val="75"/>
        <w:adjustRightInd w:val="0"/>
        <w:snapToGrid w:val="0"/>
        <w:spacing w:line="500" w:lineRule="exact"/>
        <w:rPr>
          <w:rFonts w:hint="eastAsia" w:ascii="宋体" w:hAnsi="宋体" w:eastAsia="宋体" w:cs="宋体"/>
          <w:color w:val="auto"/>
          <w:sz w:val="24"/>
          <w:szCs w:val="24"/>
          <w:highlight w:val="none"/>
          <w:lang w:val="en-US" w:eastAsia="zh-CN"/>
        </w:rPr>
      </w:pPr>
    </w:p>
    <w:p w14:paraId="26BD2DEC">
      <w:pPr>
        <w:pStyle w:val="76"/>
        <w:outlineLvl w:val="2"/>
        <w:rPr>
          <w:rFonts w:hint="eastAsia" w:ascii="宋体" w:hAnsi="宋体" w:eastAsia="宋体" w:cs="宋体"/>
          <w:color w:val="auto"/>
          <w:sz w:val="24"/>
          <w:szCs w:val="24"/>
          <w:highlight w:val="none"/>
          <w:lang w:val="en-US" w:eastAsia="zh-CN"/>
        </w:rPr>
      </w:pPr>
      <w:bookmarkStart w:id="111" w:name="_Toc27496"/>
      <w:bookmarkStart w:id="112" w:name="_Toc14405"/>
      <w:bookmarkStart w:id="113" w:name="_Toc256000050"/>
    </w:p>
    <w:p w14:paraId="7701A221">
      <w:pPr>
        <w:pStyle w:val="76"/>
        <w:outlineLvl w:val="2"/>
        <w:rPr>
          <w:rFonts w:hint="eastAsia" w:ascii="宋体" w:hAnsi="宋体" w:eastAsia="宋体" w:cs="宋体"/>
          <w:color w:val="auto"/>
          <w:sz w:val="24"/>
          <w:szCs w:val="24"/>
          <w:highlight w:val="none"/>
          <w:lang w:val="en-US" w:eastAsia="zh-CN"/>
        </w:rPr>
      </w:pPr>
    </w:p>
    <w:p w14:paraId="44E33F82">
      <w:pPr>
        <w:pStyle w:val="76"/>
        <w:outlineLvl w:val="2"/>
        <w:rPr>
          <w:rFonts w:hint="eastAsia" w:ascii="宋体" w:hAnsi="宋体" w:eastAsia="宋体" w:cs="宋体"/>
          <w:color w:val="auto"/>
          <w:sz w:val="24"/>
          <w:szCs w:val="24"/>
          <w:highlight w:val="none"/>
          <w:lang w:val="en-US" w:eastAsia="zh-CN"/>
        </w:rPr>
      </w:pPr>
    </w:p>
    <w:p w14:paraId="62A9C4F7">
      <w:pPr>
        <w:pStyle w:val="76"/>
        <w:outlineLvl w:val="2"/>
        <w:rPr>
          <w:rFonts w:hint="eastAsia" w:ascii="宋体" w:hAnsi="宋体" w:eastAsia="宋体" w:cs="宋体"/>
          <w:color w:val="auto"/>
          <w:sz w:val="24"/>
          <w:szCs w:val="24"/>
          <w:highlight w:val="none"/>
          <w:lang w:val="en-US" w:eastAsia="zh-CN"/>
        </w:rPr>
      </w:pPr>
    </w:p>
    <w:p w14:paraId="3B0DEF32">
      <w:pPr>
        <w:pStyle w:val="76"/>
        <w:outlineLvl w:val="2"/>
        <w:rPr>
          <w:rFonts w:hint="eastAsia" w:ascii="宋体" w:hAnsi="宋体" w:eastAsia="宋体" w:cs="宋体"/>
          <w:color w:val="auto"/>
          <w:sz w:val="24"/>
          <w:szCs w:val="24"/>
          <w:highlight w:val="none"/>
          <w:lang w:val="en-US" w:eastAsia="zh-CN"/>
        </w:rPr>
      </w:pPr>
    </w:p>
    <w:p w14:paraId="0E065C62">
      <w:pPr>
        <w:pStyle w:val="76"/>
        <w:outlineLvl w:val="2"/>
        <w:rPr>
          <w:rFonts w:hint="eastAsia" w:ascii="宋体" w:hAnsi="宋体" w:eastAsia="宋体" w:cs="宋体"/>
          <w:color w:val="auto"/>
          <w:sz w:val="24"/>
          <w:szCs w:val="24"/>
          <w:highlight w:val="none"/>
          <w:lang w:val="en-US" w:eastAsia="zh-CN"/>
        </w:rPr>
      </w:pPr>
    </w:p>
    <w:p w14:paraId="64B937B0">
      <w:pPr>
        <w:pStyle w:val="76"/>
        <w:outlineLvl w:val="2"/>
        <w:rPr>
          <w:rFonts w:hint="eastAsia" w:ascii="宋体" w:hAnsi="宋体" w:eastAsia="宋体" w:cs="宋体"/>
          <w:color w:val="auto"/>
          <w:sz w:val="24"/>
          <w:szCs w:val="24"/>
          <w:highlight w:val="none"/>
          <w:lang w:val="en-US" w:eastAsia="zh-CN"/>
        </w:rPr>
      </w:pPr>
    </w:p>
    <w:p w14:paraId="29548E68">
      <w:pPr>
        <w:pStyle w:val="76"/>
        <w:outlineLvl w:val="2"/>
        <w:rPr>
          <w:rFonts w:hint="eastAsia" w:ascii="宋体" w:hAnsi="宋体" w:eastAsia="宋体" w:cs="宋体"/>
          <w:color w:val="auto"/>
          <w:sz w:val="24"/>
          <w:szCs w:val="24"/>
          <w:highlight w:val="none"/>
          <w:lang w:val="en-US" w:eastAsia="zh-CN"/>
        </w:rPr>
      </w:pPr>
    </w:p>
    <w:p w14:paraId="5453250C">
      <w:pPr>
        <w:pStyle w:val="76"/>
        <w:outlineLvl w:val="2"/>
        <w:rPr>
          <w:rFonts w:hint="eastAsia" w:ascii="宋体" w:hAnsi="宋体" w:eastAsia="宋体" w:cs="宋体"/>
          <w:color w:val="auto"/>
          <w:sz w:val="24"/>
          <w:szCs w:val="24"/>
          <w:highlight w:val="none"/>
          <w:lang w:val="en-US" w:eastAsia="zh-CN"/>
        </w:rPr>
      </w:pPr>
    </w:p>
    <w:p w14:paraId="4E2D2BE8">
      <w:pPr>
        <w:pStyle w:val="76"/>
        <w:outlineLvl w:val="2"/>
        <w:rPr>
          <w:rFonts w:hint="eastAsia" w:ascii="宋体" w:hAnsi="宋体" w:eastAsia="宋体" w:cs="宋体"/>
          <w:color w:val="auto"/>
          <w:sz w:val="24"/>
          <w:szCs w:val="24"/>
          <w:highlight w:val="none"/>
          <w:lang w:val="en-US" w:eastAsia="zh-CN"/>
        </w:rPr>
      </w:pPr>
    </w:p>
    <w:p w14:paraId="605CD367">
      <w:pPr>
        <w:pStyle w:val="76"/>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《中华人民共和国政府采购法》第二十二条应当具备的条件</w:t>
      </w:r>
      <w:bookmarkEnd w:id="111"/>
      <w:bookmarkEnd w:id="112"/>
      <w:bookmarkEnd w:id="113"/>
    </w:p>
    <w:p w14:paraId="61D156E5">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①具有独立承担民事责任的能力；</w:t>
      </w:r>
    </w:p>
    <w:p w14:paraId="6E307830">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②具有良好的商业信誉和健全的财务会计制度；</w:t>
      </w:r>
    </w:p>
    <w:p w14:paraId="171905A0">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③具有履行合同所必需的设备和专业技术能力；</w:t>
      </w:r>
    </w:p>
    <w:p w14:paraId="11CA634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④有依法缴纳税收和社会保障资金的良好记录；</w:t>
      </w:r>
    </w:p>
    <w:p w14:paraId="6FB97E8B">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⑤参加政府采购活动前三年内，在经营活动中没有重大违法记录；</w:t>
      </w:r>
    </w:p>
    <w:p w14:paraId="1614C666">
      <w:pPr>
        <w:pStyle w:val="7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w:t>
      </w:r>
      <w:r>
        <w:rPr>
          <w:rFonts w:hint="eastAsia" w:ascii="宋体" w:hAnsi="宋体" w:eastAsia="宋体" w:cs="宋体"/>
          <w:color w:val="auto"/>
          <w:sz w:val="24"/>
          <w:szCs w:val="24"/>
          <w:highlight w:val="none"/>
        </w:rPr>
        <w:t>法律、行政法规规定的其他条件;</w:t>
      </w:r>
    </w:p>
    <w:p w14:paraId="1B81FF74">
      <w:pPr>
        <w:pStyle w:val="78"/>
        <w:outlineLvl w:val="1"/>
        <w:rPr>
          <w:rFonts w:hint="eastAsia" w:ascii="宋体" w:hAnsi="宋体" w:eastAsia="宋体" w:cs="宋体"/>
          <w:color w:val="auto"/>
          <w:sz w:val="24"/>
          <w:szCs w:val="24"/>
          <w:highlight w:val="none"/>
        </w:rPr>
      </w:pPr>
      <w:bookmarkStart w:id="114" w:name="_Toc256000049"/>
      <w:bookmarkEnd w:id="114"/>
      <w:bookmarkStart w:id="115" w:name="_Toc256000051"/>
      <w:bookmarkStart w:id="116" w:name="_Toc22303"/>
      <w:bookmarkStart w:id="117" w:name="_Toc17894"/>
      <w:bookmarkStart w:id="118" w:name="_Toc9494"/>
      <w:bookmarkStart w:id="119" w:name="_Toc31165"/>
      <w:r>
        <w:rPr>
          <w:rFonts w:hint="eastAsia" w:ascii="宋体" w:hAnsi="宋体" w:eastAsia="宋体" w:cs="宋体"/>
          <w:color w:val="auto"/>
          <w:sz w:val="24"/>
          <w:szCs w:val="24"/>
          <w:highlight w:val="none"/>
        </w:rPr>
        <w:t>须提供以下资料：</w:t>
      </w:r>
      <w:bookmarkEnd w:id="115"/>
      <w:bookmarkEnd w:id="116"/>
      <w:bookmarkEnd w:id="117"/>
      <w:bookmarkEnd w:id="118"/>
      <w:bookmarkEnd w:id="119"/>
    </w:p>
    <w:p w14:paraId="6E3E33C0">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1、具有独立承担民事责任的能力；须提供相关证明材料，其中：</w:t>
      </w:r>
    </w:p>
    <w:p w14:paraId="023392B4">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是企业（包括合伙企业）的，</w:t>
      </w:r>
      <w:r>
        <w:rPr>
          <w:rFonts w:hint="eastAsia" w:ascii="宋体" w:hAnsi="宋体" w:eastAsia="宋体" w:cs="宋体"/>
          <w:color w:val="auto"/>
          <w:sz w:val="24"/>
          <w:szCs w:val="24"/>
          <w:highlight w:val="none"/>
        </w:rPr>
        <w:t>须提供其在工商部门注册的有效“营业执照”的复印件（如 “三证合一”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须提供工商行政管理部门核发加载统一社会信用代码的营业执照；如未“三证合一”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则须提供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的营业执照、税务登记证书及组织机构代码证）；</w:t>
      </w:r>
    </w:p>
    <w:p w14:paraId="76A7B29F">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是事业单位的</w:t>
      </w:r>
      <w:r>
        <w:rPr>
          <w:rFonts w:hint="eastAsia" w:ascii="宋体" w:hAnsi="宋体" w:eastAsia="宋体" w:cs="宋体"/>
          <w:color w:val="auto"/>
          <w:sz w:val="24"/>
          <w:szCs w:val="24"/>
          <w:highlight w:val="none"/>
        </w:rPr>
        <w:t>，须提供其有效的“事业单位法人证书”复印件；</w:t>
      </w:r>
    </w:p>
    <w:p w14:paraId="5FE15CF3">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是非企业专业服务机构的，</w:t>
      </w:r>
      <w:r>
        <w:rPr>
          <w:rFonts w:hint="eastAsia" w:ascii="宋体" w:hAnsi="宋体" w:eastAsia="宋体" w:cs="宋体"/>
          <w:color w:val="auto"/>
          <w:sz w:val="24"/>
          <w:szCs w:val="24"/>
          <w:highlight w:val="none"/>
        </w:rPr>
        <w:t>须提供其有效的执业许可证复印件；</w:t>
      </w:r>
    </w:p>
    <w:p w14:paraId="02CECDC5">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是个体工商户的，</w:t>
      </w:r>
      <w:r>
        <w:rPr>
          <w:rFonts w:hint="eastAsia" w:ascii="宋体" w:hAnsi="宋体" w:eastAsia="宋体" w:cs="宋体"/>
          <w:color w:val="auto"/>
          <w:sz w:val="24"/>
          <w:szCs w:val="24"/>
          <w:highlight w:val="none"/>
        </w:rPr>
        <w:t>须提供其有效的“个体工商户营业执照” 复印件；</w:t>
      </w:r>
    </w:p>
    <w:p w14:paraId="32F91743">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BD29BBC">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是自然人的，</w:t>
      </w:r>
      <w:r>
        <w:rPr>
          <w:rFonts w:hint="eastAsia" w:ascii="宋体" w:hAnsi="宋体" w:eastAsia="宋体" w:cs="宋体"/>
          <w:color w:val="auto"/>
          <w:sz w:val="24"/>
          <w:szCs w:val="24"/>
          <w:highlight w:val="none"/>
        </w:rPr>
        <w:t>应提供其有效的自然人身份证明；</w:t>
      </w:r>
    </w:p>
    <w:p w14:paraId="45C8A703">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FE349E">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2、具有良好的商业信誉和健全的财务会计制度；须提供相关证明材料，其中：</w:t>
      </w:r>
    </w:p>
    <w:p w14:paraId="72F2A2C2">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是法人的，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02F1DA37">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是其他组织或自然人的，</w:t>
      </w:r>
      <w:r>
        <w:rPr>
          <w:rFonts w:hint="eastAsia" w:ascii="宋体" w:hAnsi="宋体" w:eastAsia="宋体" w:cs="宋体"/>
          <w:color w:val="auto"/>
          <w:sz w:val="24"/>
          <w:szCs w:val="24"/>
          <w:highlight w:val="none"/>
        </w:rPr>
        <w:t>须提供银行出具的资信证明原件；</w:t>
      </w:r>
    </w:p>
    <w:p w14:paraId="0CDA94DF">
      <w:pPr>
        <w:pStyle w:val="8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银行资信证明无收受人和项目的限制，银行资信证明可以是复印件，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保留审核原件的权利。资信证明的开具银行明确规定复印无效的，须提交原件；</w:t>
      </w:r>
    </w:p>
    <w:p w14:paraId="3B045819">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20501A">
      <w:pPr>
        <w:pStyle w:val="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3、具有履行合同所必需的设备和专业技术能力；须附相关证明材料或书面声明</w:t>
      </w:r>
    </w:p>
    <w:p w14:paraId="6C191298">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265F1AA3">
      <w:pPr>
        <w:pStyle w:val="78"/>
        <w:outlineLvl w:val="1"/>
        <w:rPr>
          <w:rFonts w:hint="eastAsia" w:ascii="宋体" w:hAnsi="宋体" w:eastAsia="宋体" w:cs="宋体"/>
          <w:b w:val="0"/>
          <w:bCs w:val="0"/>
          <w:color w:val="auto"/>
          <w:sz w:val="24"/>
          <w:szCs w:val="24"/>
          <w:highlight w:val="none"/>
          <w:lang w:eastAsia="zh-CN"/>
        </w:rPr>
      </w:pPr>
      <w:bookmarkStart w:id="120" w:name="_Toc256000052"/>
      <w:bookmarkEnd w:id="120"/>
      <w:bookmarkStart w:id="121" w:name="_Toc256000059"/>
      <w:bookmarkStart w:id="122" w:name="_Toc18095"/>
      <w:bookmarkStart w:id="123" w:name="_Toc31948"/>
      <w:bookmarkStart w:id="124" w:name="_Toc2282"/>
      <w:bookmarkStart w:id="125" w:name="_Toc2568"/>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bookmarkEnd w:id="121"/>
      <w:bookmarkEnd w:id="122"/>
      <w:r>
        <w:rPr>
          <w:rFonts w:hint="eastAsia" w:ascii="宋体" w:hAnsi="宋体" w:eastAsia="宋体" w:cs="宋体"/>
          <w:b w:val="0"/>
          <w:bCs w:val="0"/>
          <w:color w:val="auto"/>
          <w:sz w:val="24"/>
          <w:szCs w:val="24"/>
          <w:highlight w:val="none"/>
          <w:lang w:eastAsia="zh-CN"/>
        </w:rPr>
        <w:t>）：</w:t>
      </w:r>
      <w:bookmarkEnd w:id="123"/>
      <w:bookmarkEnd w:id="124"/>
      <w:bookmarkEnd w:id="125"/>
    </w:p>
    <w:p w14:paraId="4D3284D1">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45F8F83">
      <w:pPr>
        <w:pStyle w:val="78"/>
        <w:outlineLvl w:val="9"/>
        <w:rPr>
          <w:rFonts w:hint="eastAsia" w:ascii="宋体" w:hAnsi="宋体" w:eastAsia="宋体" w:cs="宋体"/>
          <w:b w:val="0"/>
          <w:bCs w:val="0"/>
          <w:color w:val="auto"/>
          <w:sz w:val="24"/>
          <w:szCs w:val="24"/>
          <w:highlight w:val="none"/>
        </w:rPr>
      </w:pPr>
      <w:bookmarkStart w:id="126" w:name="_Toc256000055"/>
      <w:bookmarkEnd w:id="126"/>
      <w:r>
        <w:rPr>
          <w:rFonts w:hint="eastAsia" w:ascii="宋体" w:hAnsi="宋体" w:eastAsia="宋体" w:cs="宋体"/>
          <w:b w:val="0"/>
          <w:bCs w:val="0"/>
          <w:color w:val="auto"/>
          <w:sz w:val="24"/>
          <w:szCs w:val="24"/>
          <w:highlight w:val="none"/>
        </w:rPr>
        <w:t xml:space="preserve"> </w:t>
      </w:r>
    </w:p>
    <w:p w14:paraId="734DA3E6">
      <w:pPr>
        <w:pStyle w:val="84"/>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4、有依法缴纳税收和社会保障资金的良好记录；</w:t>
      </w:r>
      <w:r>
        <w:rPr>
          <w:rFonts w:hint="eastAsia" w:ascii="宋体" w:hAnsi="宋体" w:eastAsia="宋体" w:cs="宋体"/>
          <w:color w:val="auto"/>
          <w:kern w:val="0"/>
          <w:sz w:val="24"/>
          <w:szCs w:val="24"/>
          <w:highlight w:val="none"/>
          <w:lang w:val="en-US" w:eastAsia="zh-CN" w:bidi="ar-SA"/>
        </w:rPr>
        <w:t>须提供有依法缴纳税收和社会保障资金的良好记录（</w:t>
      </w:r>
      <w:r>
        <w:rPr>
          <w:rFonts w:hint="eastAsia" w:ascii="宋体" w:hAnsi="宋体" w:eastAsia="宋体" w:cs="宋体"/>
          <w:color w:val="auto"/>
          <w:kern w:val="2"/>
          <w:sz w:val="24"/>
          <w:szCs w:val="24"/>
          <w:highlight w:val="none"/>
          <w:lang w:val="en-US" w:eastAsia="zh-CN" w:bidi="ar-SA"/>
        </w:rPr>
        <w:t>须提供参加本次政府采购活动近六个月内任意一个月由税务局或社保局或银行出具的社会保障资金缴费凭证；投标人逐年缴纳社会保障资金的，须提供参加本次政府采购活动上年度由税务局或社保局或银行出具的社会保障资金缴费凭证</w:t>
      </w:r>
      <w:r>
        <w:rPr>
          <w:rFonts w:hint="eastAsia" w:ascii="宋体" w:hAnsi="宋体" w:eastAsia="宋体" w:cs="宋体"/>
          <w:color w:val="auto"/>
          <w:kern w:val="0"/>
          <w:sz w:val="24"/>
          <w:szCs w:val="24"/>
          <w:highlight w:val="none"/>
          <w:lang w:val="en-US" w:eastAsia="zh-CN" w:bidi="ar-SA"/>
        </w:rPr>
        <w:t>，享受免税政策的企业须提供免税证明）；</w:t>
      </w:r>
    </w:p>
    <w:p w14:paraId="1AB31FA7">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F6F7339">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B62CD87">
      <w:pPr>
        <w:pStyle w:val="78"/>
        <w:outlineLvl w:val="1"/>
        <w:rPr>
          <w:rFonts w:hint="eastAsia" w:ascii="宋体" w:hAnsi="宋体" w:eastAsia="宋体" w:cs="宋体"/>
          <w:color w:val="auto"/>
          <w:sz w:val="24"/>
          <w:szCs w:val="24"/>
          <w:highlight w:val="none"/>
        </w:rPr>
      </w:pPr>
      <w:bookmarkStart w:id="127" w:name="_Toc256000054"/>
      <w:bookmarkEnd w:id="127"/>
      <w:bookmarkStart w:id="128" w:name="_Toc256000061"/>
      <w:bookmarkStart w:id="129" w:name="_Toc256000068"/>
      <w:bookmarkStart w:id="130" w:name="_Toc25978"/>
      <w:bookmarkStart w:id="131" w:name="_Toc18884"/>
      <w:bookmarkStart w:id="132" w:name="_Toc29557"/>
      <w:bookmarkStart w:id="133" w:name="_Toc9022"/>
      <w:r>
        <w:rPr>
          <w:rFonts w:hint="eastAsia" w:ascii="宋体" w:hAnsi="宋体" w:eastAsia="宋体" w:cs="宋体"/>
          <w:color w:val="auto"/>
          <w:sz w:val="24"/>
          <w:szCs w:val="24"/>
          <w:highlight w:val="none"/>
        </w:rPr>
        <w:t>5、参加政府采购活动前</w:t>
      </w:r>
      <w:bookmarkEnd w:id="128"/>
      <w:bookmarkStart w:id="134" w:name="_Toc16914_WPSOffice_Level1"/>
      <w:r>
        <w:rPr>
          <w:rFonts w:hint="eastAsia" w:ascii="宋体" w:hAnsi="宋体" w:eastAsia="宋体" w:cs="宋体"/>
          <w:color w:val="auto"/>
          <w:sz w:val="24"/>
          <w:szCs w:val="24"/>
          <w:highlight w:val="none"/>
        </w:rPr>
        <w:t>三年内，在经</w:t>
      </w:r>
      <w:bookmarkEnd w:id="134"/>
      <w:r>
        <w:rPr>
          <w:rFonts w:hint="eastAsia" w:ascii="宋体" w:hAnsi="宋体" w:eastAsia="宋体" w:cs="宋体"/>
          <w:color w:val="auto"/>
          <w:sz w:val="24"/>
          <w:szCs w:val="24"/>
          <w:highlight w:val="none"/>
        </w:rPr>
        <w:t>营活动中没有重大违法记录；须提供书面声明</w:t>
      </w:r>
      <w:bookmarkEnd w:id="129"/>
      <w:bookmarkEnd w:id="130"/>
      <w:bookmarkEnd w:id="131"/>
      <w:bookmarkEnd w:id="132"/>
      <w:bookmarkEnd w:id="133"/>
    </w:p>
    <w:p w14:paraId="77C1DBC1">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9FFB79">
      <w:pPr>
        <w:pStyle w:val="78"/>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r>
        <w:rPr>
          <w:rFonts w:hint="eastAsia" w:ascii="宋体" w:hAnsi="宋体" w:eastAsia="宋体" w:cs="宋体"/>
          <w:b w:val="0"/>
          <w:bCs w:val="0"/>
          <w:color w:val="auto"/>
          <w:sz w:val="24"/>
          <w:szCs w:val="24"/>
          <w:highlight w:val="none"/>
          <w:lang w:eastAsia="zh-CN"/>
        </w:rPr>
        <w:t>）：</w:t>
      </w:r>
    </w:p>
    <w:p w14:paraId="3707876F">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0DB68EB">
      <w:pPr>
        <w:pStyle w:val="85"/>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6、法律、行政法规规定的其他条件;</w:t>
      </w:r>
    </w:p>
    <w:p w14:paraId="1B783696">
      <w:pPr>
        <w:pStyle w:val="78"/>
        <w:spacing w:line="440" w:lineRule="exact"/>
        <w:ind w:firstLine="480" w:firstLineChars="200"/>
        <w:outlineLvl w:val="1"/>
        <w:rPr>
          <w:rFonts w:hint="eastAsia" w:ascii="宋体" w:hAnsi="宋体" w:eastAsia="宋体" w:cs="宋体"/>
          <w:b w:val="0"/>
          <w:bCs w:val="0"/>
          <w:color w:val="auto"/>
          <w:sz w:val="24"/>
          <w:szCs w:val="24"/>
          <w:highlight w:val="none"/>
        </w:rPr>
      </w:pPr>
      <w:bookmarkStart w:id="135" w:name="_Toc256000064"/>
      <w:bookmarkEnd w:id="135"/>
      <w:bookmarkStart w:id="136" w:name="_Toc256000057"/>
      <w:bookmarkEnd w:id="136"/>
      <w:bookmarkStart w:id="137" w:name="_Toc256000048"/>
      <w:bookmarkEnd w:id="137"/>
      <w:bookmarkStart w:id="138" w:name="_Toc5763"/>
      <w:bookmarkStart w:id="139" w:name="_Toc29840"/>
      <w:bookmarkStart w:id="140" w:name="_Toc256000071"/>
      <w:bookmarkStart w:id="141" w:name="_Toc24337"/>
      <w:bookmarkStart w:id="142" w:name="_Toc19831"/>
      <w:r>
        <w:rPr>
          <w:rFonts w:hint="eastAsia" w:ascii="宋体" w:hAnsi="宋体" w:eastAsia="宋体" w:cs="宋体"/>
          <w:b w:val="0"/>
          <w:bCs w:val="0"/>
          <w:color w:val="auto"/>
          <w:sz w:val="24"/>
          <w:szCs w:val="24"/>
          <w:highlight w:val="none"/>
        </w:rPr>
        <w:t>投标人须提供本单位“信用中国”网站（www.creditchina.gov.cn）及中国政府采购网（www.ccgp.gov.cn）已公布的信用记录查询结果截图。截图含被列入失信被执行人、重大税收违法案件当事人名单的投标人、列入政府采购严重违法失信行为记录名单。（查询的时间须为本项目公告之日至投标截止日之间），如相关失信记录已失效，投标人需提供相关证明资料。</w:t>
      </w:r>
      <w:bookmarkEnd w:id="138"/>
      <w:bookmarkEnd w:id="139"/>
      <w:bookmarkEnd w:id="140"/>
      <w:bookmarkEnd w:id="141"/>
      <w:bookmarkEnd w:id="142"/>
    </w:p>
    <w:p w14:paraId="5B667CDF">
      <w:pPr>
        <w:pStyle w:val="84"/>
        <w:spacing w:line="440" w:lineRule="exact"/>
        <w:ind w:firstLine="480" w:firstLineChars="200"/>
        <w:jc w:val="both"/>
        <w:rPr>
          <w:rFonts w:hint="eastAsia" w:ascii="宋体" w:hAnsi="宋体" w:eastAsia="宋体" w:cs="宋体"/>
          <w:b w:val="0"/>
          <w:bCs w:val="0"/>
          <w:color w:val="auto"/>
          <w:kern w:val="0"/>
          <w:sz w:val="24"/>
          <w:szCs w:val="24"/>
          <w:highlight w:val="none"/>
          <w:lang w:val="en-US" w:eastAsia="zh-CN" w:bidi="ar-SA"/>
        </w:rPr>
      </w:pPr>
    </w:p>
    <w:p w14:paraId="1232C519">
      <w:pPr>
        <w:pStyle w:val="84"/>
        <w:spacing w:line="440" w:lineRule="exact"/>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SA"/>
        </w:rPr>
        <w:t>注：上述投标人须提供的资格证明文件均应为有效文件，</w:t>
      </w:r>
      <w:r>
        <w:rPr>
          <w:rFonts w:hint="eastAsia" w:ascii="宋体" w:hAnsi="宋体" w:eastAsia="宋体" w:cs="宋体"/>
          <w:b/>
          <w:bCs/>
          <w:color w:val="auto"/>
          <w:sz w:val="24"/>
          <w:szCs w:val="24"/>
          <w:highlight w:val="none"/>
          <w:u w:val="none"/>
        </w:rPr>
        <w:t>否则评标时不予认可。</w:t>
      </w:r>
    </w:p>
    <w:p w14:paraId="5D5B9163">
      <w:pPr>
        <w:pStyle w:val="86"/>
        <w:numPr>
          <w:ilvl w:val="0"/>
          <w:numId w:val="0"/>
        </w:num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143" w:name="_Toc256000072"/>
      <w:bookmarkStart w:id="144" w:name="_Toc4740"/>
      <w:bookmarkStart w:id="145" w:name="_Toc23536"/>
      <w:r>
        <w:rPr>
          <w:rFonts w:hint="eastAsia" w:ascii="宋体" w:hAnsi="宋体" w:eastAsia="宋体" w:cs="宋体"/>
          <w:color w:val="auto"/>
          <w:sz w:val="24"/>
          <w:szCs w:val="24"/>
          <w:highlight w:val="none"/>
          <w:lang w:val="en-US" w:eastAsia="zh-CN"/>
        </w:rPr>
        <w:t>8、特定资格</w:t>
      </w:r>
    </w:p>
    <w:p w14:paraId="3922F5E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A12AD6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6CF88CF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B93A75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04D173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4E43D3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D0855D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A0425A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B9CD73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06710E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B4787E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702D3B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8A9D42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1CC5C75">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DA6DFEC">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FCE0C96">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43C54D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81AA6F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ED492E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A9425F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DCCDE6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FDD353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8EC86C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BA277B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EA7FE0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6EAE8A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F58DD5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4DC3AE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AA0907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16D8EDA">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681497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2875272">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0AA2D6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3743A2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FFE441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A9DF267">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9、投标人认为需提供的证明文件及其它资料</w:t>
      </w:r>
    </w:p>
    <w:p w14:paraId="4D30E47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bookmarkEnd w:id="143"/>
      <w:bookmarkEnd w:id="144"/>
      <w:bookmarkEnd w:id="145"/>
    </w:p>
    <w:p w14:paraId="716E8322">
      <w:pPr>
        <w:rPr>
          <w:rFonts w:hint="eastAsia" w:ascii="宋体" w:hAnsi="宋体" w:eastAsia="宋体" w:cs="宋体"/>
          <w:color w:val="auto"/>
          <w:sz w:val="24"/>
          <w:szCs w:val="24"/>
          <w:highlight w:val="none"/>
        </w:rPr>
      </w:pPr>
      <w:bookmarkStart w:id="146" w:name="_Toc2949"/>
      <w:bookmarkStart w:id="147" w:name="_Toc18137"/>
      <w:bookmarkStart w:id="148" w:name="_Toc30989"/>
      <w:bookmarkStart w:id="149" w:name="_Toc256000073"/>
      <w:bookmarkStart w:id="150" w:name="_Toc22350"/>
    </w:p>
    <w:p w14:paraId="41C58C60">
      <w:pPr>
        <w:rPr>
          <w:rFonts w:hint="eastAsia" w:ascii="宋体" w:hAnsi="宋体" w:eastAsia="宋体" w:cs="宋体"/>
          <w:color w:val="auto"/>
          <w:sz w:val="24"/>
          <w:szCs w:val="24"/>
          <w:highlight w:val="none"/>
        </w:rPr>
      </w:pPr>
    </w:p>
    <w:p w14:paraId="1BCC99B3">
      <w:pPr>
        <w:rPr>
          <w:rFonts w:hint="eastAsia" w:ascii="宋体" w:hAnsi="宋体" w:eastAsia="宋体" w:cs="宋体"/>
          <w:color w:val="auto"/>
          <w:sz w:val="24"/>
          <w:szCs w:val="24"/>
          <w:highlight w:val="none"/>
        </w:rPr>
      </w:pPr>
    </w:p>
    <w:p w14:paraId="6E19FC66">
      <w:pPr>
        <w:rPr>
          <w:rFonts w:hint="eastAsia" w:ascii="宋体" w:hAnsi="宋体" w:eastAsia="宋体" w:cs="宋体"/>
          <w:color w:val="auto"/>
          <w:sz w:val="24"/>
          <w:szCs w:val="24"/>
          <w:highlight w:val="none"/>
        </w:rPr>
      </w:pPr>
    </w:p>
    <w:p w14:paraId="46CA824D">
      <w:pPr>
        <w:rPr>
          <w:rFonts w:hint="eastAsia" w:ascii="宋体" w:hAnsi="宋体" w:eastAsia="宋体" w:cs="宋体"/>
          <w:color w:val="auto"/>
          <w:sz w:val="24"/>
          <w:szCs w:val="24"/>
          <w:highlight w:val="none"/>
        </w:rPr>
      </w:pPr>
    </w:p>
    <w:p w14:paraId="33662096">
      <w:pPr>
        <w:rPr>
          <w:rFonts w:hint="eastAsia" w:ascii="宋体" w:hAnsi="宋体" w:eastAsia="宋体" w:cs="宋体"/>
          <w:color w:val="auto"/>
          <w:sz w:val="24"/>
          <w:szCs w:val="24"/>
          <w:highlight w:val="none"/>
        </w:rPr>
      </w:pPr>
    </w:p>
    <w:p w14:paraId="28E180D3">
      <w:pPr>
        <w:rPr>
          <w:rFonts w:hint="eastAsia" w:ascii="宋体" w:hAnsi="宋体" w:eastAsia="宋体" w:cs="宋体"/>
          <w:color w:val="auto"/>
          <w:sz w:val="24"/>
          <w:szCs w:val="24"/>
          <w:highlight w:val="none"/>
        </w:rPr>
      </w:pPr>
    </w:p>
    <w:p w14:paraId="7A81DA6F">
      <w:pPr>
        <w:rPr>
          <w:rFonts w:hint="eastAsia" w:ascii="宋体" w:hAnsi="宋体" w:eastAsia="宋体" w:cs="宋体"/>
          <w:color w:val="auto"/>
          <w:sz w:val="24"/>
          <w:szCs w:val="24"/>
          <w:highlight w:val="none"/>
        </w:rPr>
      </w:pPr>
    </w:p>
    <w:p w14:paraId="1F92D6E7">
      <w:pPr>
        <w:rPr>
          <w:rFonts w:hint="eastAsia" w:ascii="宋体" w:hAnsi="宋体" w:eastAsia="宋体" w:cs="宋体"/>
          <w:color w:val="auto"/>
          <w:sz w:val="24"/>
          <w:szCs w:val="24"/>
          <w:highlight w:val="none"/>
        </w:rPr>
      </w:pPr>
    </w:p>
    <w:p w14:paraId="40EF8932">
      <w:pPr>
        <w:rPr>
          <w:rFonts w:hint="eastAsia" w:ascii="宋体" w:hAnsi="宋体" w:eastAsia="宋体" w:cs="宋体"/>
          <w:color w:val="auto"/>
          <w:sz w:val="24"/>
          <w:szCs w:val="24"/>
          <w:highlight w:val="none"/>
        </w:rPr>
      </w:pPr>
    </w:p>
    <w:p w14:paraId="3375CACE">
      <w:pPr>
        <w:rPr>
          <w:rFonts w:hint="eastAsia" w:ascii="宋体" w:hAnsi="宋体" w:eastAsia="宋体" w:cs="宋体"/>
          <w:color w:val="auto"/>
          <w:sz w:val="24"/>
          <w:szCs w:val="24"/>
          <w:highlight w:val="none"/>
        </w:rPr>
      </w:pPr>
    </w:p>
    <w:p w14:paraId="247121A3">
      <w:pPr>
        <w:rPr>
          <w:rFonts w:hint="eastAsia" w:ascii="宋体" w:hAnsi="宋体" w:eastAsia="宋体" w:cs="宋体"/>
          <w:color w:val="auto"/>
          <w:sz w:val="24"/>
          <w:szCs w:val="24"/>
          <w:highlight w:val="none"/>
        </w:rPr>
      </w:pPr>
    </w:p>
    <w:p w14:paraId="6D139F33">
      <w:pPr>
        <w:rPr>
          <w:rFonts w:hint="eastAsia" w:ascii="宋体" w:hAnsi="宋体" w:eastAsia="宋体" w:cs="宋体"/>
          <w:color w:val="auto"/>
          <w:sz w:val="24"/>
          <w:szCs w:val="24"/>
          <w:highlight w:val="none"/>
        </w:rPr>
      </w:pPr>
    </w:p>
    <w:p w14:paraId="53B50D78">
      <w:pPr>
        <w:rPr>
          <w:rFonts w:hint="eastAsia" w:ascii="宋体" w:hAnsi="宋体" w:eastAsia="宋体" w:cs="宋体"/>
          <w:color w:val="auto"/>
          <w:sz w:val="24"/>
          <w:szCs w:val="24"/>
          <w:highlight w:val="none"/>
        </w:rPr>
      </w:pPr>
    </w:p>
    <w:p w14:paraId="09703786">
      <w:pPr>
        <w:rPr>
          <w:rFonts w:hint="eastAsia" w:ascii="宋体" w:hAnsi="宋体" w:eastAsia="宋体" w:cs="宋体"/>
          <w:color w:val="auto"/>
          <w:sz w:val="24"/>
          <w:szCs w:val="24"/>
          <w:highlight w:val="none"/>
        </w:rPr>
      </w:pPr>
    </w:p>
    <w:p w14:paraId="2C2AF815">
      <w:pPr>
        <w:rPr>
          <w:rFonts w:hint="eastAsia" w:ascii="宋体" w:hAnsi="宋体" w:eastAsia="宋体" w:cs="宋体"/>
          <w:color w:val="auto"/>
          <w:sz w:val="24"/>
          <w:szCs w:val="24"/>
          <w:highlight w:val="none"/>
        </w:rPr>
      </w:pPr>
    </w:p>
    <w:p w14:paraId="64D3CFBA">
      <w:pPr>
        <w:rPr>
          <w:rFonts w:hint="eastAsia" w:ascii="宋体" w:hAnsi="宋体" w:eastAsia="宋体" w:cs="宋体"/>
          <w:color w:val="auto"/>
          <w:sz w:val="24"/>
          <w:szCs w:val="24"/>
          <w:highlight w:val="none"/>
        </w:rPr>
      </w:pPr>
    </w:p>
    <w:p w14:paraId="6FAA7249">
      <w:pPr>
        <w:rPr>
          <w:rFonts w:hint="eastAsia" w:ascii="宋体" w:hAnsi="宋体" w:eastAsia="宋体" w:cs="宋体"/>
          <w:color w:val="auto"/>
          <w:sz w:val="24"/>
          <w:szCs w:val="24"/>
          <w:highlight w:val="none"/>
        </w:rPr>
      </w:pPr>
    </w:p>
    <w:p w14:paraId="759E6609">
      <w:pPr>
        <w:rPr>
          <w:rFonts w:hint="eastAsia" w:ascii="宋体" w:hAnsi="宋体" w:eastAsia="宋体" w:cs="宋体"/>
          <w:color w:val="auto"/>
          <w:sz w:val="24"/>
          <w:szCs w:val="24"/>
          <w:highlight w:val="none"/>
        </w:rPr>
      </w:pPr>
    </w:p>
    <w:p w14:paraId="6367B953">
      <w:pPr>
        <w:rPr>
          <w:rFonts w:hint="eastAsia" w:ascii="宋体" w:hAnsi="宋体" w:eastAsia="宋体" w:cs="宋体"/>
          <w:color w:val="auto"/>
          <w:sz w:val="24"/>
          <w:szCs w:val="24"/>
          <w:highlight w:val="none"/>
        </w:rPr>
      </w:pPr>
    </w:p>
    <w:p w14:paraId="1B918A87">
      <w:pPr>
        <w:pStyle w:val="14"/>
        <w:rPr>
          <w:rFonts w:hint="eastAsia" w:ascii="宋体" w:hAnsi="宋体" w:eastAsia="宋体" w:cs="宋体"/>
          <w:color w:val="auto"/>
          <w:sz w:val="24"/>
          <w:szCs w:val="24"/>
          <w:highlight w:val="none"/>
        </w:rPr>
      </w:pPr>
    </w:p>
    <w:p w14:paraId="6730556D">
      <w:pPr>
        <w:pStyle w:val="14"/>
        <w:rPr>
          <w:rFonts w:hint="eastAsia" w:ascii="宋体" w:hAnsi="宋体" w:eastAsia="宋体" w:cs="宋体"/>
          <w:color w:val="auto"/>
          <w:sz w:val="24"/>
          <w:szCs w:val="24"/>
          <w:highlight w:val="none"/>
        </w:rPr>
      </w:pPr>
    </w:p>
    <w:p w14:paraId="7CACE2DD">
      <w:pPr>
        <w:pStyle w:val="14"/>
        <w:rPr>
          <w:rFonts w:hint="eastAsia" w:ascii="宋体" w:hAnsi="宋体" w:eastAsia="宋体" w:cs="宋体"/>
          <w:color w:val="auto"/>
          <w:sz w:val="24"/>
          <w:szCs w:val="24"/>
          <w:highlight w:val="none"/>
        </w:rPr>
      </w:pPr>
    </w:p>
    <w:p w14:paraId="67DEAF31">
      <w:pPr>
        <w:pStyle w:val="14"/>
        <w:rPr>
          <w:rFonts w:hint="eastAsia" w:ascii="宋体" w:hAnsi="宋体" w:eastAsia="宋体" w:cs="宋体"/>
          <w:color w:val="auto"/>
          <w:sz w:val="24"/>
          <w:szCs w:val="24"/>
          <w:highlight w:val="none"/>
        </w:rPr>
      </w:pPr>
    </w:p>
    <w:p w14:paraId="63ADA78B">
      <w:pPr>
        <w:pStyle w:val="14"/>
        <w:rPr>
          <w:rFonts w:hint="eastAsia" w:ascii="宋体" w:hAnsi="宋体" w:eastAsia="宋体" w:cs="宋体"/>
          <w:color w:val="auto"/>
          <w:sz w:val="24"/>
          <w:szCs w:val="24"/>
          <w:highlight w:val="none"/>
        </w:rPr>
      </w:pPr>
    </w:p>
    <w:p w14:paraId="259FE229">
      <w:pPr>
        <w:pStyle w:val="14"/>
        <w:rPr>
          <w:rFonts w:hint="eastAsia" w:ascii="宋体" w:hAnsi="宋体" w:eastAsia="宋体" w:cs="宋体"/>
          <w:color w:val="auto"/>
          <w:sz w:val="24"/>
          <w:szCs w:val="24"/>
          <w:highlight w:val="none"/>
        </w:rPr>
      </w:pPr>
    </w:p>
    <w:p w14:paraId="07B013EE">
      <w:pPr>
        <w:pStyle w:val="14"/>
        <w:rPr>
          <w:rFonts w:hint="eastAsia" w:ascii="宋体" w:hAnsi="宋体" w:eastAsia="宋体" w:cs="宋体"/>
          <w:color w:val="auto"/>
          <w:sz w:val="24"/>
          <w:szCs w:val="24"/>
          <w:highlight w:val="none"/>
        </w:rPr>
      </w:pPr>
    </w:p>
    <w:p w14:paraId="64907A8C">
      <w:pPr>
        <w:pStyle w:val="14"/>
        <w:rPr>
          <w:rFonts w:hint="eastAsia" w:ascii="宋体" w:hAnsi="宋体" w:eastAsia="宋体" w:cs="宋体"/>
          <w:color w:val="auto"/>
          <w:sz w:val="24"/>
          <w:szCs w:val="24"/>
          <w:highlight w:val="none"/>
        </w:rPr>
      </w:pPr>
    </w:p>
    <w:p w14:paraId="7A8576E0">
      <w:pPr>
        <w:pStyle w:val="14"/>
        <w:rPr>
          <w:rFonts w:hint="eastAsia" w:ascii="宋体" w:hAnsi="宋体" w:eastAsia="宋体" w:cs="宋体"/>
          <w:color w:val="auto"/>
          <w:sz w:val="24"/>
          <w:szCs w:val="24"/>
          <w:highlight w:val="none"/>
        </w:rPr>
      </w:pPr>
    </w:p>
    <w:p w14:paraId="11D34DB4">
      <w:pPr>
        <w:pStyle w:val="14"/>
        <w:rPr>
          <w:rFonts w:hint="eastAsia" w:ascii="宋体" w:hAnsi="宋体" w:eastAsia="宋体" w:cs="宋体"/>
          <w:color w:val="auto"/>
          <w:sz w:val="24"/>
          <w:szCs w:val="24"/>
          <w:highlight w:val="none"/>
        </w:rPr>
      </w:pPr>
    </w:p>
    <w:p w14:paraId="4C0744C8">
      <w:pPr>
        <w:pStyle w:val="14"/>
        <w:rPr>
          <w:rFonts w:hint="eastAsia" w:ascii="宋体" w:hAnsi="宋体" w:eastAsia="宋体" w:cs="宋体"/>
          <w:color w:val="auto"/>
          <w:sz w:val="24"/>
          <w:szCs w:val="24"/>
          <w:highlight w:val="none"/>
        </w:rPr>
      </w:pPr>
    </w:p>
    <w:p w14:paraId="4C201FD5">
      <w:pPr>
        <w:pStyle w:val="14"/>
        <w:rPr>
          <w:rFonts w:hint="eastAsia" w:ascii="宋体" w:hAnsi="宋体" w:eastAsia="宋体" w:cs="宋体"/>
          <w:color w:val="auto"/>
          <w:sz w:val="24"/>
          <w:szCs w:val="24"/>
          <w:highlight w:val="none"/>
        </w:rPr>
      </w:pPr>
    </w:p>
    <w:p w14:paraId="167C0011">
      <w:pPr>
        <w:pStyle w:val="14"/>
        <w:rPr>
          <w:rFonts w:hint="eastAsia" w:ascii="宋体" w:hAnsi="宋体" w:eastAsia="宋体" w:cs="宋体"/>
          <w:color w:val="auto"/>
          <w:sz w:val="24"/>
          <w:szCs w:val="24"/>
          <w:highlight w:val="none"/>
        </w:rPr>
      </w:pPr>
    </w:p>
    <w:p w14:paraId="6FFBAE0C">
      <w:pPr>
        <w:pStyle w:val="14"/>
        <w:rPr>
          <w:rFonts w:hint="eastAsia" w:ascii="宋体" w:hAnsi="宋体" w:eastAsia="宋体" w:cs="宋体"/>
          <w:color w:val="auto"/>
          <w:sz w:val="24"/>
          <w:szCs w:val="24"/>
          <w:highlight w:val="none"/>
        </w:rPr>
      </w:pPr>
    </w:p>
    <w:p w14:paraId="44D9DBD0">
      <w:pPr>
        <w:pStyle w:val="14"/>
        <w:rPr>
          <w:rFonts w:hint="eastAsia" w:ascii="宋体" w:hAnsi="宋体" w:eastAsia="宋体" w:cs="宋体"/>
          <w:color w:val="auto"/>
          <w:sz w:val="24"/>
          <w:szCs w:val="24"/>
          <w:highlight w:val="none"/>
        </w:rPr>
      </w:pPr>
    </w:p>
    <w:p w14:paraId="529A5F4B">
      <w:pPr>
        <w:pStyle w:val="14"/>
        <w:rPr>
          <w:rFonts w:hint="eastAsia" w:ascii="宋体" w:hAnsi="宋体" w:eastAsia="宋体" w:cs="宋体"/>
          <w:color w:val="auto"/>
          <w:sz w:val="24"/>
          <w:szCs w:val="24"/>
          <w:highlight w:val="none"/>
        </w:rPr>
      </w:pPr>
    </w:p>
    <w:p w14:paraId="4A783645">
      <w:pPr>
        <w:pStyle w:val="14"/>
        <w:rPr>
          <w:rFonts w:hint="eastAsia" w:ascii="宋体" w:hAnsi="宋体" w:eastAsia="宋体" w:cs="宋体"/>
          <w:color w:val="auto"/>
          <w:sz w:val="24"/>
          <w:szCs w:val="24"/>
          <w:highlight w:val="none"/>
        </w:rPr>
      </w:pPr>
    </w:p>
    <w:p w14:paraId="31D409BF">
      <w:pPr>
        <w:pStyle w:val="14"/>
        <w:rPr>
          <w:rFonts w:hint="eastAsia" w:ascii="宋体" w:hAnsi="宋体" w:eastAsia="宋体" w:cs="宋体"/>
          <w:color w:val="auto"/>
          <w:sz w:val="24"/>
          <w:szCs w:val="24"/>
          <w:highlight w:val="none"/>
        </w:rPr>
      </w:pPr>
    </w:p>
    <w:p w14:paraId="387B439A">
      <w:pPr>
        <w:pStyle w:val="14"/>
        <w:rPr>
          <w:rFonts w:hint="eastAsia" w:ascii="宋体" w:hAnsi="宋体" w:eastAsia="宋体" w:cs="宋体"/>
          <w:color w:val="auto"/>
          <w:sz w:val="24"/>
          <w:szCs w:val="24"/>
          <w:highlight w:val="none"/>
        </w:rPr>
      </w:pPr>
    </w:p>
    <w:p w14:paraId="183A5B89">
      <w:pPr>
        <w:pStyle w:val="14"/>
        <w:rPr>
          <w:rFonts w:hint="eastAsia" w:ascii="宋体" w:hAnsi="宋体" w:eastAsia="宋体" w:cs="宋体"/>
          <w:color w:val="auto"/>
          <w:sz w:val="24"/>
          <w:szCs w:val="24"/>
          <w:highlight w:val="none"/>
        </w:rPr>
      </w:pPr>
    </w:p>
    <w:p w14:paraId="59B7D9C2">
      <w:pPr>
        <w:rPr>
          <w:rFonts w:hint="eastAsia" w:ascii="宋体" w:hAnsi="宋体" w:eastAsia="宋体" w:cs="宋体"/>
          <w:color w:val="auto"/>
          <w:sz w:val="24"/>
          <w:szCs w:val="24"/>
          <w:highlight w:val="none"/>
        </w:rPr>
      </w:pPr>
    </w:p>
    <w:p w14:paraId="39A30BB7">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三、商务文件</w:t>
      </w:r>
      <w:bookmarkEnd w:id="146"/>
      <w:bookmarkEnd w:id="147"/>
      <w:bookmarkEnd w:id="148"/>
      <w:bookmarkEnd w:id="149"/>
      <w:bookmarkEnd w:id="150"/>
    </w:p>
    <w:p w14:paraId="2F1D26A3">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投标函</w:t>
      </w:r>
    </w:p>
    <w:p w14:paraId="49F55BE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p>
    <w:p w14:paraId="4958F341">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根据贵方为项目招标的投标邀请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30EA2672">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1、所附明细报价表中规定的应提交和交付的货物和服务投标总价为</w:t>
      </w:r>
      <w:r>
        <w:rPr>
          <w:rFonts w:hint="eastAsia" w:ascii="宋体" w:hAnsi="宋体" w:eastAsia="宋体" w:cs="宋体"/>
          <w:color w:val="auto"/>
          <w:sz w:val="24"/>
          <w:szCs w:val="24"/>
          <w:highlight w:val="none"/>
          <w:u w:val="single"/>
          <w:lang w:val="en-US" w:eastAsia="zh-CN"/>
        </w:rPr>
        <w:t xml:space="preserve"> 小写：        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大写：     元整</w:t>
      </w:r>
      <w:r>
        <w:rPr>
          <w:rFonts w:hint="eastAsia" w:ascii="宋体" w:hAnsi="宋体" w:eastAsia="宋体" w:cs="宋体"/>
          <w:color w:val="auto"/>
          <w:sz w:val="24"/>
          <w:szCs w:val="24"/>
          <w:highlight w:val="none"/>
          <w:u w:val="single"/>
        </w:rPr>
        <w:t>）。</w:t>
      </w:r>
    </w:p>
    <w:p w14:paraId="477EDE8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2、我方同意在本项目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中规定的开标日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w:t>
      </w:r>
      <w:r>
        <w:rPr>
          <w:rFonts w:hint="eastAsia" w:ascii="宋体" w:hAnsi="宋体" w:eastAsia="宋体" w:cs="宋体"/>
          <w:color w:val="auto"/>
          <w:sz w:val="24"/>
          <w:szCs w:val="24"/>
          <w:highlight w:val="none"/>
        </w:rPr>
        <w:t>守本</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中的承诺且在此期限期满之前均具有约束力。</w:t>
      </w:r>
    </w:p>
    <w:p w14:paraId="40FF64E2">
      <w:pPr>
        <w:pStyle w:val="40"/>
        <w:snapToGrid w:val="0"/>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3、我方承诺已经具备《中华人民共和国</w:t>
      </w:r>
      <w:r>
        <w:rPr>
          <w:rFonts w:hint="eastAsia" w:ascii="宋体" w:hAnsi="宋体" w:eastAsia="宋体" w:cs="宋体"/>
          <w:color w:val="auto"/>
          <w:kern w:val="2"/>
          <w:sz w:val="24"/>
          <w:szCs w:val="24"/>
          <w:highlight w:val="none"/>
          <w:lang w:val="en-US" w:eastAsia="zh-CN"/>
        </w:rPr>
        <w:t>招标投标法</w:t>
      </w:r>
      <w:r>
        <w:rPr>
          <w:rFonts w:hint="eastAsia" w:ascii="宋体" w:hAnsi="宋体" w:eastAsia="宋体" w:cs="宋体"/>
          <w:color w:val="auto"/>
          <w:kern w:val="2"/>
          <w:sz w:val="24"/>
          <w:szCs w:val="24"/>
          <w:highlight w:val="none"/>
        </w:rPr>
        <w:t>》中规定的参加政府采购活动的制造商、代理商应当具备的条件：</w:t>
      </w:r>
    </w:p>
    <w:p w14:paraId="5AA32932">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611EE46D">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756394FC">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39E6C419">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5206A16B">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参加此项采购活动前三年内，在经营活动中没有重大违法记录。</w:t>
      </w:r>
    </w:p>
    <w:p w14:paraId="5CEA720B">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 xml:space="preserve">响应文件电子版  </w:t>
      </w:r>
    </w:p>
    <w:p w14:paraId="725DDCE6">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要求提供和交付的货物和服务的投标报价详见投标报价表。</w:t>
      </w:r>
    </w:p>
    <w:p w14:paraId="28F47BB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36226E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7、保证遵守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的规定。</w:t>
      </w:r>
    </w:p>
    <w:p w14:paraId="7F3081DF">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8、如果在开标后规定的投标有效期内撤回投标，我方的投标保证金可被贵方没收。</w:t>
      </w:r>
    </w:p>
    <w:p w14:paraId="3215A02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9、我方完全理解贵方不一定接受最低价的投标或收到的任何投标。</w:t>
      </w:r>
    </w:p>
    <w:p w14:paraId="7D913B8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10、我方愿意向贵方提供任何与本项投标有关的数据、情况和技术资料。若贵方需要，我方愿意提供我方作出的一切承诺的证明材料。</w:t>
      </w:r>
    </w:p>
    <w:p w14:paraId="1205F26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，包括“修改</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”（如有的话）、参考资料及有关附件，确认无误。</w:t>
      </w:r>
    </w:p>
    <w:p w14:paraId="001B4BF5">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12、我方承诺接受</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中合同部分</w:t>
      </w:r>
      <w:r>
        <w:rPr>
          <w:rFonts w:hint="eastAsia" w:ascii="宋体" w:hAnsi="宋体" w:eastAsia="宋体" w:cs="宋体"/>
          <w:color w:val="auto"/>
          <w:sz w:val="24"/>
          <w:szCs w:val="24"/>
          <w:highlight w:val="none"/>
        </w:rPr>
        <w:t>的全部条款且无任何异议。</w:t>
      </w:r>
    </w:p>
    <w:p w14:paraId="08AF83E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13、我方将严格遵守《中华人民共和国政府采购法》的有关规定，若有下列情形之一的，将被处以采购金额</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以上10‰以下的罚款，列入不良行为记录名单，在一至三年内禁止参加政府采购活动；有违法所得的，并处没收违法所得；情节严重的，由工商行政管理机关吊</w:t>
      </w:r>
    </w:p>
    <w:p w14:paraId="380E381D">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销营业执照；构成犯罪的，依法追究刑事责任：</w:t>
      </w:r>
    </w:p>
    <w:p w14:paraId="12356CAE">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提供虚假材料谋取中标、成交的；</w:t>
      </w:r>
    </w:p>
    <w:p w14:paraId="53261432">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采取不正当手段诋毁、排挤其他制造商、代理商的；</w:t>
      </w:r>
    </w:p>
    <w:p w14:paraId="57C678E7">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与采购人、其它制造商、代理商或者采购代理机构恶意串通的；</w:t>
      </w:r>
    </w:p>
    <w:p w14:paraId="6E1DBF9C">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10A4BD21">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未经采购代理机构同意，在采购过程中与采购人进行协商谈判的；</w:t>
      </w:r>
    </w:p>
    <w:p w14:paraId="3F457FC7">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17BF3E0D">
      <w:pPr>
        <w:adjustRightInd w:val="0"/>
        <w:snapToGrid w:val="0"/>
        <w:spacing w:line="440" w:lineRule="exact"/>
        <w:rPr>
          <w:rFonts w:hint="eastAsia" w:ascii="宋体" w:hAnsi="宋体" w:eastAsia="宋体" w:cs="宋体"/>
          <w:color w:val="auto"/>
          <w:sz w:val="24"/>
          <w:szCs w:val="24"/>
          <w:highlight w:val="none"/>
        </w:rPr>
      </w:pPr>
    </w:p>
    <w:p w14:paraId="34ED6857">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66C685E5">
      <w:pPr>
        <w:pStyle w:val="7"/>
        <w:rPr>
          <w:rFonts w:hint="eastAsia" w:ascii="宋体" w:hAnsi="宋体" w:eastAsia="宋体" w:cs="宋体"/>
          <w:color w:val="auto"/>
          <w:sz w:val="24"/>
          <w:szCs w:val="24"/>
          <w:highlight w:val="none"/>
        </w:rPr>
      </w:pPr>
    </w:p>
    <w:p w14:paraId="3B9D2329">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3E00D31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4F8DD95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3CA89F9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4B709F53">
      <w:pPr>
        <w:spacing w:line="440" w:lineRule="exact"/>
        <w:ind w:firstLine="6240" w:firstLineChars="2600"/>
        <w:rPr>
          <w:rFonts w:hint="eastAsia" w:ascii="宋体" w:hAnsi="宋体" w:eastAsia="宋体" w:cs="宋体"/>
          <w:color w:val="auto"/>
          <w:sz w:val="24"/>
          <w:szCs w:val="24"/>
          <w:highlight w:val="none"/>
        </w:rPr>
      </w:pPr>
    </w:p>
    <w:p w14:paraId="1BD841A1">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47EBF5A7">
      <w:pPr>
        <w:pStyle w:val="21"/>
        <w:rPr>
          <w:rFonts w:hint="eastAsia" w:ascii="宋体" w:hAnsi="宋体" w:eastAsia="宋体" w:cs="宋体"/>
          <w:b/>
          <w:bCs/>
          <w:color w:val="auto"/>
          <w:sz w:val="24"/>
          <w:szCs w:val="24"/>
          <w:highlight w:val="none"/>
          <w:lang w:val="en-US" w:eastAsia="zh-CN"/>
        </w:rPr>
      </w:pPr>
    </w:p>
    <w:p w14:paraId="52440AE1">
      <w:pPr>
        <w:pStyle w:val="21"/>
        <w:rPr>
          <w:rFonts w:hint="eastAsia" w:ascii="宋体" w:hAnsi="宋体" w:eastAsia="宋体" w:cs="宋体"/>
          <w:b/>
          <w:bCs/>
          <w:color w:val="auto"/>
          <w:sz w:val="24"/>
          <w:szCs w:val="24"/>
          <w:highlight w:val="none"/>
          <w:lang w:val="en-US" w:eastAsia="zh-CN"/>
        </w:rPr>
      </w:pPr>
    </w:p>
    <w:p w14:paraId="1113B732">
      <w:pPr>
        <w:pStyle w:val="21"/>
        <w:rPr>
          <w:rFonts w:hint="eastAsia" w:ascii="宋体" w:hAnsi="宋体" w:eastAsia="宋体" w:cs="宋体"/>
          <w:b/>
          <w:bCs/>
          <w:color w:val="auto"/>
          <w:sz w:val="24"/>
          <w:szCs w:val="24"/>
          <w:highlight w:val="none"/>
          <w:lang w:val="en-US" w:eastAsia="zh-CN"/>
        </w:rPr>
      </w:pPr>
    </w:p>
    <w:p w14:paraId="66EBE46F">
      <w:pPr>
        <w:pStyle w:val="21"/>
        <w:rPr>
          <w:rFonts w:hint="eastAsia" w:ascii="宋体" w:hAnsi="宋体" w:eastAsia="宋体" w:cs="宋体"/>
          <w:b/>
          <w:bCs/>
          <w:color w:val="auto"/>
          <w:sz w:val="24"/>
          <w:szCs w:val="24"/>
          <w:highlight w:val="none"/>
          <w:lang w:val="en-US" w:eastAsia="zh-CN"/>
        </w:rPr>
      </w:pPr>
    </w:p>
    <w:p w14:paraId="4F32C145">
      <w:pPr>
        <w:pStyle w:val="21"/>
        <w:rPr>
          <w:rFonts w:hint="eastAsia" w:ascii="宋体" w:hAnsi="宋体" w:eastAsia="宋体" w:cs="宋体"/>
          <w:b/>
          <w:bCs/>
          <w:color w:val="auto"/>
          <w:sz w:val="24"/>
          <w:szCs w:val="24"/>
          <w:highlight w:val="none"/>
          <w:lang w:val="en-US" w:eastAsia="zh-CN"/>
        </w:rPr>
      </w:pPr>
    </w:p>
    <w:p w14:paraId="1CE57E3C">
      <w:pPr>
        <w:pStyle w:val="21"/>
        <w:rPr>
          <w:rFonts w:hint="eastAsia" w:ascii="宋体" w:hAnsi="宋体" w:eastAsia="宋体" w:cs="宋体"/>
          <w:b/>
          <w:bCs/>
          <w:color w:val="auto"/>
          <w:sz w:val="24"/>
          <w:szCs w:val="24"/>
          <w:highlight w:val="none"/>
          <w:lang w:val="en-US" w:eastAsia="zh-CN"/>
        </w:rPr>
      </w:pPr>
    </w:p>
    <w:p w14:paraId="1BB6606B">
      <w:pPr>
        <w:pStyle w:val="21"/>
        <w:rPr>
          <w:rFonts w:hint="eastAsia" w:ascii="宋体" w:hAnsi="宋体" w:eastAsia="宋体" w:cs="宋体"/>
          <w:b/>
          <w:bCs/>
          <w:color w:val="auto"/>
          <w:sz w:val="24"/>
          <w:szCs w:val="24"/>
          <w:highlight w:val="none"/>
          <w:lang w:val="en-US" w:eastAsia="zh-CN"/>
        </w:rPr>
      </w:pPr>
    </w:p>
    <w:p w14:paraId="21D5AE91">
      <w:pPr>
        <w:pStyle w:val="21"/>
        <w:rPr>
          <w:rFonts w:hint="eastAsia" w:ascii="宋体" w:hAnsi="宋体" w:eastAsia="宋体" w:cs="宋体"/>
          <w:b/>
          <w:bCs/>
          <w:color w:val="auto"/>
          <w:sz w:val="24"/>
          <w:szCs w:val="24"/>
          <w:highlight w:val="none"/>
          <w:lang w:val="en-US" w:eastAsia="zh-CN"/>
        </w:rPr>
      </w:pPr>
    </w:p>
    <w:p w14:paraId="692C75FF">
      <w:pPr>
        <w:pStyle w:val="21"/>
        <w:rPr>
          <w:rFonts w:hint="eastAsia" w:ascii="宋体" w:hAnsi="宋体" w:eastAsia="宋体" w:cs="宋体"/>
          <w:b/>
          <w:bCs/>
          <w:color w:val="auto"/>
          <w:sz w:val="24"/>
          <w:szCs w:val="24"/>
          <w:highlight w:val="none"/>
          <w:lang w:val="en-US" w:eastAsia="zh-CN"/>
        </w:rPr>
      </w:pPr>
    </w:p>
    <w:p w14:paraId="5EA14AEE">
      <w:pPr>
        <w:pStyle w:val="21"/>
        <w:rPr>
          <w:rFonts w:hint="eastAsia" w:ascii="宋体" w:hAnsi="宋体" w:eastAsia="宋体" w:cs="宋体"/>
          <w:b/>
          <w:bCs/>
          <w:color w:val="auto"/>
          <w:sz w:val="24"/>
          <w:szCs w:val="24"/>
          <w:highlight w:val="none"/>
          <w:lang w:val="en-US" w:eastAsia="zh-CN"/>
        </w:rPr>
      </w:pPr>
    </w:p>
    <w:p w14:paraId="319D7BF0">
      <w:pPr>
        <w:pStyle w:val="21"/>
        <w:rPr>
          <w:rFonts w:hint="eastAsia" w:ascii="宋体" w:hAnsi="宋体" w:eastAsia="宋体" w:cs="宋体"/>
          <w:b/>
          <w:bCs/>
          <w:color w:val="auto"/>
          <w:sz w:val="24"/>
          <w:szCs w:val="24"/>
          <w:highlight w:val="none"/>
          <w:lang w:val="en-US" w:eastAsia="zh-CN"/>
        </w:rPr>
      </w:pPr>
    </w:p>
    <w:p w14:paraId="2308A648">
      <w:pPr>
        <w:spacing w:line="460" w:lineRule="atLeast"/>
        <w:rPr>
          <w:rFonts w:hint="eastAsia" w:ascii="宋体" w:hAnsi="宋体" w:eastAsia="宋体" w:cs="宋体"/>
          <w:b/>
          <w:bCs/>
          <w:color w:val="auto"/>
          <w:sz w:val="24"/>
          <w:szCs w:val="24"/>
          <w:highlight w:val="none"/>
          <w:lang w:val="en-US" w:eastAsia="zh-CN"/>
        </w:rPr>
      </w:pPr>
    </w:p>
    <w:p w14:paraId="4886E9E1">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开标一览表</w:t>
      </w:r>
    </w:p>
    <w:p w14:paraId="3F81ED2D">
      <w:pPr>
        <w:pStyle w:val="32"/>
        <w:spacing w:line="440" w:lineRule="exact"/>
        <w:ind w:left="210" w:leftChars="-86" w:hanging="391" w:hangingChars="163"/>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 xml:space="preserve">         </w:t>
      </w:r>
    </w:p>
    <w:p w14:paraId="4D296F2C">
      <w:pPr>
        <w:pStyle w:val="32"/>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6EE7C608">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u w:val="none"/>
        </w:rPr>
        <w:t xml:space="preserve">      </w:t>
      </w:r>
      <w:r>
        <w:rPr>
          <w:rFonts w:ascii="宋体" w:hAnsi="宋体"/>
          <w:color w:val="auto"/>
          <w:highlight w:val="none"/>
        </w:rPr>
        <w:t xml:space="preserve">   </w:t>
      </w:r>
    </w:p>
    <w:tbl>
      <w:tblPr>
        <w:tblStyle w:val="23"/>
        <w:tblW w:w="9135"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5"/>
      </w:tblGrid>
      <w:tr w14:paraId="40FC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0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r>
      <w:tr w14:paraId="0534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0C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投标总报价：小写：     元</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大写：   </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元整</w:t>
            </w:r>
          </w:p>
        </w:tc>
      </w:tr>
      <w:tr w14:paraId="3747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D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供货期限：</w:t>
            </w:r>
          </w:p>
        </w:tc>
      </w:tr>
      <w:tr w14:paraId="4EA4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DBBC">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质保期限：</w:t>
            </w:r>
          </w:p>
        </w:tc>
      </w:tr>
    </w:tbl>
    <w:p w14:paraId="76C32BB1">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b/>
          <w:bCs/>
          <w:color w:val="auto"/>
          <w:highlight w:val="none"/>
        </w:rPr>
        <w:t xml:space="preserve"> </w:t>
      </w:r>
      <w:r>
        <w:rPr>
          <w:rFonts w:ascii="宋体" w:hAnsi="宋体"/>
          <w:b/>
          <w:bCs/>
          <w:color w:val="auto"/>
          <w:highlight w:val="none"/>
          <w:u w:val="none"/>
        </w:rPr>
        <w:t xml:space="preserve">    </w:t>
      </w:r>
      <w:r>
        <w:rPr>
          <w:rFonts w:ascii="宋体" w:hAnsi="宋体"/>
          <w:color w:val="auto"/>
          <w:highlight w:val="none"/>
          <w:u w:val="none"/>
        </w:rPr>
        <w:t xml:space="preserve">     </w:t>
      </w:r>
    </w:p>
    <w:p w14:paraId="28C78105">
      <w:pPr>
        <w:pStyle w:val="32"/>
        <w:spacing w:line="480" w:lineRule="auto"/>
        <w:rPr>
          <w:rFonts w:hint="eastAsia" w:ascii="宋体" w:hAnsi="宋体"/>
          <w:b/>
          <w:bCs/>
          <w:color w:val="auto"/>
          <w:sz w:val="24"/>
          <w:highlight w:val="none"/>
        </w:rPr>
      </w:pPr>
      <w:r>
        <w:rPr>
          <w:rFonts w:hint="eastAsia" w:ascii="宋体" w:hAnsi="宋体"/>
          <w:b/>
          <w:bCs/>
          <w:color w:val="auto"/>
          <w:highlight w:val="none"/>
        </w:rPr>
        <w:t>兹声明：</w:t>
      </w:r>
      <w:r>
        <w:rPr>
          <w:rFonts w:hint="eastAsia" w:ascii="宋体" w:hAnsi="宋体"/>
          <w:b/>
          <w:bCs/>
          <w:color w:val="auto"/>
          <w:sz w:val="24"/>
          <w:highlight w:val="none"/>
        </w:rPr>
        <w:t>投标</w:t>
      </w:r>
      <w:r>
        <w:rPr>
          <w:rFonts w:hint="eastAsia" w:ascii="宋体" w:hAnsi="宋体"/>
          <w:b/>
          <w:bCs/>
          <w:color w:val="auto"/>
          <w:sz w:val="24"/>
          <w:highlight w:val="none"/>
          <w:lang w:val="en-US" w:eastAsia="zh-CN"/>
        </w:rPr>
        <w:t>设备</w:t>
      </w:r>
      <w:r>
        <w:rPr>
          <w:rFonts w:hint="eastAsia" w:ascii="宋体" w:hAnsi="宋体"/>
          <w:b/>
          <w:bCs/>
          <w:color w:val="auto"/>
          <w:sz w:val="24"/>
          <w:highlight w:val="none"/>
        </w:rPr>
        <w:t>（包括备品备件、专用工具等）的价格（包括投标货物运输</w:t>
      </w:r>
    </w:p>
    <w:p w14:paraId="36408D56">
      <w:pPr>
        <w:pStyle w:val="32"/>
        <w:spacing w:line="480" w:lineRule="auto"/>
        <w:rPr>
          <w:rFonts w:hint="eastAsia" w:ascii="宋体" w:hAnsi="宋体"/>
          <w:b/>
          <w:bCs/>
          <w:color w:val="auto"/>
          <w:sz w:val="24"/>
          <w:highlight w:val="none"/>
          <w:lang w:eastAsia="zh-CN"/>
        </w:rPr>
      </w:pPr>
      <w:r>
        <w:rPr>
          <w:rFonts w:hint="eastAsia" w:ascii="宋体" w:hAnsi="宋体"/>
          <w:b/>
          <w:bCs/>
          <w:color w:val="auto"/>
          <w:sz w:val="24"/>
          <w:highlight w:val="none"/>
        </w:rPr>
        <w:t>（含保险）、安装、调试、检验、</w:t>
      </w:r>
      <w:r>
        <w:rPr>
          <w:rFonts w:hint="eastAsia" w:ascii="宋体" w:hAnsi="宋体"/>
          <w:b/>
          <w:bCs/>
          <w:color w:val="auto"/>
          <w:sz w:val="24"/>
          <w:highlight w:val="none"/>
          <w:lang w:eastAsia="zh-CN"/>
        </w:rPr>
        <w:t>接口及接口预留费、</w:t>
      </w:r>
      <w:r>
        <w:rPr>
          <w:rFonts w:hint="eastAsia" w:ascii="宋体" w:hAnsi="宋体"/>
          <w:b/>
          <w:bCs/>
          <w:color w:val="auto"/>
          <w:sz w:val="24"/>
          <w:highlight w:val="none"/>
        </w:rPr>
        <w:t>技术服务、培训和</w:t>
      </w:r>
      <w:r>
        <w:rPr>
          <w:rFonts w:hint="eastAsia" w:ascii="宋体" w:hAnsi="宋体"/>
          <w:b/>
          <w:bCs/>
          <w:color w:val="auto"/>
          <w:sz w:val="24"/>
          <w:highlight w:val="none"/>
          <w:lang w:eastAsia="zh-CN"/>
        </w:rPr>
        <w:t>利润、税金及完成项目的</w:t>
      </w:r>
      <w:r>
        <w:rPr>
          <w:rFonts w:ascii="宋体" w:hAnsi="宋体"/>
          <w:b/>
          <w:bCs/>
          <w:color w:val="auto"/>
          <w:sz w:val="24"/>
          <w:highlight w:val="none"/>
        </w:rPr>
        <w:t>所有伴随服务</w:t>
      </w:r>
      <w:r>
        <w:rPr>
          <w:rFonts w:hint="eastAsia" w:ascii="宋体" w:hAnsi="宋体"/>
          <w:b/>
          <w:bCs/>
          <w:color w:val="auto"/>
          <w:sz w:val="24"/>
          <w:highlight w:val="none"/>
        </w:rPr>
        <w:t>等费用</w:t>
      </w:r>
      <w:r>
        <w:rPr>
          <w:rFonts w:hint="eastAsia" w:ascii="宋体" w:hAnsi="宋体"/>
          <w:b/>
          <w:bCs/>
          <w:color w:val="auto"/>
          <w:sz w:val="24"/>
          <w:highlight w:val="none"/>
          <w:lang w:eastAsia="zh-CN"/>
        </w:rPr>
        <w:t>。</w:t>
      </w:r>
    </w:p>
    <w:p w14:paraId="33A978F7">
      <w:pPr>
        <w:pStyle w:val="32"/>
        <w:spacing w:line="480" w:lineRule="auto"/>
        <w:rPr>
          <w:rFonts w:hint="eastAsia" w:ascii="宋体" w:hAnsi="宋体"/>
          <w:b/>
          <w:bCs/>
          <w:color w:val="auto"/>
          <w:highlight w:val="none"/>
        </w:rPr>
      </w:pPr>
      <w:r>
        <w:rPr>
          <w:rFonts w:hint="eastAsia" w:ascii="宋体" w:hAnsi="宋体"/>
          <w:b/>
          <w:bCs/>
          <w:color w:val="auto"/>
          <w:highlight w:val="none"/>
        </w:rPr>
        <w:t>以上投标报价在投标有效期内一直有效。</w:t>
      </w:r>
    </w:p>
    <w:p w14:paraId="3EF6365E">
      <w:pPr>
        <w:pStyle w:val="32"/>
        <w:spacing w:line="480" w:lineRule="auto"/>
        <w:rPr>
          <w:rFonts w:hint="eastAsia" w:ascii="宋体" w:hAnsi="宋体"/>
          <w:b/>
          <w:bCs/>
          <w:color w:val="auto"/>
          <w:highlight w:val="none"/>
        </w:rPr>
      </w:pPr>
    </w:p>
    <w:p w14:paraId="39DA16CC">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33E94386">
      <w:pPr>
        <w:pStyle w:val="7"/>
        <w:rPr>
          <w:rFonts w:hint="eastAsia" w:ascii="宋体" w:hAnsi="宋体" w:eastAsia="宋体" w:cs="宋体"/>
          <w:color w:val="auto"/>
          <w:sz w:val="24"/>
          <w:szCs w:val="24"/>
          <w:highlight w:val="none"/>
        </w:rPr>
      </w:pPr>
    </w:p>
    <w:p w14:paraId="2F9D4CA6">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3E22BF77">
      <w:pPr>
        <w:pStyle w:val="14"/>
        <w:rPr>
          <w:rFonts w:hint="eastAsia" w:ascii="宋体" w:hAnsi="宋体" w:eastAsia="宋体" w:cs="宋体"/>
          <w:color w:val="auto"/>
          <w:sz w:val="24"/>
          <w:szCs w:val="24"/>
          <w:highlight w:val="none"/>
          <w:u w:val="single"/>
          <w:lang w:val="en-US" w:eastAsia="zh-CN"/>
        </w:rPr>
      </w:pPr>
    </w:p>
    <w:p w14:paraId="78F1C066">
      <w:pPr>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p>
    <w:p w14:paraId="666F9539">
      <w:pPr>
        <w:pStyle w:val="14"/>
        <w:rPr>
          <w:rFonts w:hint="eastAsia" w:ascii="宋体" w:hAnsi="宋体" w:eastAsia="宋体" w:cs="宋体"/>
          <w:b/>
          <w:bCs/>
          <w:color w:val="auto"/>
          <w:sz w:val="24"/>
          <w:szCs w:val="24"/>
          <w:highlight w:val="none"/>
          <w:lang w:val="en-US" w:eastAsia="zh-CN"/>
        </w:rPr>
      </w:pPr>
    </w:p>
    <w:p w14:paraId="257289E6">
      <w:pPr>
        <w:pStyle w:val="14"/>
        <w:rPr>
          <w:rFonts w:hint="eastAsia" w:ascii="宋体" w:hAnsi="宋体" w:eastAsia="宋体" w:cs="宋体"/>
          <w:b/>
          <w:bCs/>
          <w:color w:val="auto"/>
          <w:sz w:val="24"/>
          <w:szCs w:val="24"/>
          <w:highlight w:val="none"/>
          <w:lang w:val="en-US" w:eastAsia="zh-CN"/>
        </w:rPr>
      </w:pPr>
    </w:p>
    <w:p w14:paraId="2D53B9E1">
      <w:pPr>
        <w:pStyle w:val="14"/>
        <w:rPr>
          <w:rFonts w:hint="eastAsia" w:ascii="宋体" w:hAnsi="宋体" w:eastAsia="宋体" w:cs="宋体"/>
          <w:b/>
          <w:bCs/>
          <w:color w:val="auto"/>
          <w:sz w:val="24"/>
          <w:szCs w:val="24"/>
          <w:highlight w:val="none"/>
          <w:lang w:val="en-US" w:eastAsia="zh-CN"/>
        </w:rPr>
      </w:pPr>
    </w:p>
    <w:p w14:paraId="763BF733">
      <w:pPr>
        <w:pStyle w:val="14"/>
        <w:rPr>
          <w:rFonts w:hint="eastAsia" w:ascii="宋体" w:hAnsi="宋体" w:eastAsia="宋体" w:cs="宋体"/>
          <w:b/>
          <w:bCs/>
          <w:color w:val="auto"/>
          <w:sz w:val="24"/>
          <w:szCs w:val="24"/>
          <w:highlight w:val="none"/>
          <w:lang w:val="en-US" w:eastAsia="zh-CN"/>
        </w:rPr>
      </w:pPr>
    </w:p>
    <w:p w14:paraId="3E202D3D">
      <w:pPr>
        <w:pStyle w:val="14"/>
        <w:rPr>
          <w:rFonts w:hint="eastAsia" w:ascii="宋体" w:hAnsi="宋体" w:eastAsia="宋体" w:cs="宋体"/>
          <w:b/>
          <w:bCs/>
          <w:color w:val="auto"/>
          <w:sz w:val="24"/>
          <w:szCs w:val="24"/>
          <w:highlight w:val="none"/>
          <w:lang w:val="en-US" w:eastAsia="zh-CN"/>
        </w:rPr>
      </w:pPr>
    </w:p>
    <w:p w14:paraId="5AEA6A2F">
      <w:pPr>
        <w:pStyle w:val="14"/>
        <w:rPr>
          <w:rFonts w:hint="eastAsia" w:ascii="宋体" w:hAnsi="宋体" w:eastAsia="宋体" w:cs="宋体"/>
          <w:b/>
          <w:bCs/>
          <w:color w:val="auto"/>
          <w:sz w:val="24"/>
          <w:szCs w:val="24"/>
          <w:highlight w:val="none"/>
          <w:lang w:val="en-US" w:eastAsia="zh-CN"/>
        </w:rPr>
      </w:pPr>
    </w:p>
    <w:p w14:paraId="7DE22C36">
      <w:pPr>
        <w:pStyle w:val="14"/>
        <w:rPr>
          <w:rFonts w:hint="eastAsia" w:ascii="宋体" w:hAnsi="宋体" w:eastAsia="宋体" w:cs="宋体"/>
          <w:b/>
          <w:bCs/>
          <w:color w:val="auto"/>
          <w:sz w:val="24"/>
          <w:szCs w:val="24"/>
          <w:highlight w:val="none"/>
          <w:lang w:val="en-US" w:eastAsia="zh-CN"/>
        </w:rPr>
      </w:pPr>
    </w:p>
    <w:p w14:paraId="5CBE2312">
      <w:pPr>
        <w:pStyle w:val="14"/>
        <w:rPr>
          <w:rFonts w:hint="default" w:ascii="宋体" w:hAnsi="宋体" w:eastAsia="宋体" w:cs="宋体"/>
          <w:b/>
          <w:bCs/>
          <w:color w:val="auto"/>
          <w:sz w:val="24"/>
          <w:szCs w:val="24"/>
          <w:highlight w:val="none"/>
          <w:lang w:val="en-US" w:eastAsia="zh-CN"/>
        </w:rPr>
      </w:pPr>
    </w:p>
    <w:p w14:paraId="7EB2AF10">
      <w:pPr>
        <w:pStyle w:val="14"/>
        <w:rPr>
          <w:rFonts w:hint="default" w:ascii="宋体" w:hAnsi="宋体" w:eastAsia="宋体" w:cs="宋体"/>
          <w:b/>
          <w:bCs/>
          <w:color w:val="auto"/>
          <w:sz w:val="24"/>
          <w:szCs w:val="24"/>
          <w:highlight w:val="none"/>
          <w:lang w:val="en-US" w:eastAsia="zh-CN"/>
        </w:rPr>
      </w:pPr>
    </w:p>
    <w:p w14:paraId="5F396A31">
      <w:pPr>
        <w:pStyle w:val="14"/>
        <w:rPr>
          <w:rFonts w:hint="eastAsia" w:ascii="宋体" w:hAnsi="宋体" w:eastAsia="宋体" w:cs="宋体"/>
          <w:b/>
          <w:bCs/>
          <w:color w:val="auto"/>
          <w:sz w:val="24"/>
          <w:szCs w:val="24"/>
          <w:highlight w:val="none"/>
          <w:lang w:val="en-US" w:eastAsia="zh-CN"/>
        </w:rPr>
      </w:pPr>
    </w:p>
    <w:p w14:paraId="67429C16">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3、投标报价明细表</w:t>
      </w:r>
    </w:p>
    <w:p w14:paraId="4D8F4BCE">
      <w:pPr>
        <w:pStyle w:val="32"/>
        <w:spacing w:line="440" w:lineRule="exact"/>
        <w:ind w:left="210" w:leftChars="-86" w:hanging="391" w:hangingChars="163"/>
        <w:jc w:val="both"/>
        <w:rPr>
          <w:rFonts w:ascii="宋体" w:hAnsi="宋体"/>
          <w:color w:val="auto"/>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kern w:val="0"/>
          <w:sz w:val="24"/>
          <w:szCs w:val="24"/>
          <w:highlight w:val="none"/>
          <w:lang w:val="en-US" w:eastAsia="zh-CN" w:bidi="ar"/>
        </w:rPr>
        <w:t xml:space="preserve">  </w:t>
      </w:r>
      <w:r>
        <w:rPr>
          <w:rFonts w:ascii="宋体" w:hAnsi="宋体"/>
          <w:color w:val="auto"/>
          <w:highlight w:val="none"/>
        </w:rPr>
        <w:t xml:space="preserve">  </w:t>
      </w:r>
    </w:p>
    <w:p w14:paraId="3518DED1">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u w:val="none"/>
        </w:rPr>
        <w:t xml:space="preserve">   </w:t>
      </w:r>
      <w:r>
        <w:rPr>
          <w:rFonts w:ascii="宋体" w:hAnsi="宋体"/>
          <w:color w:val="auto"/>
          <w:highlight w:val="none"/>
        </w:rPr>
        <w:t xml:space="preserve">   </w:t>
      </w:r>
    </w:p>
    <w:tbl>
      <w:tblPr>
        <w:tblStyle w:val="23"/>
        <w:tblW w:w="958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78"/>
        <w:gridCol w:w="937"/>
        <w:gridCol w:w="1096"/>
        <w:gridCol w:w="1096"/>
        <w:gridCol w:w="861"/>
        <w:gridCol w:w="861"/>
        <w:gridCol w:w="937"/>
        <w:gridCol w:w="938"/>
      </w:tblGrid>
      <w:tr w14:paraId="5608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89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序号</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6F2C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设备名称</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28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55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投标报价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9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投标报价</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4742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品牌</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C902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6"/>
                <w:rFonts w:hint="eastAsia" w:ascii="宋体" w:hAnsi="宋体" w:eastAsia="宋体" w:cs="宋体"/>
                <w:b/>
                <w:bCs/>
                <w:color w:val="auto"/>
                <w:sz w:val="24"/>
                <w:szCs w:val="24"/>
                <w:highlight w:val="none"/>
                <w:lang w:val="en-US" w:eastAsia="zh-CN" w:bidi="ar"/>
              </w:rPr>
              <w:t xml:space="preserve"> </w:t>
            </w:r>
            <w:r>
              <w:rPr>
                <w:rStyle w:val="42"/>
                <w:rFonts w:hint="eastAsia" w:ascii="宋体" w:hAnsi="宋体" w:eastAsia="宋体" w:cs="宋体"/>
                <w:b/>
                <w:bCs/>
                <w:color w:val="auto"/>
                <w:sz w:val="24"/>
                <w:szCs w:val="24"/>
                <w:highlight w:val="none"/>
                <w:lang w:val="en-US" w:eastAsia="zh-CN" w:bidi="ar"/>
              </w:rPr>
              <w:t>生产厂家</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C74A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6"/>
                <w:rFonts w:hint="eastAsia" w:ascii="宋体" w:hAnsi="宋体" w:eastAsia="宋体" w:cs="宋体"/>
                <w:b/>
                <w:bCs/>
                <w:color w:val="auto"/>
                <w:sz w:val="24"/>
                <w:szCs w:val="24"/>
                <w:highlight w:val="none"/>
                <w:lang w:val="en-US" w:eastAsia="zh-CN" w:bidi="ar"/>
              </w:rPr>
              <w:t xml:space="preserve"> </w:t>
            </w:r>
            <w:r>
              <w:rPr>
                <w:rStyle w:val="42"/>
                <w:rFonts w:hint="eastAsia" w:ascii="宋体" w:hAnsi="宋体" w:eastAsia="宋体" w:cs="宋体"/>
                <w:b/>
                <w:bCs/>
                <w:color w:val="auto"/>
                <w:sz w:val="24"/>
                <w:szCs w:val="24"/>
                <w:highlight w:val="none"/>
                <w:lang w:val="en-US" w:eastAsia="zh-CN" w:bidi="ar"/>
              </w:rPr>
              <w:t>规格型号</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76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备注</w:t>
            </w:r>
          </w:p>
        </w:tc>
      </w:tr>
      <w:tr w14:paraId="367C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79">
            <w:pPr>
              <w:jc w:val="center"/>
              <w:rPr>
                <w:rFonts w:hint="eastAsia" w:ascii="宋体" w:hAnsi="宋体" w:eastAsia="宋体" w:cs="宋体"/>
                <w:b/>
                <w:bCs/>
                <w:i w:val="0"/>
                <w:iCs w:val="0"/>
                <w:color w:val="auto"/>
                <w:sz w:val="24"/>
                <w:szCs w:val="24"/>
                <w:highlight w:val="none"/>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9642">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82B">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867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（单价）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9A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（共计）</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8E6A">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8D37">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98A2">
            <w:pPr>
              <w:jc w:val="center"/>
              <w:rPr>
                <w:rFonts w:hint="eastAsia" w:ascii="宋体" w:hAnsi="宋体" w:eastAsia="宋体" w:cs="宋体"/>
                <w:b/>
                <w:bCs/>
                <w:i w:val="0"/>
                <w:iCs w:val="0"/>
                <w:color w:val="auto"/>
                <w:sz w:val="24"/>
                <w:szCs w:val="24"/>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ED87">
            <w:pPr>
              <w:jc w:val="center"/>
              <w:rPr>
                <w:rFonts w:hint="eastAsia" w:ascii="宋体" w:hAnsi="宋体" w:eastAsia="宋体" w:cs="宋体"/>
                <w:b/>
                <w:bCs/>
                <w:i w:val="0"/>
                <w:iCs w:val="0"/>
                <w:color w:val="auto"/>
                <w:sz w:val="24"/>
                <w:szCs w:val="24"/>
                <w:highlight w:val="none"/>
                <w:u w:val="none"/>
              </w:rPr>
            </w:pPr>
          </w:p>
        </w:tc>
      </w:tr>
      <w:tr w14:paraId="0B45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146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625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30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0D6">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A453">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D4E">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205">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882">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DDD">
            <w:pPr>
              <w:jc w:val="center"/>
              <w:rPr>
                <w:rFonts w:hint="eastAsia" w:ascii="宋体" w:hAnsi="宋体" w:eastAsia="宋体" w:cs="宋体"/>
                <w:b/>
                <w:bCs/>
                <w:i w:val="0"/>
                <w:iCs w:val="0"/>
                <w:color w:val="auto"/>
                <w:sz w:val="24"/>
                <w:szCs w:val="24"/>
                <w:highlight w:val="none"/>
                <w:u w:val="none"/>
              </w:rPr>
            </w:pPr>
          </w:p>
        </w:tc>
      </w:tr>
      <w:tr w14:paraId="3146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9B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B133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1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8703">
            <w:pPr>
              <w:jc w:val="center"/>
              <w:rPr>
                <w:rFonts w:hint="eastAsia" w:ascii="宋体" w:hAnsi="宋体" w:eastAsia="宋体" w:cs="宋体"/>
                <w:b/>
                <w:bCs/>
                <w:i w:val="0"/>
                <w:iCs w:val="0"/>
                <w:color w:val="auto"/>
                <w:sz w:val="24"/>
                <w:szCs w:val="24"/>
                <w:highlight w:val="none"/>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CE70">
            <w:pPr>
              <w:jc w:val="center"/>
              <w:rPr>
                <w:rFonts w:hint="eastAsia" w:ascii="宋体" w:hAnsi="宋体" w:eastAsia="宋体" w:cs="宋体"/>
                <w:b/>
                <w:bCs/>
                <w:i w:val="0"/>
                <w:iCs w:val="0"/>
                <w:color w:val="auto"/>
                <w:sz w:val="24"/>
                <w:szCs w:val="24"/>
                <w:highlight w:val="none"/>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A58B6">
            <w:pPr>
              <w:jc w:val="center"/>
              <w:rPr>
                <w:rFonts w:hint="eastAsia" w:ascii="宋体" w:hAnsi="宋体" w:eastAsia="宋体" w:cs="宋体"/>
                <w:b/>
                <w:bCs/>
                <w:i w:val="0"/>
                <w:iCs w:val="0"/>
                <w:color w:val="auto"/>
                <w:sz w:val="24"/>
                <w:szCs w:val="24"/>
                <w:highlight w:val="none"/>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022B5">
            <w:pPr>
              <w:jc w:val="center"/>
              <w:rPr>
                <w:rFonts w:hint="eastAsia" w:ascii="宋体" w:hAnsi="宋体" w:eastAsia="宋体" w:cs="宋体"/>
                <w:b/>
                <w:bCs/>
                <w:i w:val="0"/>
                <w:iCs w:val="0"/>
                <w:color w:val="auto"/>
                <w:sz w:val="24"/>
                <w:szCs w:val="24"/>
                <w:highlight w:val="none"/>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A51C2">
            <w:pPr>
              <w:jc w:val="center"/>
              <w:rPr>
                <w:rFonts w:hint="eastAsia" w:ascii="宋体" w:hAnsi="宋体" w:eastAsia="宋体" w:cs="宋体"/>
                <w:b/>
                <w:bCs/>
                <w:i w:val="0"/>
                <w:iCs w:val="0"/>
                <w:color w:val="auto"/>
                <w:sz w:val="24"/>
                <w:szCs w:val="24"/>
                <w:highlight w:val="none"/>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4246E">
            <w:pPr>
              <w:jc w:val="center"/>
              <w:rPr>
                <w:rFonts w:hint="eastAsia" w:ascii="宋体" w:hAnsi="宋体" w:eastAsia="宋体" w:cs="宋体"/>
                <w:b/>
                <w:bCs/>
                <w:i w:val="0"/>
                <w:iCs w:val="0"/>
                <w:color w:val="auto"/>
                <w:sz w:val="24"/>
                <w:szCs w:val="24"/>
                <w:highlight w:val="none"/>
                <w:u w:val="none"/>
              </w:rPr>
            </w:pPr>
          </w:p>
        </w:tc>
      </w:tr>
      <w:tr w14:paraId="0E5D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D19">
            <w:pPr>
              <w:jc w:val="center"/>
              <w:rPr>
                <w:rFonts w:hint="eastAsia" w:ascii="宋体" w:hAnsi="宋体" w:eastAsia="宋体" w:cs="宋体"/>
                <w:b/>
                <w:bCs/>
                <w:i w:val="0"/>
                <w:iCs w:val="0"/>
                <w:color w:val="auto"/>
                <w:sz w:val="24"/>
                <w:szCs w:val="24"/>
                <w:highlight w:val="none"/>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47EE">
            <w:pPr>
              <w:jc w:val="left"/>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3899">
            <w:pPr>
              <w:jc w:val="center"/>
              <w:rPr>
                <w:rFonts w:hint="eastAsia" w:ascii="宋体" w:hAnsi="宋体" w:eastAsia="宋体" w:cs="宋体"/>
                <w:b/>
                <w:bCs/>
                <w:i w:val="0"/>
                <w:iCs w:val="0"/>
                <w:color w:val="auto"/>
                <w:sz w:val="24"/>
                <w:szCs w:val="24"/>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CDE7">
            <w:pPr>
              <w:jc w:val="center"/>
              <w:rPr>
                <w:rFonts w:hint="eastAsia" w:ascii="宋体" w:hAnsi="宋体" w:eastAsia="宋体" w:cs="宋体"/>
                <w:b/>
                <w:bCs/>
                <w:i w:val="0"/>
                <w:iCs w:val="0"/>
                <w:color w:val="auto"/>
                <w:sz w:val="24"/>
                <w:szCs w:val="24"/>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8718">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63B1">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C697">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1831">
            <w:pPr>
              <w:jc w:val="center"/>
              <w:rPr>
                <w:rFonts w:hint="eastAsia" w:ascii="宋体" w:hAnsi="宋体" w:eastAsia="宋体" w:cs="宋体"/>
                <w:b/>
                <w:bCs/>
                <w:i w:val="0"/>
                <w:iCs w:val="0"/>
                <w:color w:val="auto"/>
                <w:sz w:val="24"/>
                <w:szCs w:val="24"/>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1FD2">
            <w:pPr>
              <w:jc w:val="center"/>
              <w:rPr>
                <w:rFonts w:hint="eastAsia" w:ascii="宋体" w:hAnsi="宋体" w:eastAsia="宋体" w:cs="宋体"/>
                <w:b/>
                <w:bCs/>
                <w:i w:val="0"/>
                <w:iCs w:val="0"/>
                <w:color w:val="auto"/>
                <w:sz w:val="24"/>
                <w:szCs w:val="24"/>
                <w:highlight w:val="none"/>
                <w:u w:val="none"/>
              </w:rPr>
            </w:pPr>
          </w:p>
        </w:tc>
      </w:tr>
      <w:tr w14:paraId="5D21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B20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3ED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D9E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C091">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0E84">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93A9">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294">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F2C">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4EF6">
            <w:pPr>
              <w:jc w:val="center"/>
              <w:rPr>
                <w:rFonts w:hint="eastAsia" w:ascii="宋体" w:hAnsi="宋体" w:eastAsia="宋体" w:cs="宋体"/>
                <w:b/>
                <w:bCs/>
                <w:i w:val="0"/>
                <w:iCs w:val="0"/>
                <w:color w:val="auto"/>
                <w:sz w:val="24"/>
                <w:szCs w:val="24"/>
                <w:highlight w:val="none"/>
                <w:u w:val="none"/>
              </w:rPr>
            </w:pPr>
          </w:p>
        </w:tc>
      </w:tr>
      <w:tr w14:paraId="5A72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CC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3D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D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54A2">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266B">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076">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E06">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F46">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B17">
            <w:pPr>
              <w:jc w:val="center"/>
              <w:rPr>
                <w:rFonts w:hint="eastAsia" w:ascii="宋体" w:hAnsi="宋体" w:eastAsia="宋体" w:cs="宋体"/>
                <w:b/>
                <w:bCs/>
                <w:i w:val="0"/>
                <w:iCs w:val="0"/>
                <w:color w:val="auto"/>
                <w:sz w:val="24"/>
                <w:szCs w:val="24"/>
                <w:highlight w:val="none"/>
                <w:u w:val="none"/>
              </w:rPr>
            </w:pPr>
          </w:p>
        </w:tc>
      </w:tr>
      <w:tr w14:paraId="7E5A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7B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A19">
            <w:pPr>
              <w:keepNext w:val="0"/>
              <w:keepLines w:val="0"/>
              <w:widowControl/>
              <w:suppressLineNumbers w:val="0"/>
              <w:jc w:val="left"/>
              <w:textAlignment w:val="center"/>
              <w:rPr>
                <w:rFonts w:hint="eastAsia" w:ascii="宋体" w:hAnsi="宋体" w:eastAsia="宋体" w:cs="宋体"/>
                <w:b/>
                <w:bCs/>
                <w:color w:val="auto"/>
                <w:sz w:val="24"/>
                <w:szCs w:val="24"/>
                <w:highlight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D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B71D">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3F8D">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C054">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1F8">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021">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BF4">
            <w:pPr>
              <w:jc w:val="center"/>
              <w:rPr>
                <w:rFonts w:hint="eastAsia" w:ascii="宋体" w:hAnsi="宋体" w:eastAsia="宋体" w:cs="宋体"/>
                <w:b/>
                <w:bCs/>
                <w:i w:val="0"/>
                <w:iCs w:val="0"/>
                <w:color w:val="auto"/>
                <w:sz w:val="24"/>
                <w:szCs w:val="24"/>
                <w:highlight w:val="none"/>
                <w:u w:val="none"/>
              </w:rPr>
            </w:pPr>
          </w:p>
        </w:tc>
      </w:tr>
      <w:tr w14:paraId="0058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1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A99">
            <w:pP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40B4">
            <w:pP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F7D">
            <w:pP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939C">
            <w:pP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48AB">
            <w:pP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DC6">
            <w:pP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4C0">
            <w:pPr>
              <w:rPr>
                <w:rFonts w:hint="eastAsia" w:ascii="宋体" w:hAnsi="宋体" w:eastAsia="宋体" w:cs="宋体"/>
                <w:b/>
                <w:bCs/>
                <w:i w:val="0"/>
                <w:iCs w:val="0"/>
                <w:color w:val="auto"/>
                <w:sz w:val="24"/>
                <w:szCs w:val="24"/>
                <w:highlight w:val="none"/>
                <w:u w:val="none"/>
              </w:rPr>
            </w:pPr>
          </w:p>
        </w:tc>
      </w:tr>
    </w:tbl>
    <w:p w14:paraId="35F8FE21">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color w:val="auto"/>
          <w:highlight w:val="none"/>
          <w:u w:val="none"/>
        </w:rPr>
        <w:t xml:space="preserve">         </w:t>
      </w:r>
    </w:p>
    <w:p w14:paraId="7B14E9E1">
      <w:pPr>
        <w:spacing w:line="400" w:lineRule="atLeast"/>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 xml:space="preserve"> 备注：此表需根据自己公司所报标段/包号列明每种设备名称     </w:t>
      </w:r>
    </w:p>
    <w:p w14:paraId="38130CBE">
      <w:pPr>
        <w:pStyle w:val="32"/>
        <w:spacing w:line="480" w:lineRule="auto"/>
        <w:rPr>
          <w:rFonts w:hint="eastAsia" w:ascii="宋体" w:hAnsi="宋体"/>
          <w:b/>
          <w:bCs/>
          <w:color w:val="auto"/>
          <w:sz w:val="24"/>
          <w:highlight w:val="none"/>
        </w:rPr>
      </w:pPr>
      <w:r>
        <w:rPr>
          <w:rFonts w:hint="eastAsia" w:ascii="宋体" w:hAnsi="宋体"/>
          <w:b/>
          <w:bCs/>
          <w:color w:val="auto"/>
          <w:highlight w:val="none"/>
        </w:rPr>
        <w:t>兹声明：</w:t>
      </w:r>
      <w:r>
        <w:rPr>
          <w:rFonts w:hint="eastAsia" w:ascii="宋体" w:hAnsi="宋体"/>
          <w:b/>
          <w:bCs/>
          <w:color w:val="auto"/>
          <w:sz w:val="24"/>
          <w:highlight w:val="none"/>
        </w:rPr>
        <w:t>投标</w:t>
      </w:r>
      <w:r>
        <w:rPr>
          <w:rFonts w:hint="eastAsia" w:ascii="宋体" w:hAnsi="宋体"/>
          <w:b/>
          <w:bCs/>
          <w:color w:val="auto"/>
          <w:sz w:val="24"/>
          <w:highlight w:val="none"/>
          <w:lang w:val="en-US" w:eastAsia="zh-CN"/>
        </w:rPr>
        <w:t>设备</w:t>
      </w:r>
      <w:r>
        <w:rPr>
          <w:rFonts w:hint="eastAsia" w:ascii="宋体" w:hAnsi="宋体"/>
          <w:b/>
          <w:bCs/>
          <w:color w:val="auto"/>
          <w:sz w:val="24"/>
          <w:highlight w:val="none"/>
        </w:rPr>
        <w:t>（包括备品备件、专用工具等）的价格（包括投标货物运输</w:t>
      </w:r>
    </w:p>
    <w:p w14:paraId="6529BC46">
      <w:pPr>
        <w:pStyle w:val="32"/>
        <w:spacing w:line="480" w:lineRule="auto"/>
        <w:rPr>
          <w:rFonts w:hint="eastAsia" w:ascii="宋体" w:hAnsi="宋体"/>
          <w:b/>
          <w:bCs/>
          <w:color w:val="auto"/>
          <w:sz w:val="24"/>
          <w:highlight w:val="none"/>
          <w:lang w:eastAsia="zh-CN"/>
        </w:rPr>
      </w:pPr>
      <w:r>
        <w:rPr>
          <w:rFonts w:hint="eastAsia" w:ascii="宋体" w:hAnsi="宋体"/>
          <w:b/>
          <w:bCs/>
          <w:color w:val="auto"/>
          <w:sz w:val="24"/>
          <w:highlight w:val="none"/>
        </w:rPr>
        <w:t>（含保险）、安装、调试、检验、</w:t>
      </w:r>
      <w:r>
        <w:rPr>
          <w:rFonts w:hint="eastAsia" w:ascii="宋体" w:hAnsi="宋体"/>
          <w:b/>
          <w:bCs/>
          <w:color w:val="auto"/>
          <w:sz w:val="24"/>
          <w:highlight w:val="none"/>
          <w:lang w:eastAsia="zh-CN"/>
        </w:rPr>
        <w:t>接口及接口预留费、</w:t>
      </w:r>
      <w:r>
        <w:rPr>
          <w:rFonts w:hint="eastAsia" w:ascii="宋体" w:hAnsi="宋体"/>
          <w:b/>
          <w:bCs/>
          <w:color w:val="auto"/>
          <w:sz w:val="24"/>
          <w:highlight w:val="none"/>
        </w:rPr>
        <w:t>技术服务、培训和</w:t>
      </w:r>
      <w:r>
        <w:rPr>
          <w:rFonts w:hint="eastAsia" w:ascii="宋体" w:hAnsi="宋体"/>
          <w:b/>
          <w:bCs/>
          <w:color w:val="auto"/>
          <w:sz w:val="24"/>
          <w:highlight w:val="none"/>
          <w:lang w:eastAsia="zh-CN"/>
        </w:rPr>
        <w:t>利润、税金及完成项目的</w:t>
      </w:r>
      <w:r>
        <w:rPr>
          <w:rFonts w:ascii="宋体" w:hAnsi="宋体"/>
          <w:b/>
          <w:bCs/>
          <w:color w:val="auto"/>
          <w:sz w:val="24"/>
          <w:highlight w:val="none"/>
        </w:rPr>
        <w:t>所有伴随服务</w:t>
      </w:r>
      <w:r>
        <w:rPr>
          <w:rFonts w:hint="eastAsia" w:ascii="宋体" w:hAnsi="宋体"/>
          <w:b/>
          <w:bCs/>
          <w:color w:val="auto"/>
          <w:sz w:val="24"/>
          <w:highlight w:val="none"/>
        </w:rPr>
        <w:t>等费用</w:t>
      </w:r>
      <w:r>
        <w:rPr>
          <w:rFonts w:hint="eastAsia" w:ascii="宋体" w:hAnsi="宋体"/>
          <w:b/>
          <w:bCs/>
          <w:color w:val="auto"/>
          <w:sz w:val="24"/>
          <w:highlight w:val="none"/>
          <w:lang w:eastAsia="zh-CN"/>
        </w:rPr>
        <w:t>。</w:t>
      </w:r>
    </w:p>
    <w:p w14:paraId="3DD542CA">
      <w:pPr>
        <w:pStyle w:val="32"/>
        <w:spacing w:line="480" w:lineRule="auto"/>
        <w:rPr>
          <w:rFonts w:hint="eastAsia" w:ascii="宋体" w:hAnsi="宋体"/>
          <w:b/>
          <w:bCs/>
          <w:color w:val="auto"/>
          <w:highlight w:val="none"/>
        </w:rPr>
      </w:pPr>
      <w:r>
        <w:rPr>
          <w:rFonts w:hint="eastAsia" w:ascii="宋体" w:hAnsi="宋体"/>
          <w:b/>
          <w:bCs/>
          <w:color w:val="auto"/>
          <w:highlight w:val="none"/>
        </w:rPr>
        <w:t>以上投标报价在投标有效期内一直有效。</w:t>
      </w:r>
    </w:p>
    <w:p w14:paraId="132F267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4"/>
          <w:szCs w:val="24"/>
          <w:highlight w:val="none"/>
          <w:lang w:val="en-US" w:eastAsia="zh-CN" w:bidi="ar"/>
        </w:rPr>
      </w:pPr>
    </w:p>
    <w:p w14:paraId="75ED6D4D">
      <w:pPr>
        <w:keepNext w:val="0"/>
        <w:keepLines w:val="0"/>
        <w:widowControl/>
        <w:suppressLineNumbers w:val="0"/>
        <w:jc w:val="right"/>
        <w:rPr>
          <w:rFonts w:hint="eastAsia" w:ascii="宋体" w:hAnsi="宋体" w:eastAsia="宋体" w:cs="宋体"/>
          <w:b w:val="0"/>
          <w:bCs w:val="0"/>
          <w:color w:val="auto"/>
          <w:kern w:val="0"/>
          <w:sz w:val="24"/>
          <w:szCs w:val="24"/>
          <w:highlight w:val="none"/>
          <w:lang w:val="en-US" w:eastAsia="zh-CN" w:bidi="ar"/>
        </w:rPr>
      </w:pPr>
    </w:p>
    <w:p w14:paraId="1A0391CF">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6029517D">
      <w:pPr>
        <w:spacing w:line="440" w:lineRule="exact"/>
        <w:rPr>
          <w:rFonts w:hint="eastAsia" w:ascii="宋体" w:hAnsi="宋体" w:eastAsia="宋体" w:cs="宋体"/>
          <w:color w:val="auto"/>
          <w:sz w:val="24"/>
          <w:szCs w:val="24"/>
          <w:highlight w:val="none"/>
          <w:u w:val="single"/>
          <w:lang w:val="en-US" w:eastAsia="zh-CN"/>
        </w:rPr>
      </w:pPr>
    </w:p>
    <w:p w14:paraId="3B25C221">
      <w:pPr>
        <w:pStyle w:val="7"/>
        <w:rPr>
          <w:rFonts w:hint="eastAsia" w:ascii="宋体" w:hAnsi="宋体" w:eastAsia="宋体" w:cs="宋体"/>
          <w:color w:val="auto"/>
          <w:sz w:val="24"/>
          <w:szCs w:val="24"/>
          <w:highlight w:val="none"/>
        </w:rPr>
      </w:pPr>
    </w:p>
    <w:p w14:paraId="579E0A25">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2FAF96BC">
      <w:pPr>
        <w:spacing w:line="460" w:lineRule="atLeast"/>
        <w:rPr>
          <w:rFonts w:hint="eastAsia" w:ascii="宋体" w:hAnsi="宋体" w:eastAsia="宋体" w:cs="宋体"/>
          <w:b/>
          <w:bCs/>
          <w:color w:val="auto"/>
          <w:sz w:val="24"/>
          <w:szCs w:val="24"/>
          <w:highlight w:val="none"/>
          <w:lang w:val="en-US" w:eastAsia="zh-CN"/>
        </w:rPr>
      </w:pPr>
    </w:p>
    <w:p w14:paraId="12508B27">
      <w:pPr>
        <w:pStyle w:val="88"/>
        <w:adjustRightInd w:val="0"/>
        <w:snapToGrid w:val="0"/>
        <w:spacing w:line="500" w:lineRule="exact"/>
        <w:jc w:val="left"/>
        <w:rPr>
          <w:rFonts w:hint="eastAsia" w:ascii="宋体" w:hAnsi="宋体" w:eastAsia="宋体" w:cs="宋体"/>
          <w:color w:val="auto"/>
          <w:sz w:val="24"/>
          <w:szCs w:val="24"/>
          <w:highlight w:val="none"/>
        </w:rPr>
      </w:pPr>
    </w:p>
    <w:p w14:paraId="42054D72">
      <w:pPr>
        <w:spacing w:line="440" w:lineRule="exact"/>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近三年经营业绩</w:t>
      </w:r>
    </w:p>
    <w:p w14:paraId="5D0D1936">
      <w:pPr>
        <w:pStyle w:val="21"/>
        <w:rPr>
          <w:rFonts w:hint="eastAsia" w:ascii="宋体" w:hAnsi="宋体" w:eastAsia="宋体" w:cs="宋体"/>
          <w:color w:val="auto"/>
          <w:sz w:val="24"/>
          <w:szCs w:val="24"/>
          <w:highlight w:val="none"/>
        </w:rPr>
      </w:pPr>
    </w:p>
    <w:p w14:paraId="05C82320">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编号：</w:t>
      </w:r>
      <w:r>
        <w:rPr>
          <w:rFonts w:hint="eastAsia" w:ascii="宋体" w:hAnsi="宋体" w:eastAsia="宋体" w:cs="宋体"/>
          <w:color w:val="auto"/>
          <w:sz w:val="24"/>
          <w:szCs w:val="24"/>
          <w:highlight w:val="none"/>
        </w:rPr>
        <w:t xml:space="preserve"> </w:t>
      </w:r>
    </w:p>
    <w:p w14:paraId="7A27DEF0">
      <w:pPr>
        <w:pStyle w:val="32"/>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投标单位名称（公章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 xml:space="preserve">  </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742"/>
        <w:gridCol w:w="2142"/>
        <w:gridCol w:w="1709"/>
      </w:tblGrid>
      <w:tr w14:paraId="558B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7D01107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3742" w:type="dxa"/>
            <w:noWrap w:val="0"/>
            <w:vAlign w:val="top"/>
          </w:tcPr>
          <w:p w14:paraId="7905C0A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142" w:type="dxa"/>
            <w:noWrap w:val="0"/>
            <w:vAlign w:val="top"/>
          </w:tcPr>
          <w:p w14:paraId="675750E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709" w:type="dxa"/>
            <w:noWrap w:val="0"/>
            <w:vAlign w:val="top"/>
          </w:tcPr>
          <w:p w14:paraId="50E26B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r w14:paraId="39EA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11BE7F10">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335C5850">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B7EEDEA">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41A3812B">
            <w:pPr>
              <w:spacing w:line="440" w:lineRule="exact"/>
              <w:jc w:val="center"/>
              <w:rPr>
                <w:rFonts w:hint="eastAsia" w:ascii="宋体" w:hAnsi="宋体" w:eastAsia="宋体" w:cs="宋体"/>
                <w:color w:val="auto"/>
                <w:sz w:val="24"/>
                <w:szCs w:val="24"/>
                <w:highlight w:val="none"/>
              </w:rPr>
            </w:pPr>
          </w:p>
        </w:tc>
      </w:tr>
      <w:tr w14:paraId="4565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6FCDD30E">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5904EC32">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66B1D9EF">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578A70BE">
            <w:pPr>
              <w:spacing w:line="440" w:lineRule="exact"/>
              <w:jc w:val="center"/>
              <w:rPr>
                <w:rFonts w:hint="eastAsia" w:ascii="宋体" w:hAnsi="宋体" w:eastAsia="宋体" w:cs="宋体"/>
                <w:color w:val="auto"/>
                <w:sz w:val="24"/>
                <w:szCs w:val="24"/>
                <w:highlight w:val="none"/>
              </w:rPr>
            </w:pPr>
          </w:p>
        </w:tc>
      </w:tr>
      <w:tr w14:paraId="735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5" w:type="dxa"/>
            <w:noWrap w:val="0"/>
            <w:vAlign w:val="top"/>
          </w:tcPr>
          <w:p w14:paraId="249BEB88">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0F44BC58">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200996FA">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37E9FB74">
            <w:pPr>
              <w:spacing w:line="440" w:lineRule="exact"/>
              <w:jc w:val="center"/>
              <w:rPr>
                <w:rFonts w:hint="eastAsia" w:ascii="宋体" w:hAnsi="宋体" w:eastAsia="宋体" w:cs="宋体"/>
                <w:color w:val="auto"/>
                <w:sz w:val="24"/>
                <w:szCs w:val="24"/>
                <w:highlight w:val="none"/>
              </w:rPr>
            </w:pPr>
          </w:p>
        </w:tc>
      </w:tr>
      <w:tr w14:paraId="6BA2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05" w:type="dxa"/>
            <w:noWrap w:val="0"/>
            <w:vAlign w:val="top"/>
          </w:tcPr>
          <w:p w14:paraId="5E4AFD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42" w:type="dxa"/>
            <w:noWrap w:val="0"/>
            <w:vAlign w:val="top"/>
          </w:tcPr>
          <w:p w14:paraId="2693E52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noWrap w:val="0"/>
            <w:vAlign w:val="top"/>
          </w:tcPr>
          <w:p w14:paraId="431D168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9" w:type="dxa"/>
            <w:noWrap w:val="0"/>
            <w:vAlign w:val="top"/>
          </w:tcPr>
          <w:p w14:paraId="241D13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EF2CB47">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附中标通知书</w:t>
      </w:r>
      <w:r>
        <w:rPr>
          <w:rFonts w:hint="eastAsia" w:ascii="宋体" w:hAnsi="宋体" w:cs="宋体"/>
          <w:b/>
          <w:color w:val="auto"/>
          <w:sz w:val="24"/>
          <w:szCs w:val="24"/>
          <w:highlight w:val="none"/>
          <w:lang w:val="en-US" w:eastAsia="zh-CN"/>
        </w:rPr>
        <w:t>及</w:t>
      </w:r>
      <w:r>
        <w:rPr>
          <w:rFonts w:hint="eastAsia" w:ascii="宋体" w:hAnsi="宋体" w:eastAsia="宋体" w:cs="宋体"/>
          <w:b/>
          <w:color w:val="auto"/>
          <w:sz w:val="24"/>
          <w:szCs w:val="24"/>
          <w:highlight w:val="none"/>
        </w:rPr>
        <w:t>合同复印件。</w:t>
      </w:r>
    </w:p>
    <w:p w14:paraId="4C8FE00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42BADD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250E18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184AB5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3DC91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8402AB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4C990E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6DD015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4C7646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CB36E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899A6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3DE5C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9AB586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AD489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473CC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1E3443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C71477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15EFA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81C723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C17A02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DAA14B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60157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2283F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5ADE20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65C968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6D202A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9F5F14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EFD70E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C26F8D2">
      <w:pPr>
        <w:pStyle w:val="89"/>
        <w:numPr>
          <w:ilvl w:val="0"/>
          <w:numId w:val="0"/>
        </w:numPr>
        <w:ind w:leftChars="0"/>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5、企业资信</w:t>
      </w:r>
    </w:p>
    <w:p w14:paraId="423AD08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EF609C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E0713F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A51427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A94D4A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7B7610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53AC05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AC5BA5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5B27D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9429F0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6078E8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50CA48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0A30A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D865A7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3CEBFC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C265B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9AF422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684F4C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DF10C7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72033C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7AE0C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149245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18CE25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2C44E8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46548B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A51D9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7A6AA2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F138B9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1B0D4C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DF7181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10738C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56750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FEBFB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A4DF75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4913E6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8BD300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508764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29591D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3D53EE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A8AF02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A3579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E8D044">
      <w:pPr>
        <w:pStyle w:val="89"/>
        <w:numPr>
          <w:ilvl w:val="0"/>
          <w:numId w:val="0"/>
        </w:numPr>
        <w:ind w:leftChars="0"/>
        <w:jc w:val="both"/>
        <w:outlineLvl w:val="9"/>
        <w:rPr>
          <w:rFonts w:hint="eastAsia" w:ascii="宋体" w:hAnsi="宋体" w:eastAsia="宋体" w:cs="宋体"/>
          <w:b/>
          <w:bCs/>
          <w:color w:val="auto"/>
          <w:sz w:val="24"/>
          <w:szCs w:val="24"/>
          <w:highlight w:val="none"/>
          <w:lang w:val="en-US" w:eastAsia="zh-CN"/>
        </w:rPr>
      </w:pPr>
    </w:p>
    <w:p w14:paraId="7EE9881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6、投标人认为需提供的证明文件及其它资料</w:t>
      </w:r>
    </w:p>
    <w:p w14:paraId="2D8586F3">
      <w:pPr>
        <w:pStyle w:val="75"/>
        <w:adjustRightInd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6206344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BEE165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CF27A6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2DAFFA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B8D45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94A200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2EB459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B0E616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6F0D87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F8B5F8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19DF6C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F3A815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7CEB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EA8CBF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E74E74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D51D31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99CAF4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0F0C84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564F7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96A6E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F83941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EFD2C8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69F7EC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C4E5D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575C0D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E597BD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FCE6D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C296B6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0C91F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A37C83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FD676C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96C093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D602DB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B15EF9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A90D36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7DD46A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E4A2E7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2D4675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D5CFD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6D677A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940C6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0A4A24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CCA2CF2">
      <w:pPr>
        <w:pStyle w:val="89"/>
        <w:numPr>
          <w:ilvl w:val="0"/>
          <w:numId w:val="0"/>
        </w:numPr>
        <w:ind w:leftChars="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技术文件</w:t>
      </w:r>
    </w:p>
    <w:p w14:paraId="4F20321A">
      <w:pPr>
        <w:pStyle w:val="59"/>
        <w:numPr>
          <w:ilvl w:val="0"/>
          <w:numId w:val="0"/>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lang w:val="en-US" w:eastAsia="zh-CN"/>
        </w:rPr>
        <w:t>方案</w:t>
      </w:r>
    </w:p>
    <w:p w14:paraId="2F40F7A2">
      <w:pPr>
        <w:pStyle w:val="50"/>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F2FE7C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A6F499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5D7699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B1CE10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A04149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91EBAF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502AE9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79C349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C28530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19ED9A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ADD722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023394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7AC01A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13764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AFC8C5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CD1BE6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85F66B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B66BAF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60B0E3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270E99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10F284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6009A4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D3C55F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D83310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C85187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90787A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1B9DB0C">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B4B40E4">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2、售后</w:t>
      </w:r>
      <w:r>
        <w:rPr>
          <w:rFonts w:hint="eastAsia" w:ascii="宋体" w:hAnsi="宋体" w:cs="宋体"/>
          <w:b/>
          <w:bCs/>
          <w:color w:val="auto"/>
          <w:sz w:val="24"/>
          <w:szCs w:val="24"/>
          <w:highlight w:val="none"/>
          <w:lang w:val="en-US" w:eastAsia="zh-CN"/>
        </w:rPr>
        <w:t>服务承诺</w:t>
      </w:r>
      <w:r>
        <w:rPr>
          <w:rFonts w:hint="eastAsia" w:ascii="宋体" w:hAnsi="宋体" w:eastAsia="宋体" w:cs="宋体"/>
          <w:b/>
          <w:bCs/>
          <w:color w:val="auto"/>
          <w:sz w:val="24"/>
          <w:szCs w:val="24"/>
          <w:highlight w:val="none"/>
          <w:lang w:val="en-US" w:eastAsia="zh-CN"/>
        </w:rPr>
        <w:t>及维保方案</w:t>
      </w:r>
    </w:p>
    <w:p w14:paraId="41D8B320">
      <w:pPr>
        <w:pStyle w:val="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（格式自定）</w:t>
      </w:r>
    </w:p>
    <w:p w14:paraId="6E20699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922DEA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382529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49DCAB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030971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23123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13478E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6D6908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4A1D17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3351C2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98661E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013C13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59165D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60944D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A0CF98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70DFD7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095E72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9C9224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D7667E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6AE5A6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59E16B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626F43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E2E92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F48941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CABEA8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E0F03C5">
      <w:pPr>
        <w:pStyle w:val="50"/>
        <w:rPr>
          <w:rFonts w:hint="eastAsia"/>
          <w:color w:val="auto"/>
          <w:highlight w:val="none"/>
          <w:lang w:val="en-US" w:eastAsia="zh-CN"/>
        </w:rPr>
      </w:pPr>
    </w:p>
    <w:p w14:paraId="512CCA6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AFAD78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37B5DAC">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3培训服务方案</w:t>
      </w:r>
    </w:p>
    <w:p w14:paraId="52836F95">
      <w:pPr>
        <w:pStyle w:val="50"/>
        <w:numPr>
          <w:ilvl w:val="0"/>
          <w:numId w:val="0"/>
        </w:numPr>
        <w:ind w:leftChars="200"/>
        <w:rPr>
          <w:rFonts w:hint="eastAsia" w:ascii="宋体" w:hAnsi="宋体" w:eastAsia="宋体" w:cs="宋体"/>
          <w:i w:val="0"/>
          <w:iCs w:val="0"/>
          <w:color w:val="auto"/>
          <w:sz w:val="24"/>
          <w:szCs w:val="24"/>
          <w:highlight w:val="none"/>
          <w:u w:val="none"/>
          <w:lang w:eastAsia="zh-CN"/>
        </w:rPr>
      </w:pPr>
    </w:p>
    <w:p w14:paraId="3232E14A">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061B3EB9">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632D33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193A0A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4FA1FFFB">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66E9C9F">
      <w:pPr>
        <w:pStyle w:val="50"/>
        <w:rPr>
          <w:rFonts w:hint="eastAsia"/>
          <w:color w:val="auto"/>
          <w:highlight w:val="none"/>
          <w:lang w:val="en-US" w:eastAsia="zh-CN"/>
        </w:rPr>
      </w:pPr>
    </w:p>
    <w:p w14:paraId="19C68FF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CF8BED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44C7591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5BE4BA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AB0CBD3">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4C6D06C">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A147AD7">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E27D00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0A6790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CD251D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2571491">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A1A44C7">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74C0E6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26A720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97EE35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5548FE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FD30A9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2C8EAF6">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C9C9A9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42E26CA">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3D17B5B">
      <w:pPr>
        <w:pStyle w:val="50"/>
        <w:rPr>
          <w:rFonts w:hint="eastAsia"/>
          <w:color w:val="auto"/>
          <w:highlight w:val="none"/>
          <w:lang w:val="en-US" w:eastAsia="zh-CN"/>
        </w:rPr>
      </w:pPr>
    </w:p>
    <w:p w14:paraId="55FD020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392F870">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p>
    <w:p w14:paraId="16EB9910">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4、配送方案</w:t>
      </w:r>
    </w:p>
    <w:p w14:paraId="38640327">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6E90327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CFF86A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39403C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CCC940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F78F0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DF91FC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4960E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7BF19D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F94EE3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4ABE41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B6DC7E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C7218A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2A0A65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D5350E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6A6075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5D3FA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7F2821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F2180A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BAF6D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E8C085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2B62CF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5F87D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FEF92F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5C65815">
      <w:pPr>
        <w:pStyle w:val="59"/>
        <w:spacing w:line="360" w:lineRule="auto"/>
        <w:rPr>
          <w:rFonts w:hint="eastAsia" w:ascii="宋体" w:hAnsi="宋体" w:eastAsia="宋体" w:cs="宋体"/>
          <w:color w:val="auto"/>
          <w:sz w:val="24"/>
          <w:szCs w:val="24"/>
          <w:highlight w:val="none"/>
          <w:lang w:val="en-US" w:eastAsia="zh-CN"/>
        </w:rPr>
      </w:pPr>
    </w:p>
    <w:p w14:paraId="3FB46E21">
      <w:pPr>
        <w:pStyle w:val="50"/>
        <w:rPr>
          <w:rFonts w:hint="eastAsia"/>
          <w:color w:val="auto"/>
          <w:highlight w:val="none"/>
          <w:lang w:val="en-US" w:eastAsia="zh-CN"/>
        </w:rPr>
      </w:pPr>
    </w:p>
    <w:p w14:paraId="6A288AA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7820281">
      <w:pPr>
        <w:pStyle w:val="50"/>
        <w:rPr>
          <w:rFonts w:hint="eastAsia"/>
          <w:color w:val="auto"/>
          <w:highlight w:val="none"/>
          <w:lang w:val="en-US" w:eastAsia="zh-CN"/>
        </w:rPr>
      </w:pPr>
    </w:p>
    <w:p w14:paraId="399DBAF7">
      <w:pPr>
        <w:pStyle w:val="59"/>
        <w:spacing w:line="360" w:lineRule="auto"/>
        <w:rPr>
          <w:rFonts w:hint="eastAsia" w:ascii="宋体" w:hAnsi="宋体" w:eastAsia="宋体" w:cs="宋体"/>
          <w:color w:val="auto"/>
          <w:sz w:val="24"/>
          <w:szCs w:val="24"/>
          <w:highlight w:val="none"/>
          <w:lang w:val="en-US" w:eastAsia="zh-CN"/>
        </w:rPr>
      </w:pPr>
    </w:p>
    <w:p w14:paraId="5A6B783C">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5、应急处理方案</w:t>
      </w:r>
    </w:p>
    <w:p w14:paraId="1FFDA239">
      <w:pPr>
        <w:pStyle w:val="50"/>
        <w:numPr>
          <w:ilvl w:val="0"/>
          <w:numId w:val="0"/>
        </w:numPr>
        <w:ind w:leftChars="200"/>
        <w:rPr>
          <w:rFonts w:hint="eastAsia" w:ascii="宋体" w:hAnsi="宋体" w:eastAsia="宋体" w:cs="宋体"/>
          <w:color w:val="auto"/>
          <w:sz w:val="24"/>
          <w:szCs w:val="24"/>
          <w:highlight w:val="none"/>
          <w:lang w:val="en-US" w:eastAsia="zh-CN"/>
        </w:rPr>
      </w:pPr>
    </w:p>
    <w:p w14:paraId="78B134A7">
      <w:pPr>
        <w:pStyle w:val="3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14:paraId="00E40F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31A813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FB2123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DD72F9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AE8729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F1A0F7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E2CDF5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7B5C0D7">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3CB87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F36F13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B397EA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C4F19E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0C824E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30F2C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8DD663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20DC3C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068D56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88CC65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29F803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4E5E95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FBBA91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AE63C5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434224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56BA05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786626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C9FE97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A49FBD8">
      <w:pPr>
        <w:pStyle w:val="50"/>
        <w:ind w:firstLine="480" w:firstLineChars="200"/>
        <w:jc w:val="left"/>
        <w:rPr>
          <w:rFonts w:hint="eastAsia" w:ascii="宋体" w:hAnsi="宋体" w:eastAsia="宋体" w:cs="宋体"/>
          <w:color w:val="auto"/>
          <w:sz w:val="24"/>
          <w:szCs w:val="24"/>
          <w:highlight w:val="none"/>
          <w:lang w:val="en-US" w:eastAsia="zh-CN"/>
        </w:rPr>
      </w:pPr>
    </w:p>
    <w:p w14:paraId="5963B0E5">
      <w:pPr>
        <w:pStyle w:val="50"/>
        <w:ind w:firstLine="482" w:firstLineChars="200"/>
        <w:jc w:val="center"/>
        <w:rPr>
          <w:rFonts w:hint="eastAsia" w:ascii="宋体" w:hAnsi="宋体" w:eastAsia="宋体" w:cs="宋体"/>
          <w:b/>
          <w:bCs/>
          <w:color w:val="auto"/>
          <w:sz w:val="24"/>
          <w:szCs w:val="24"/>
          <w:highlight w:val="none"/>
          <w:lang w:val="en-US" w:eastAsia="zh-CN"/>
        </w:rPr>
      </w:pPr>
    </w:p>
    <w:p w14:paraId="152F1E16">
      <w:pPr>
        <w:pStyle w:val="50"/>
        <w:ind w:firstLine="482" w:firstLineChars="20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、产品简要说明一览表</w:t>
      </w:r>
    </w:p>
    <w:p w14:paraId="70BA87E4">
      <w:pPr>
        <w:spacing w:line="440" w:lineRule="exact"/>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77E3C43A">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861"/>
        <w:gridCol w:w="2032"/>
        <w:gridCol w:w="2959"/>
        <w:gridCol w:w="1710"/>
      </w:tblGrid>
      <w:tr w14:paraId="33524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20F9B90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填报项目</w:t>
            </w:r>
          </w:p>
        </w:tc>
        <w:tc>
          <w:tcPr>
            <w:tcW w:w="2032" w:type="dxa"/>
            <w:noWrap w:val="0"/>
            <w:vAlign w:val="center"/>
          </w:tcPr>
          <w:p w14:paraId="6D8D20CA">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填报内容</w:t>
            </w:r>
          </w:p>
        </w:tc>
        <w:tc>
          <w:tcPr>
            <w:tcW w:w="2959" w:type="dxa"/>
            <w:tcBorders>
              <w:right w:val="single" w:color="auto" w:sz="4" w:space="0"/>
            </w:tcBorders>
            <w:noWrap w:val="0"/>
            <w:vAlign w:val="center"/>
          </w:tcPr>
          <w:p w14:paraId="6C8309C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填报要求</w:t>
            </w:r>
          </w:p>
        </w:tc>
        <w:tc>
          <w:tcPr>
            <w:tcW w:w="1710" w:type="dxa"/>
            <w:tcBorders>
              <w:left w:val="single" w:color="auto" w:sz="4" w:space="0"/>
            </w:tcBorders>
            <w:noWrap w:val="0"/>
            <w:vAlign w:val="center"/>
          </w:tcPr>
          <w:p w14:paraId="1DFAFB5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2236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restart"/>
            <w:tcBorders>
              <w:top w:val="single" w:color="auto" w:sz="4" w:space="0"/>
              <w:right w:val="single" w:color="auto" w:sz="4" w:space="0"/>
            </w:tcBorders>
            <w:noWrap w:val="0"/>
            <w:vAlign w:val="center"/>
          </w:tcPr>
          <w:p w14:paraId="3133F3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产品注册证</w:t>
            </w:r>
          </w:p>
        </w:tc>
        <w:tc>
          <w:tcPr>
            <w:tcW w:w="1861" w:type="dxa"/>
            <w:tcBorders>
              <w:top w:val="single" w:color="auto" w:sz="4" w:space="0"/>
              <w:left w:val="single" w:color="auto" w:sz="4" w:space="0"/>
            </w:tcBorders>
            <w:noWrap w:val="0"/>
            <w:vAlign w:val="center"/>
          </w:tcPr>
          <w:p w14:paraId="6CB8D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产品名称</w:t>
            </w:r>
          </w:p>
        </w:tc>
        <w:tc>
          <w:tcPr>
            <w:tcW w:w="2032" w:type="dxa"/>
            <w:noWrap w:val="0"/>
            <w:vAlign w:val="center"/>
          </w:tcPr>
          <w:p w14:paraId="24066C0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restart"/>
            <w:tcBorders>
              <w:right w:val="single" w:color="auto" w:sz="4" w:space="0"/>
            </w:tcBorders>
            <w:noWrap w:val="0"/>
            <w:vAlign w:val="center"/>
          </w:tcPr>
          <w:p w14:paraId="33F8F5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与注册证上的内容一致。</w:t>
            </w:r>
          </w:p>
        </w:tc>
        <w:tc>
          <w:tcPr>
            <w:tcW w:w="1710" w:type="dxa"/>
            <w:vMerge w:val="restart"/>
            <w:tcBorders>
              <w:left w:val="single" w:color="auto" w:sz="4" w:space="0"/>
            </w:tcBorders>
            <w:noWrap w:val="0"/>
            <w:vAlign w:val="center"/>
          </w:tcPr>
          <w:p w14:paraId="2C183E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后附注册证复印件</w:t>
            </w:r>
          </w:p>
        </w:tc>
      </w:tr>
      <w:tr w14:paraId="31B4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4076899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4F0DA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产品材质</w:t>
            </w:r>
          </w:p>
        </w:tc>
        <w:tc>
          <w:tcPr>
            <w:tcW w:w="2032" w:type="dxa"/>
            <w:noWrap w:val="0"/>
            <w:vAlign w:val="center"/>
          </w:tcPr>
          <w:p w14:paraId="735EE711">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2BF55D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1F4FA7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A952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4C70986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678C51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规格</w:t>
            </w:r>
          </w:p>
        </w:tc>
        <w:tc>
          <w:tcPr>
            <w:tcW w:w="2032" w:type="dxa"/>
            <w:noWrap w:val="0"/>
            <w:vAlign w:val="center"/>
          </w:tcPr>
          <w:p w14:paraId="5940D08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4D7D5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52BEAD6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2DB1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5984929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34CAEE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型号</w:t>
            </w:r>
          </w:p>
        </w:tc>
        <w:tc>
          <w:tcPr>
            <w:tcW w:w="2032" w:type="dxa"/>
            <w:noWrap w:val="0"/>
            <w:vAlign w:val="center"/>
          </w:tcPr>
          <w:p w14:paraId="2D9E388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49EAE0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16F6CA05">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00E2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6F51BEE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7C241B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产品注册号</w:t>
            </w:r>
          </w:p>
        </w:tc>
        <w:tc>
          <w:tcPr>
            <w:tcW w:w="2032" w:type="dxa"/>
            <w:noWrap w:val="0"/>
            <w:vAlign w:val="center"/>
          </w:tcPr>
          <w:p w14:paraId="3D2754E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7A652E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561A18F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599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29F87A4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ACF5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产品注册名称</w:t>
            </w:r>
          </w:p>
        </w:tc>
        <w:tc>
          <w:tcPr>
            <w:tcW w:w="2032" w:type="dxa"/>
            <w:noWrap w:val="0"/>
            <w:vAlign w:val="center"/>
          </w:tcPr>
          <w:p w14:paraId="7707B65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67D19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4A3EA53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E75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3301069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1B114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注册证有效期</w:t>
            </w:r>
          </w:p>
        </w:tc>
        <w:tc>
          <w:tcPr>
            <w:tcW w:w="2032" w:type="dxa"/>
            <w:noWrap w:val="0"/>
            <w:vAlign w:val="center"/>
          </w:tcPr>
          <w:p w14:paraId="0D1AEA7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C06E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73CEDB8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1088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7BA69AE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798C7C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注册证批准日期</w:t>
            </w:r>
          </w:p>
        </w:tc>
        <w:tc>
          <w:tcPr>
            <w:tcW w:w="2032" w:type="dxa"/>
            <w:noWrap w:val="0"/>
            <w:vAlign w:val="center"/>
          </w:tcPr>
          <w:p w14:paraId="68A6689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0F6E35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22687BE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3585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7" w:type="dxa"/>
            <w:vMerge w:val="continue"/>
            <w:tcBorders>
              <w:right w:val="single" w:color="auto" w:sz="4" w:space="0"/>
            </w:tcBorders>
            <w:noWrap w:val="0"/>
            <w:vAlign w:val="center"/>
          </w:tcPr>
          <w:p w14:paraId="61A8ED34">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574D3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生产地址</w:t>
            </w:r>
          </w:p>
        </w:tc>
        <w:tc>
          <w:tcPr>
            <w:tcW w:w="2032" w:type="dxa"/>
            <w:noWrap w:val="0"/>
            <w:vAlign w:val="center"/>
          </w:tcPr>
          <w:p w14:paraId="7B0D72F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2D630D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ECADA9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895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08" w:type="dxa"/>
            <w:gridSpan w:val="2"/>
            <w:tcBorders>
              <w:top w:val="single" w:color="auto" w:sz="4" w:space="0"/>
            </w:tcBorders>
            <w:noWrap w:val="0"/>
            <w:vAlign w:val="center"/>
          </w:tcPr>
          <w:p w14:paraId="7AD4B36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生产企业名称</w:t>
            </w:r>
          </w:p>
        </w:tc>
        <w:tc>
          <w:tcPr>
            <w:tcW w:w="2032" w:type="dxa"/>
            <w:noWrap w:val="0"/>
            <w:vAlign w:val="center"/>
          </w:tcPr>
          <w:p w14:paraId="6537CA5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7AC5E8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与注册证保持一致</w:t>
            </w:r>
          </w:p>
        </w:tc>
        <w:tc>
          <w:tcPr>
            <w:tcW w:w="1710" w:type="dxa"/>
            <w:tcBorders>
              <w:left w:val="single" w:color="auto" w:sz="4" w:space="0"/>
            </w:tcBorders>
            <w:noWrap w:val="0"/>
            <w:vAlign w:val="center"/>
          </w:tcPr>
          <w:p w14:paraId="4C766FE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4133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408" w:type="dxa"/>
            <w:gridSpan w:val="2"/>
            <w:tcBorders>
              <w:bottom w:val="single" w:color="auto" w:sz="4" w:space="0"/>
              <w:right w:val="single" w:color="auto" w:sz="4" w:space="0"/>
            </w:tcBorders>
            <w:noWrap w:val="0"/>
            <w:vAlign w:val="center"/>
          </w:tcPr>
          <w:p w14:paraId="3840BC8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产品来源</w:t>
            </w:r>
          </w:p>
        </w:tc>
        <w:tc>
          <w:tcPr>
            <w:tcW w:w="2032" w:type="dxa"/>
            <w:tcBorders>
              <w:left w:val="single" w:color="auto" w:sz="4" w:space="0"/>
            </w:tcBorders>
            <w:noWrap w:val="0"/>
            <w:vAlign w:val="center"/>
          </w:tcPr>
          <w:p w14:paraId="184EF4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2EC64F2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en-US" w:eastAsia="zh-CN"/>
              </w:rPr>
              <w:t>中国制造</w:t>
            </w:r>
            <w:r>
              <w:rPr>
                <w:rFonts w:hint="eastAsia" w:ascii="宋体" w:hAnsi="宋体" w:eastAsia="宋体" w:cs="宋体"/>
                <w:color w:val="auto"/>
                <w:spacing w:val="-20"/>
                <w:sz w:val="24"/>
                <w:szCs w:val="24"/>
                <w:highlight w:val="none"/>
              </w:rPr>
              <w:t>）</w:t>
            </w:r>
          </w:p>
        </w:tc>
        <w:tc>
          <w:tcPr>
            <w:tcW w:w="1710" w:type="dxa"/>
            <w:tcBorders>
              <w:left w:val="single" w:color="auto" w:sz="4" w:space="0"/>
              <w:bottom w:val="single" w:color="auto" w:sz="4" w:space="0"/>
            </w:tcBorders>
            <w:noWrap w:val="0"/>
            <w:vAlign w:val="center"/>
          </w:tcPr>
          <w:p w14:paraId="1B548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76B4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2408" w:type="dxa"/>
            <w:gridSpan w:val="2"/>
            <w:tcBorders>
              <w:bottom w:val="single" w:color="auto" w:sz="4" w:space="0"/>
              <w:right w:val="single" w:color="auto" w:sz="4" w:space="0"/>
            </w:tcBorders>
            <w:noWrap w:val="0"/>
            <w:vAlign w:val="center"/>
          </w:tcPr>
          <w:p w14:paraId="26C6237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产品认证</w:t>
            </w:r>
          </w:p>
        </w:tc>
        <w:tc>
          <w:tcPr>
            <w:tcW w:w="2032" w:type="dxa"/>
            <w:tcBorders>
              <w:left w:val="single" w:color="auto" w:sz="4" w:space="0"/>
            </w:tcBorders>
            <w:noWrap w:val="0"/>
            <w:vAlign w:val="center"/>
          </w:tcPr>
          <w:p w14:paraId="5779E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5A4EB2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与认证证书一致</w:t>
            </w:r>
          </w:p>
        </w:tc>
        <w:tc>
          <w:tcPr>
            <w:tcW w:w="1710" w:type="dxa"/>
            <w:tcBorders>
              <w:left w:val="single" w:color="auto" w:sz="4" w:space="0"/>
              <w:bottom w:val="single" w:color="auto" w:sz="4" w:space="0"/>
            </w:tcBorders>
            <w:noWrap w:val="0"/>
            <w:vAlign w:val="center"/>
          </w:tcPr>
          <w:p w14:paraId="0DDBF6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后附证书复印件</w:t>
            </w:r>
          </w:p>
        </w:tc>
      </w:tr>
      <w:tr w14:paraId="5AA2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408" w:type="dxa"/>
            <w:gridSpan w:val="2"/>
            <w:noWrap w:val="0"/>
            <w:vAlign w:val="center"/>
          </w:tcPr>
          <w:p w14:paraId="46F53F6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产品适用范围</w:t>
            </w:r>
          </w:p>
        </w:tc>
        <w:tc>
          <w:tcPr>
            <w:tcW w:w="2032" w:type="dxa"/>
            <w:noWrap w:val="0"/>
            <w:vAlign w:val="center"/>
          </w:tcPr>
          <w:p w14:paraId="4300BEB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160FEE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与注册证上产品适用范围一致</w:t>
            </w:r>
          </w:p>
        </w:tc>
        <w:tc>
          <w:tcPr>
            <w:tcW w:w="1710" w:type="dxa"/>
            <w:tcBorders>
              <w:left w:val="single" w:color="auto" w:sz="4" w:space="0"/>
            </w:tcBorders>
            <w:noWrap w:val="0"/>
            <w:vAlign w:val="center"/>
          </w:tcPr>
          <w:p w14:paraId="1C647A4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42AE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2408" w:type="dxa"/>
            <w:gridSpan w:val="2"/>
            <w:noWrap w:val="0"/>
            <w:vAlign w:val="center"/>
          </w:tcPr>
          <w:p w14:paraId="34A2278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产品性能结构及组成</w:t>
            </w:r>
          </w:p>
        </w:tc>
        <w:tc>
          <w:tcPr>
            <w:tcW w:w="2032" w:type="dxa"/>
            <w:noWrap w:val="0"/>
            <w:vAlign w:val="center"/>
          </w:tcPr>
          <w:p w14:paraId="2E1C5C9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31C37B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与注册证上产品性能结构及组件一致</w:t>
            </w:r>
          </w:p>
        </w:tc>
        <w:tc>
          <w:tcPr>
            <w:tcW w:w="1710" w:type="dxa"/>
            <w:tcBorders>
              <w:left w:val="single" w:color="auto" w:sz="4" w:space="0"/>
            </w:tcBorders>
            <w:noWrap w:val="0"/>
            <w:vAlign w:val="center"/>
          </w:tcPr>
          <w:p w14:paraId="72E73A04">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ECD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408" w:type="dxa"/>
            <w:gridSpan w:val="2"/>
            <w:noWrap w:val="0"/>
            <w:vAlign w:val="center"/>
          </w:tcPr>
          <w:p w14:paraId="23606CF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技术优势</w:t>
            </w:r>
          </w:p>
        </w:tc>
        <w:tc>
          <w:tcPr>
            <w:tcW w:w="2032" w:type="dxa"/>
            <w:noWrap w:val="0"/>
            <w:vAlign w:val="center"/>
          </w:tcPr>
          <w:p w14:paraId="20F7A7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7BC6AF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tcBorders>
              <w:left w:val="single" w:color="auto" w:sz="4" w:space="0"/>
            </w:tcBorders>
            <w:noWrap w:val="0"/>
            <w:vAlign w:val="center"/>
          </w:tcPr>
          <w:p w14:paraId="5D521E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0566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60CE8D1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其他说明</w:t>
            </w:r>
          </w:p>
        </w:tc>
        <w:tc>
          <w:tcPr>
            <w:tcW w:w="2032" w:type="dxa"/>
            <w:noWrap w:val="0"/>
            <w:vAlign w:val="center"/>
          </w:tcPr>
          <w:p w14:paraId="34C541F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12EB79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简单介绍产品功能、用途、使用方法等。</w:t>
            </w:r>
          </w:p>
        </w:tc>
        <w:tc>
          <w:tcPr>
            <w:tcW w:w="1710" w:type="dxa"/>
            <w:tcBorders>
              <w:left w:val="single" w:color="auto" w:sz="4" w:space="0"/>
            </w:tcBorders>
            <w:noWrap w:val="0"/>
            <w:vAlign w:val="center"/>
          </w:tcPr>
          <w:p w14:paraId="7E38F3B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bl>
    <w:p w14:paraId="506B3965">
      <w:pPr>
        <w:pStyle w:val="32"/>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注：1、所投每个产品单独填报。</w:t>
      </w:r>
    </w:p>
    <w:p w14:paraId="103893BC">
      <w:pPr>
        <w:pStyle w:val="32"/>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2、投标人所投产品的各项证明及技术资料，应按照所投产品在</w:t>
      </w:r>
      <w:r>
        <w:rPr>
          <w:rFonts w:hint="eastAsia" w:ascii="宋体" w:hAnsi="宋体" w:eastAsia="宋体" w:cs="宋体"/>
          <w:b/>
          <w:color w:val="auto"/>
          <w:sz w:val="24"/>
          <w:szCs w:val="24"/>
          <w:highlight w:val="none"/>
          <w:lang w:eastAsia="zh-CN"/>
        </w:rPr>
        <w:t>分项报价表中</w:t>
      </w:r>
      <w:r>
        <w:rPr>
          <w:rFonts w:hint="eastAsia" w:ascii="宋体" w:hAnsi="宋体" w:eastAsia="宋体" w:cs="宋体"/>
          <w:b/>
          <w:color w:val="auto"/>
          <w:sz w:val="24"/>
          <w:szCs w:val="24"/>
          <w:highlight w:val="none"/>
        </w:rPr>
        <w:t>填报顺序制作，编好始末页码且在</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目录中一一列明并对应。</w:t>
      </w:r>
    </w:p>
    <w:p w14:paraId="635ABDC5">
      <w:pPr>
        <w:pStyle w:val="7"/>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3、后附有效的检测报告、质量管理体系认证（国家法定检测部门出具有效）</w:t>
      </w:r>
    </w:p>
    <w:p w14:paraId="4AFBEEDB">
      <w:pPr>
        <w:pStyle w:val="50"/>
        <w:ind w:firstLine="480" w:firstLineChars="200"/>
        <w:rPr>
          <w:rFonts w:hint="eastAsia" w:ascii="宋体" w:hAnsi="宋体" w:eastAsia="宋体" w:cs="宋体"/>
          <w:color w:val="auto"/>
          <w:sz w:val="24"/>
          <w:szCs w:val="24"/>
          <w:highlight w:val="none"/>
          <w:lang w:val="en-US" w:eastAsia="zh-CN"/>
        </w:rPr>
      </w:pPr>
    </w:p>
    <w:p w14:paraId="0CA1C127">
      <w:pPr>
        <w:pStyle w:val="50"/>
        <w:ind w:firstLine="480" w:firstLineChars="200"/>
        <w:rPr>
          <w:rFonts w:hint="eastAsia" w:ascii="宋体" w:hAnsi="宋体" w:eastAsia="宋体" w:cs="宋体"/>
          <w:color w:val="auto"/>
          <w:sz w:val="24"/>
          <w:szCs w:val="24"/>
          <w:highlight w:val="none"/>
          <w:lang w:val="en-US" w:eastAsia="zh-CN"/>
        </w:rPr>
      </w:pPr>
    </w:p>
    <w:p w14:paraId="3EC10733">
      <w:pPr>
        <w:pStyle w:val="50"/>
        <w:numPr>
          <w:ilvl w:val="0"/>
          <w:numId w:val="0"/>
        </w:num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服务承诺书</w:t>
      </w:r>
    </w:p>
    <w:p w14:paraId="2BAEE95C">
      <w:pPr>
        <w:shd w:val="clear" w:color="auto" w:fill="FFFFFF"/>
        <w:spacing w:line="440" w:lineRule="exact"/>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售后服务：市内有售后服务机构，投标人必须按提交的服务承诺书，提供售后服务。</w:t>
      </w:r>
    </w:p>
    <w:p w14:paraId="736966CB">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一、拟提供售后服务的项目：</w:t>
      </w:r>
      <w:r>
        <w:rPr>
          <w:rFonts w:hint="eastAsia" w:ascii="宋体" w:hAnsi="宋体" w:eastAsia="宋体" w:cs="宋体"/>
          <w:color w:val="auto"/>
          <w:kern w:val="0"/>
          <w:sz w:val="24"/>
          <w:szCs w:val="24"/>
          <w:highlight w:val="none"/>
          <w:u w:val="single"/>
          <w:lang w:val="en-US" w:eastAsia="zh-CN"/>
        </w:rPr>
        <w:t xml:space="preserve">                                       </w:t>
      </w:r>
    </w:p>
    <w:p w14:paraId="11F5AE11">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二、售后免费服务期限：</w:t>
      </w:r>
      <w:r>
        <w:rPr>
          <w:rFonts w:hint="eastAsia" w:ascii="宋体" w:hAnsi="宋体" w:eastAsia="宋体" w:cs="宋体"/>
          <w:color w:val="auto"/>
          <w:kern w:val="0"/>
          <w:sz w:val="24"/>
          <w:szCs w:val="24"/>
          <w:highlight w:val="none"/>
          <w:u w:val="single"/>
          <w:lang w:val="en-US" w:eastAsia="zh-CN"/>
        </w:rPr>
        <w:t xml:space="preserve">                                           </w:t>
      </w:r>
    </w:p>
    <w:p w14:paraId="64FE1F0C">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三、服务响应及到达现场的时间：</w:t>
      </w:r>
      <w:r>
        <w:rPr>
          <w:rFonts w:hint="eastAsia" w:ascii="宋体" w:hAnsi="宋体" w:eastAsia="宋体" w:cs="宋体"/>
          <w:color w:val="auto"/>
          <w:kern w:val="0"/>
          <w:sz w:val="24"/>
          <w:szCs w:val="24"/>
          <w:highlight w:val="none"/>
          <w:u w:val="single"/>
          <w:lang w:val="en-US" w:eastAsia="zh-CN"/>
        </w:rPr>
        <w:t xml:space="preserve">                                   </w:t>
      </w:r>
    </w:p>
    <w:p w14:paraId="313646FA">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四、配送机构及联系方式：</w:t>
      </w:r>
      <w:r>
        <w:rPr>
          <w:rFonts w:hint="eastAsia" w:ascii="宋体" w:hAnsi="宋体" w:eastAsia="宋体" w:cs="宋体"/>
          <w:color w:val="auto"/>
          <w:kern w:val="0"/>
          <w:sz w:val="24"/>
          <w:szCs w:val="24"/>
          <w:highlight w:val="none"/>
          <w:u w:val="single"/>
          <w:lang w:val="en-US" w:eastAsia="zh-CN"/>
        </w:rPr>
        <w:t xml:space="preserve">                                         </w:t>
      </w:r>
    </w:p>
    <w:p w14:paraId="39E5B3E1">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五、投标人的其他服务承诺及优惠条件：</w:t>
      </w:r>
      <w:r>
        <w:rPr>
          <w:rFonts w:hint="eastAsia" w:ascii="宋体" w:hAnsi="宋体" w:eastAsia="宋体" w:cs="宋体"/>
          <w:color w:val="auto"/>
          <w:kern w:val="0"/>
          <w:sz w:val="24"/>
          <w:szCs w:val="24"/>
          <w:highlight w:val="none"/>
          <w:u w:val="single"/>
          <w:lang w:val="en-US" w:eastAsia="zh-CN"/>
        </w:rPr>
        <w:t xml:space="preserve">                              </w:t>
      </w:r>
    </w:p>
    <w:p w14:paraId="36468577">
      <w:pPr>
        <w:widowControl/>
        <w:spacing w:line="440" w:lineRule="exact"/>
        <w:ind w:firstLine="899"/>
        <w:jc w:val="left"/>
        <w:rPr>
          <w:rFonts w:hint="eastAsia" w:ascii="宋体" w:hAnsi="宋体" w:eastAsia="宋体" w:cs="宋体"/>
          <w:color w:val="auto"/>
          <w:kern w:val="0"/>
          <w:sz w:val="24"/>
          <w:szCs w:val="24"/>
          <w:highlight w:val="none"/>
        </w:rPr>
      </w:pPr>
    </w:p>
    <w:p w14:paraId="3447DB2C">
      <w:pPr>
        <w:widowControl/>
        <w:spacing w:line="440" w:lineRule="exact"/>
        <w:ind w:firstLine="899"/>
        <w:jc w:val="left"/>
        <w:rPr>
          <w:rFonts w:hint="eastAsia" w:ascii="宋体" w:hAnsi="宋体" w:eastAsia="宋体" w:cs="宋体"/>
          <w:color w:val="auto"/>
          <w:kern w:val="0"/>
          <w:sz w:val="24"/>
          <w:szCs w:val="24"/>
          <w:highlight w:val="none"/>
        </w:rPr>
      </w:pPr>
    </w:p>
    <w:p w14:paraId="1B33F35E">
      <w:pPr>
        <w:pStyle w:val="14"/>
        <w:rPr>
          <w:rFonts w:hint="eastAsia"/>
          <w:color w:val="auto"/>
          <w:highlight w:val="none"/>
        </w:rPr>
      </w:pPr>
    </w:p>
    <w:p w14:paraId="5E876035">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D988093">
      <w:pPr>
        <w:pStyle w:val="14"/>
        <w:rPr>
          <w:rFonts w:hint="eastAsia" w:ascii="宋体" w:hAnsi="宋体" w:eastAsia="宋体" w:cs="宋体"/>
          <w:color w:val="auto"/>
          <w:sz w:val="24"/>
          <w:szCs w:val="24"/>
          <w:highlight w:val="none"/>
          <w:u w:val="single"/>
          <w:lang w:val="en-US" w:eastAsia="zh-CN"/>
        </w:rPr>
      </w:pPr>
    </w:p>
    <w:p w14:paraId="0EB90609">
      <w:pPr>
        <w:pStyle w:val="14"/>
        <w:rPr>
          <w:rFonts w:hint="eastAsia" w:ascii="宋体" w:hAnsi="宋体" w:eastAsia="宋体" w:cs="宋体"/>
          <w:color w:val="auto"/>
          <w:sz w:val="24"/>
          <w:szCs w:val="24"/>
          <w:highlight w:val="none"/>
          <w:u w:val="single"/>
          <w:lang w:val="en-US" w:eastAsia="zh-CN"/>
        </w:rPr>
      </w:pPr>
    </w:p>
    <w:p w14:paraId="4B814C66">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3E3F7FF">
      <w:pPr>
        <w:widowControl/>
        <w:adjustRightInd w:val="0"/>
        <w:spacing w:line="440" w:lineRule="exact"/>
        <w:ind w:firstLine="840" w:firstLineChars="350"/>
        <w:jc w:val="left"/>
        <w:rPr>
          <w:rFonts w:hint="eastAsia" w:ascii="宋体" w:hAnsi="宋体" w:eastAsia="宋体" w:cs="宋体"/>
          <w:color w:val="auto"/>
          <w:kern w:val="0"/>
          <w:sz w:val="24"/>
          <w:szCs w:val="24"/>
          <w:highlight w:val="none"/>
        </w:rPr>
      </w:pPr>
    </w:p>
    <w:p w14:paraId="672E9217">
      <w:pPr>
        <w:pStyle w:val="14"/>
        <w:rPr>
          <w:rFonts w:hint="eastAsia"/>
          <w:color w:val="auto"/>
          <w:highlight w:val="none"/>
        </w:rPr>
      </w:pPr>
    </w:p>
    <w:p w14:paraId="5309415B">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期：</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14:paraId="28F4CE1B">
      <w:pPr>
        <w:pStyle w:val="50"/>
        <w:numPr>
          <w:ilvl w:val="0"/>
          <w:numId w:val="0"/>
        </w:numPr>
        <w:rPr>
          <w:rFonts w:hint="eastAsia" w:ascii="宋体" w:hAnsi="宋体" w:eastAsia="宋体" w:cs="宋体"/>
          <w:color w:val="auto"/>
          <w:sz w:val="24"/>
          <w:szCs w:val="24"/>
          <w:highlight w:val="none"/>
          <w:lang w:val="en-US" w:eastAsia="zh-CN"/>
        </w:rPr>
      </w:pPr>
    </w:p>
    <w:p w14:paraId="1C0D01BA">
      <w:pPr>
        <w:pStyle w:val="50"/>
        <w:numPr>
          <w:ilvl w:val="0"/>
          <w:numId w:val="0"/>
        </w:numPr>
        <w:ind w:leftChars="200"/>
        <w:rPr>
          <w:rFonts w:hint="eastAsia" w:ascii="宋体" w:hAnsi="宋体" w:eastAsia="宋体" w:cs="宋体"/>
          <w:color w:val="auto"/>
          <w:sz w:val="24"/>
          <w:szCs w:val="24"/>
          <w:highlight w:val="none"/>
          <w:lang w:val="en-US" w:eastAsia="zh-CN"/>
        </w:rPr>
      </w:pPr>
    </w:p>
    <w:p w14:paraId="7E762327">
      <w:pPr>
        <w:pStyle w:val="50"/>
        <w:numPr>
          <w:ilvl w:val="0"/>
          <w:numId w:val="0"/>
        </w:numPr>
        <w:ind w:leftChars="200"/>
        <w:rPr>
          <w:rFonts w:hint="eastAsia" w:ascii="宋体" w:hAnsi="宋体" w:eastAsia="宋体" w:cs="宋体"/>
          <w:color w:val="auto"/>
          <w:sz w:val="24"/>
          <w:szCs w:val="24"/>
          <w:highlight w:val="none"/>
          <w:lang w:val="en-US" w:eastAsia="zh-CN"/>
        </w:rPr>
      </w:pPr>
    </w:p>
    <w:p w14:paraId="53A80DA8">
      <w:pPr>
        <w:pStyle w:val="50"/>
        <w:numPr>
          <w:ilvl w:val="0"/>
          <w:numId w:val="0"/>
        </w:numPr>
        <w:ind w:leftChars="200"/>
        <w:rPr>
          <w:rFonts w:hint="eastAsia" w:ascii="宋体" w:hAnsi="宋体" w:eastAsia="宋体" w:cs="宋体"/>
          <w:color w:val="auto"/>
          <w:sz w:val="24"/>
          <w:szCs w:val="24"/>
          <w:highlight w:val="none"/>
          <w:lang w:val="en-US" w:eastAsia="zh-CN"/>
        </w:rPr>
      </w:pPr>
    </w:p>
    <w:p w14:paraId="5E40FFF9">
      <w:pPr>
        <w:pStyle w:val="50"/>
        <w:numPr>
          <w:ilvl w:val="0"/>
          <w:numId w:val="0"/>
        </w:numPr>
        <w:ind w:leftChars="200"/>
        <w:rPr>
          <w:rFonts w:hint="eastAsia" w:ascii="宋体" w:hAnsi="宋体" w:eastAsia="宋体" w:cs="宋体"/>
          <w:color w:val="auto"/>
          <w:sz w:val="24"/>
          <w:szCs w:val="24"/>
          <w:highlight w:val="none"/>
          <w:lang w:val="en-US" w:eastAsia="zh-CN"/>
        </w:rPr>
      </w:pPr>
    </w:p>
    <w:p w14:paraId="6D300284">
      <w:pPr>
        <w:pStyle w:val="50"/>
        <w:numPr>
          <w:ilvl w:val="0"/>
          <w:numId w:val="0"/>
        </w:numPr>
        <w:ind w:leftChars="200"/>
        <w:rPr>
          <w:rFonts w:hint="eastAsia" w:ascii="宋体" w:hAnsi="宋体" w:eastAsia="宋体" w:cs="宋体"/>
          <w:color w:val="auto"/>
          <w:sz w:val="24"/>
          <w:szCs w:val="24"/>
          <w:highlight w:val="none"/>
          <w:lang w:val="en-US" w:eastAsia="zh-CN"/>
        </w:rPr>
      </w:pPr>
    </w:p>
    <w:p w14:paraId="3D5AD9C4">
      <w:pPr>
        <w:pStyle w:val="50"/>
        <w:numPr>
          <w:ilvl w:val="0"/>
          <w:numId w:val="0"/>
        </w:numPr>
        <w:ind w:leftChars="200"/>
        <w:rPr>
          <w:rFonts w:hint="eastAsia" w:ascii="宋体" w:hAnsi="宋体" w:eastAsia="宋体" w:cs="宋体"/>
          <w:color w:val="auto"/>
          <w:sz w:val="24"/>
          <w:szCs w:val="24"/>
          <w:highlight w:val="none"/>
          <w:lang w:val="en-US" w:eastAsia="zh-CN"/>
        </w:rPr>
      </w:pPr>
    </w:p>
    <w:p w14:paraId="08C23D3D">
      <w:pPr>
        <w:pStyle w:val="50"/>
        <w:numPr>
          <w:ilvl w:val="0"/>
          <w:numId w:val="0"/>
        </w:numPr>
        <w:ind w:leftChars="200"/>
        <w:rPr>
          <w:rFonts w:hint="eastAsia" w:ascii="宋体" w:hAnsi="宋体" w:eastAsia="宋体" w:cs="宋体"/>
          <w:color w:val="auto"/>
          <w:sz w:val="24"/>
          <w:szCs w:val="24"/>
          <w:highlight w:val="none"/>
          <w:lang w:val="en-US" w:eastAsia="zh-CN"/>
        </w:rPr>
      </w:pPr>
    </w:p>
    <w:p w14:paraId="15A76876">
      <w:pPr>
        <w:pStyle w:val="50"/>
        <w:numPr>
          <w:ilvl w:val="0"/>
          <w:numId w:val="0"/>
        </w:numPr>
        <w:ind w:leftChars="200"/>
        <w:rPr>
          <w:rFonts w:hint="eastAsia" w:ascii="宋体" w:hAnsi="宋体" w:eastAsia="宋体" w:cs="宋体"/>
          <w:color w:val="auto"/>
          <w:sz w:val="24"/>
          <w:szCs w:val="24"/>
          <w:highlight w:val="none"/>
          <w:lang w:val="en-US" w:eastAsia="zh-CN"/>
        </w:rPr>
      </w:pPr>
    </w:p>
    <w:p w14:paraId="6D64E74D">
      <w:pPr>
        <w:pStyle w:val="50"/>
        <w:numPr>
          <w:ilvl w:val="0"/>
          <w:numId w:val="0"/>
        </w:numPr>
        <w:ind w:leftChars="200"/>
        <w:rPr>
          <w:rFonts w:hint="eastAsia" w:ascii="宋体" w:hAnsi="宋体" w:eastAsia="宋体" w:cs="宋体"/>
          <w:color w:val="auto"/>
          <w:sz w:val="24"/>
          <w:szCs w:val="24"/>
          <w:highlight w:val="none"/>
          <w:lang w:val="en-US" w:eastAsia="zh-CN"/>
        </w:rPr>
      </w:pPr>
    </w:p>
    <w:p w14:paraId="55DC4939">
      <w:pPr>
        <w:pStyle w:val="50"/>
        <w:numPr>
          <w:ilvl w:val="0"/>
          <w:numId w:val="0"/>
        </w:numPr>
        <w:ind w:leftChars="200"/>
        <w:rPr>
          <w:rFonts w:hint="eastAsia" w:ascii="宋体" w:hAnsi="宋体" w:eastAsia="宋体" w:cs="宋体"/>
          <w:color w:val="auto"/>
          <w:sz w:val="24"/>
          <w:szCs w:val="24"/>
          <w:highlight w:val="none"/>
          <w:lang w:val="en-US" w:eastAsia="zh-CN"/>
        </w:rPr>
      </w:pPr>
    </w:p>
    <w:p w14:paraId="22DCBABB">
      <w:pPr>
        <w:pStyle w:val="50"/>
        <w:numPr>
          <w:ilvl w:val="0"/>
          <w:numId w:val="0"/>
        </w:numPr>
        <w:ind w:leftChars="200"/>
        <w:rPr>
          <w:rFonts w:hint="eastAsia" w:ascii="宋体" w:hAnsi="宋体" w:eastAsia="宋体" w:cs="宋体"/>
          <w:color w:val="auto"/>
          <w:sz w:val="24"/>
          <w:szCs w:val="24"/>
          <w:highlight w:val="none"/>
          <w:lang w:val="en-US" w:eastAsia="zh-CN"/>
        </w:rPr>
      </w:pPr>
    </w:p>
    <w:p w14:paraId="456E709E">
      <w:pPr>
        <w:pStyle w:val="50"/>
        <w:numPr>
          <w:ilvl w:val="0"/>
          <w:numId w:val="0"/>
        </w:numPr>
        <w:ind w:leftChars="200"/>
        <w:rPr>
          <w:rFonts w:hint="eastAsia" w:ascii="宋体" w:hAnsi="宋体" w:eastAsia="宋体" w:cs="宋体"/>
          <w:color w:val="auto"/>
          <w:sz w:val="24"/>
          <w:szCs w:val="24"/>
          <w:highlight w:val="none"/>
          <w:lang w:val="en-US" w:eastAsia="zh-CN"/>
        </w:rPr>
      </w:pPr>
    </w:p>
    <w:p w14:paraId="46FC78FD">
      <w:pPr>
        <w:pStyle w:val="50"/>
        <w:numPr>
          <w:ilvl w:val="0"/>
          <w:numId w:val="0"/>
        </w:numPr>
        <w:ind w:leftChars="200"/>
        <w:rPr>
          <w:rFonts w:hint="eastAsia" w:ascii="宋体" w:hAnsi="宋体" w:eastAsia="宋体" w:cs="宋体"/>
          <w:color w:val="auto"/>
          <w:sz w:val="24"/>
          <w:szCs w:val="24"/>
          <w:highlight w:val="none"/>
          <w:lang w:val="en-US" w:eastAsia="zh-CN"/>
        </w:rPr>
      </w:pPr>
    </w:p>
    <w:p w14:paraId="7F362359">
      <w:pPr>
        <w:pStyle w:val="50"/>
        <w:numPr>
          <w:ilvl w:val="0"/>
          <w:numId w:val="0"/>
        </w:numPr>
        <w:ind w:leftChars="200"/>
        <w:rPr>
          <w:rFonts w:hint="eastAsia" w:ascii="宋体" w:hAnsi="宋体" w:eastAsia="宋体" w:cs="宋体"/>
          <w:color w:val="auto"/>
          <w:sz w:val="24"/>
          <w:szCs w:val="24"/>
          <w:highlight w:val="none"/>
          <w:lang w:val="en-US" w:eastAsia="zh-CN"/>
        </w:rPr>
      </w:pPr>
    </w:p>
    <w:p w14:paraId="1CCC87C6">
      <w:pPr>
        <w:pStyle w:val="50"/>
        <w:numPr>
          <w:ilvl w:val="0"/>
          <w:numId w:val="0"/>
        </w:numPr>
        <w:ind w:leftChars="200"/>
        <w:rPr>
          <w:rFonts w:hint="eastAsia" w:ascii="宋体" w:hAnsi="宋体" w:eastAsia="宋体" w:cs="宋体"/>
          <w:color w:val="auto"/>
          <w:sz w:val="24"/>
          <w:szCs w:val="24"/>
          <w:highlight w:val="none"/>
          <w:lang w:val="en-US" w:eastAsia="zh-CN"/>
        </w:rPr>
      </w:pPr>
    </w:p>
    <w:p w14:paraId="672D7E6C">
      <w:pPr>
        <w:pStyle w:val="50"/>
        <w:numPr>
          <w:ilvl w:val="0"/>
          <w:numId w:val="0"/>
        </w:numPr>
        <w:ind w:leftChars="200"/>
        <w:rPr>
          <w:rFonts w:hint="eastAsia" w:ascii="宋体" w:hAnsi="宋体" w:eastAsia="宋体" w:cs="宋体"/>
          <w:color w:val="auto"/>
          <w:sz w:val="24"/>
          <w:szCs w:val="24"/>
          <w:highlight w:val="none"/>
          <w:lang w:val="en-US" w:eastAsia="zh-CN"/>
        </w:rPr>
      </w:pPr>
    </w:p>
    <w:p w14:paraId="028DFD1A">
      <w:pPr>
        <w:pStyle w:val="50"/>
        <w:numPr>
          <w:ilvl w:val="0"/>
          <w:numId w:val="0"/>
        </w:numPr>
        <w:ind w:leftChars="200"/>
        <w:rPr>
          <w:rFonts w:hint="eastAsia" w:ascii="宋体" w:hAnsi="宋体" w:eastAsia="宋体" w:cs="宋体"/>
          <w:color w:val="auto"/>
          <w:sz w:val="24"/>
          <w:szCs w:val="24"/>
          <w:highlight w:val="none"/>
          <w:lang w:val="en-US" w:eastAsia="zh-CN"/>
        </w:rPr>
      </w:pPr>
    </w:p>
    <w:p w14:paraId="7A819393">
      <w:pPr>
        <w:pStyle w:val="14"/>
        <w:rPr>
          <w:rFonts w:hint="eastAsia" w:ascii="宋体" w:hAnsi="宋体" w:eastAsia="宋体" w:cs="宋体"/>
          <w:color w:val="auto"/>
          <w:sz w:val="24"/>
          <w:szCs w:val="24"/>
          <w:highlight w:val="none"/>
          <w:lang w:val="en-US" w:eastAsia="zh-CN"/>
        </w:rPr>
      </w:pPr>
    </w:p>
    <w:p w14:paraId="7BCCDC2E">
      <w:pPr>
        <w:pStyle w:val="14"/>
        <w:rPr>
          <w:rFonts w:hint="eastAsia" w:ascii="宋体" w:hAnsi="宋体" w:eastAsia="宋体" w:cs="宋体"/>
          <w:color w:val="auto"/>
          <w:sz w:val="24"/>
          <w:szCs w:val="24"/>
          <w:highlight w:val="none"/>
          <w:lang w:val="en-US" w:eastAsia="zh-CN"/>
        </w:rPr>
      </w:pPr>
    </w:p>
    <w:p w14:paraId="40CCC9A7">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Style w:val="36"/>
          <w:rFonts w:hint="eastAsia" w:ascii="宋体" w:hAnsi="宋体" w:eastAsia="宋体" w:cs="宋体"/>
          <w:b/>
          <w:color w:val="auto"/>
          <w:sz w:val="24"/>
          <w:szCs w:val="24"/>
          <w:highlight w:val="none"/>
        </w:rPr>
        <w:t>技术参数、功能偏离表</w:t>
      </w:r>
    </w:p>
    <w:p w14:paraId="49BC72FA">
      <w:pPr>
        <w:pStyle w:val="31"/>
        <w:rPr>
          <w:rFonts w:hint="eastAsia" w:ascii="宋体" w:hAnsi="宋体" w:eastAsia="宋体" w:cs="宋体"/>
          <w:color w:val="auto"/>
          <w:sz w:val="24"/>
          <w:szCs w:val="24"/>
          <w:highlight w:val="none"/>
          <w:lang w:val="en-US" w:eastAsia="zh-CN"/>
        </w:rPr>
      </w:pPr>
    </w:p>
    <w:p w14:paraId="5A284E44">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3"/>
        <w:tblW w:w="9914"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2182"/>
        <w:gridCol w:w="1663"/>
        <w:gridCol w:w="1228"/>
        <w:gridCol w:w="763"/>
        <w:gridCol w:w="1569"/>
      </w:tblGrid>
      <w:tr w14:paraId="6B5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noWrap w:val="0"/>
            <w:vAlign w:val="center"/>
          </w:tcPr>
          <w:p w14:paraId="10562FCD">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9" w:type="dxa"/>
            <w:noWrap w:val="0"/>
            <w:vAlign w:val="center"/>
          </w:tcPr>
          <w:p w14:paraId="11F5B03A">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规格条目号</w:t>
            </w:r>
          </w:p>
        </w:tc>
        <w:tc>
          <w:tcPr>
            <w:tcW w:w="2182" w:type="dxa"/>
            <w:noWrap w:val="0"/>
            <w:vAlign w:val="center"/>
          </w:tcPr>
          <w:p w14:paraId="226E9EF7">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要求规格</w:t>
            </w:r>
          </w:p>
        </w:tc>
        <w:tc>
          <w:tcPr>
            <w:tcW w:w="1663" w:type="dxa"/>
            <w:noWrap w:val="0"/>
            <w:vAlign w:val="center"/>
          </w:tcPr>
          <w:p w14:paraId="742F50A4">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228" w:type="dxa"/>
            <w:noWrap w:val="0"/>
            <w:vAlign w:val="center"/>
          </w:tcPr>
          <w:p w14:paraId="2A0A500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63" w:type="dxa"/>
            <w:noWrap w:val="0"/>
            <w:vAlign w:val="center"/>
          </w:tcPr>
          <w:p w14:paraId="314A96C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569" w:type="dxa"/>
            <w:noWrap w:val="0"/>
            <w:vAlign w:val="center"/>
          </w:tcPr>
          <w:p w14:paraId="4460EDF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r>
      <w:tr w14:paraId="4B0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3800B08F">
            <w:pPr>
              <w:spacing w:line="400" w:lineRule="atLeast"/>
              <w:rPr>
                <w:rFonts w:hint="eastAsia" w:ascii="宋体" w:hAnsi="宋体" w:eastAsia="宋体" w:cs="宋体"/>
                <w:color w:val="auto"/>
                <w:sz w:val="24"/>
                <w:szCs w:val="24"/>
                <w:highlight w:val="none"/>
              </w:rPr>
            </w:pPr>
          </w:p>
          <w:p w14:paraId="6154606A">
            <w:pPr>
              <w:spacing w:line="400" w:lineRule="atLeast"/>
              <w:rPr>
                <w:rFonts w:hint="eastAsia" w:ascii="宋体" w:hAnsi="宋体" w:eastAsia="宋体" w:cs="宋体"/>
                <w:color w:val="auto"/>
                <w:sz w:val="24"/>
                <w:szCs w:val="24"/>
                <w:highlight w:val="none"/>
              </w:rPr>
            </w:pPr>
          </w:p>
        </w:tc>
        <w:tc>
          <w:tcPr>
            <w:tcW w:w="1609" w:type="dxa"/>
            <w:noWrap w:val="0"/>
            <w:vAlign w:val="top"/>
          </w:tcPr>
          <w:p w14:paraId="5224B7A2">
            <w:pPr>
              <w:widowControl/>
              <w:spacing w:line="400" w:lineRule="atLeast"/>
              <w:jc w:val="left"/>
              <w:rPr>
                <w:rFonts w:hint="eastAsia" w:ascii="宋体" w:hAnsi="宋体" w:eastAsia="宋体" w:cs="宋体"/>
                <w:color w:val="auto"/>
                <w:sz w:val="24"/>
                <w:szCs w:val="24"/>
                <w:highlight w:val="none"/>
              </w:rPr>
            </w:pPr>
          </w:p>
          <w:p w14:paraId="1233D05A">
            <w:pPr>
              <w:spacing w:line="400" w:lineRule="atLeast"/>
              <w:rPr>
                <w:rFonts w:hint="eastAsia" w:ascii="宋体" w:hAnsi="宋体" w:eastAsia="宋体" w:cs="宋体"/>
                <w:color w:val="auto"/>
                <w:sz w:val="24"/>
                <w:szCs w:val="24"/>
                <w:highlight w:val="none"/>
              </w:rPr>
            </w:pPr>
          </w:p>
        </w:tc>
        <w:tc>
          <w:tcPr>
            <w:tcW w:w="2182" w:type="dxa"/>
            <w:noWrap w:val="0"/>
            <w:vAlign w:val="top"/>
          </w:tcPr>
          <w:p w14:paraId="04BED30B">
            <w:pPr>
              <w:spacing w:line="400" w:lineRule="atLeast"/>
              <w:rPr>
                <w:rFonts w:hint="eastAsia" w:ascii="宋体" w:hAnsi="宋体" w:eastAsia="宋体" w:cs="宋体"/>
                <w:color w:val="auto"/>
                <w:sz w:val="24"/>
                <w:szCs w:val="24"/>
                <w:highlight w:val="none"/>
              </w:rPr>
            </w:pPr>
          </w:p>
        </w:tc>
        <w:tc>
          <w:tcPr>
            <w:tcW w:w="1663" w:type="dxa"/>
            <w:noWrap w:val="0"/>
            <w:vAlign w:val="top"/>
          </w:tcPr>
          <w:p w14:paraId="194BA517">
            <w:pPr>
              <w:spacing w:line="400" w:lineRule="atLeast"/>
              <w:rPr>
                <w:rFonts w:hint="eastAsia" w:ascii="宋体" w:hAnsi="宋体" w:eastAsia="宋体" w:cs="宋体"/>
                <w:color w:val="auto"/>
                <w:sz w:val="24"/>
                <w:szCs w:val="24"/>
                <w:highlight w:val="none"/>
              </w:rPr>
            </w:pPr>
          </w:p>
        </w:tc>
        <w:tc>
          <w:tcPr>
            <w:tcW w:w="1228" w:type="dxa"/>
            <w:noWrap w:val="0"/>
            <w:vAlign w:val="top"/>
          </w:tcPr>
          <w:p w14:paraId="28CA5168">
            <w:pPr>
              <w:spacing w:line="400" w:lineRule="atLeast"/>
              <w:rPr>
                <w:rFonts w:hint="eastAsia" w:ascii="宋体" w:hAnsi="宋体" w:eastAsia="宋体" w:cs="宋体"/>
                <w:color w:val="auto"/>
                <w:sz w:val="24"/>
                <w:szCs w:val="24"/>
                <w:highlight w:val="none"/>
              </w:rPr>
            </w:pPr>
          </w:p>
        </w:tc>
        <w:tc>
          <w:tcPr>
            <w:tcW w:w="763" w:type="dxa"/>
            <w:noWrap w:val="0"/>
            <w:vAlign w:val="top"/>
          </w:tcPr>
          <w:p w14:paraId="2C083457">
            <w:pPr>
              <w:spacing w:line="400" w:lineRule="atLeast"/>
              <w:rPr>
                <w:rFonts w:hint="eastAsia" w:ascii="宋体" w:hAnsi="宋体" w:eastAsia="宋体" w:cs="宋体"/>
                <w:color w:val="auto"/>
                <w:sz w:val="24"/>
                <w:szCs w:val="24"/>
                <w:highlight w:val="none"/>
              </w:rPr>
            </w:pPr>
          </w:p>
        </w:tc>
        <w:tc>
          <w:tcPr>
            <w:tcW w:w="1569" w:type="dxa"/>
            <w:noWrap w:val="0"/>
            <w:vAlign w:val="top"/>
          </w:tcPr>
          <w:p w14:paraId="169330B1">
            <w:pPr>
              <w:spacing w:line="400" w:lineRule="atLeast"/>
              <w:rPr>
                <w:rFonts w:hint="eastAsia" w:ascii="宋体" w:hAnsi="宋体" w:eastAsia="宋体" w:cs="宋体"/>
                <w:color w:val="auto"/>
                <w:sz w:val="24"/>
                <w:szCs w:val="24"/>
                <w:highlight w:val="none"/>
              </w:rPr>
            </w:pPr>
          </w:p>
        </w:tc>
      </w:tr>
      <w:tr w14:paraId="77A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0" w:type="dxa"/>
            <w:noWrap w:val="0"/>
            <w:vAlign w:val="top"/>
          </w:tcPr>
          <w:p w14:paraId="15EE567E">
            <w:pPr>
              <w:spacing w:line="400" w:lineRule="atLeast"/>
              <w:rPr>
                <w:rFonts w:hint="eastAsia" w:ascii="宋体" w:hAnsi="宋体" w:eastAsia="宋体" w:cs="宋体"/>
                <w:color w:val="auto"/>
                <w:sz w:val="24"/>
                <w:szCs w:val="24"/>
                <w:highlight w:val="none"/>
              </w:rPr>
            </w:pPr>
          </w:p>
          <w:p w14:paraId="33B8296C">
            <w:pPr>
              <w:spacing w:line="400" w:lineRule="atLeast"/>
              <w:rPr>
                <w:rFonts w:hint="eastAsia" w:ascii="宋体" w:hAnsi="宋体" w:eastAsia="宋体" w:cs="宋体"/>
                <w:color w:val="auto"/>
                <w:sz w:val="24"/>
                <w:szCs w:val="24"/>
                <w:highlight w:val="none"/>
              </w:rPr>
            </w:pPr>
          </w:p>
        </w:tc>
        <w:tc>
          <w:tcPr>
            <w:tcW w:w="1609" w:type="dxa"/>
            <w:noWrap w:val="0"/>
            <w:vAlign w:val="top"/>
          </w:tcPr>
          <w:p w14:paraId="502B9BB9">
            <w:pPr>
              <w:widowControl/>
              <w:spacing w:line="400" w:lineRule="atLeast"/>
              <w:jc w:val="left"/>
              <w:rPr>
                <w:rFonts w:hint="eastAsia" w:ascii="宋体" w:hAnsi="宋体" w:eastAsia="宋体" w:cs="宋体"/>
                <w:color w:val="auto"/>
                <w:sz w:val="24"/>
                <w:szCs w:val="24"/>
                <w:highlight w:val="none"/>
              </w:rPr>
            </w:pPr>
          </w:p>
          <w:p w14:paraId="770CC645">
            <w:pPr>
              <w:spacing w:line="400" w:lineRule="atLeast"/>
              <w:rPr>
                <w:rFonts w:hint="eastAsia" w:ascii="宋体" w:hAnsi="宋体" w:eastAsia="宋体" w:cs="宋体"/>
                <w:color w:val="auto"/>
                <w:sz w:val="24"/>
                <w:szCs w:val="24"/>
                <w:highlight w:val="none"/>
              </w:rPr>
            </w:pPr>
          </w:p>
        </w:tc>
        <w:tc>
          <w:tcPr>
            <w:tcW w:w="2182" w:type="dxa"/>
            <w:noWrap w:val="0"/>
            <w:vAlign w:val="top"/>
          </w:tcPr>
          <w:p w14:paraId="4F85A09F">
            <w:pPr>
              <w:spacing w:line="400" w:lineRule="atLeast"/>
              <w:rPr>
                <w:rFonts w:hint="eastAsia" w:ascii="宋体" w:hAnsi="宋体" w:eastAsia="宋体" w:cs="宋体"/>
                <w:color w:val="auto"/>
                <w:sz w:val="24"/>
                <w:szCs w:val="24"/>
                <w:highlight w:val="none"/>
              </w:rPr>
            </w:pPr>
          </w:p>
        </w:tc>
        <w:tc>
          <w:tcPr>
            <w:tcW w:w="1663" w:type="dxa"/>
            <w:noWrap w:val="0"/>
            <w:vAlign w:val="top"/>
          </w:tcPr>
          <w:p w14:paraId="1688220C">
            <w:pPr>
              <w:spacing w:line="400" w:lineRule="atLeast"/>
              <w:rPr>
                <w:rFonts w:hint="eastAsia" w:ascii="宋体" w:hAnsi="宋体" w:eastAsia="宋体" w:cs="宋体"/>
                <w:color w:val="auto"/>
                <w:sz w:val="24"/>
                <w:szCs w:val="24"/>
                <w:highlight w:val="none"/>
              </w:rPr>
            </w:pPr>
          </w:p>
        </w:tc>
        <w:tc>
          <w:tcPr>
            <w:tcW w:w="1228" w:type="dxa"/>
            <w:noWrap w:val="0"/>
            <w:vAlign w:val="top"/>
          </w:tcPr>
          <w:p w14:paraId="7E66C9A5">
            <w:pPr>
              <w:spacing w:line="400" w:lineRule="atLeast"/>
              <w:rPr>
                <w:rFonts w:hint="eastAsia" w:ascii="宋体" w:hAnsi="宋体" w:eastAsia="宋体" w:cs="宋体"/>
                <w:color w:val="auto"/>
                <w:sz w:val="24"/>
                <w:szCs w:val="24"/>
                <w:highlight w:val="none"/>
              </w:rPr>
            </w:pPr>
          </w:p>
        </w:tc>
        <w:tc>
          <w:tcPr>
            <w:tcW w:w="763" w:type="dxa"/>
            <w:noWrap w:val="0"/>
            <w:vAlign w:val="top"/>
          </w:tcPr>
          <w:p w14:paraId="63C816B0">
            <w:pPr>
              <w:spacing w:line="400" w:lineRule="atLeast"/>
              <w:rPr>
                <w:rFonts w:hint="eastAsia" w:ascii="宋体" w:hAnsi="宋体" w:eastAsia="宋体" w:cs="宋体"/>
                <w:color w:val="auto"/>
                <w:sz w:val="24"/>
                <w:szCs w:val="24"/>
                <w:highlight w:val="none"/>
              </w:rPr>
            </w:pPr>
          </w:p>
        </w:tc>
        <w:tc>
          <w:tcPr>
            <w:tcW w:w="1569" w:type="dxa"/>
            <w:noWrap w:val="0"/>
            <w:vAlign w:val="top"/>
          </w:tcPr>
          <w:p w14:paraId="1CD0BD9F">
            <w:pPr>
              <w:spacing w:line="400" w:lineRule="atLeast"/>
              <w:rPr>
                <w:rFonts w:hint="eastAsia" w:ascii="宋体" w:hAnsi="宋体" w:eastAsia="宋体" w:cs="宋体"/>
                <w:color w:val="auto"/>
                <w:sz w:val="24"/>
                <w:szCs w:val="24"/>
                <w:highlight w:val="none"/>
              </w:rPr>
            </w:pPr>
          </w:p>
        </w:tc>
      </w:tr>
      <w:tr w14:paraId="5F3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35132CAF">
            <w:pPr>
              <w:spacing w:line="400" w:lineRule="atLeast"/>
              <w:rPr>
                <w:rFonts w:hint="eastAsia" w:ascii="宋体" w:hAnsi="宋体" w:eastAsia="宋体" w:cs="宋体"/>
                <w:color w:val="auto"/>
                <w:sz w:val="24"/>
                <w:szCs w:val="24"/>
                <w:highlight w:val="none"/>
              </w:rPr>
            </w:pPr>
          </w:p>
          <w:p w14:paraId="4CE96407">
            <w:pPr>
              <w:spacing w:line="400" w:lineRule="atLeast"/>
              <w:rPr>
                <w:rFonts w:hint="eastAsia" w:ascii="宋体" w:hAnsi="宋体" w:eastAsia="宋体" w:cs="宋体"/>
                <w:color w:val="auto"/>
                <w:sz w:val="24"/>
                <w:szCs w:val="24"/>
                <w:highlight w:val="none"/>
              </w:rPr>
            </w:pPr>
          </w:p>
        </w:tc>
        <w:tc>
          <w:tcPr>
            <w:tcW w:w="1609" w:type="dxa"/>
            <w:noWrap w:val="0"/>
            <w:vAlign w:val="top"/>
          </w:tcPr>
          <w:p w14:paraId="62A73428">
            <w:pPr>
              <w:widowControl/>
              <w:spacing w:line="400" w:lineRule="atLeast"/>
              <w:jc w:val="left"/>
              <w:rPr>
                <w:rFonts w:hint="eastAsia" w:ascii="宋体" w:hAnsi="宋体" w:eastAsia="宋体" w:cs="宋体"/>
                <w:color w:val="auto"/>
                <w:sz w:val="24"/>
                <w:szCs w:val="24"/>
                <w:highlight w:val="none"/>
              </w:rPr>
            </w:pPr>
          </w:p>
          <w:p w14:paraId="174A4AEF">
            <w:pPr>
              <w:spacing w:line="400" w:lineRule="atLeast"/>
              <w:rPr>
                <w:rFonts w:hint="eastAsia" w:ascii="宋体" w:hAnsi="宋体" w:eastAsia="宋体" w:cs="宋体"/>
                <w:color w:val="auto"/>
                <w:sz w:val="24"/>
                <w:szCs w:val="24"/>
                <w:highlight w:val="none"/>
              </w:rPr>
            </w:pPr>
          </w:p>
        </w:tc>
        <w:tc>
          <w:tcPr>
            <w:tcW w:w="2182" w:type="dxa"/>
            <w:noWrap w:val="0"/>
            <w:vAlign w:val="top"/>
          </w:tcPr>
          <w:p w14:paraId="29582C84">
            <w:pPr>
              <w:spacing w:line="400" w:lineRule="atLeast"/>
              <w:rPr>
                <w:rFonts w:hint="eastAsia" w:ascii="宋体" w:hAnsi="宋体" w:eastAsia="宋体" w:cs="宋体"/>
                <w:color w:val="auto"/>
                <w:sz w:val="24"/>
                <w:szCs w:val="24"/>
                <w:highlight w:val="none"/>
              </w:rPr>
            </w:pPr>
          </w:p>
        </w:tc>
        <w:tc>
          <w:tcPr>
            <w:tcW w:w="1663" w:type="dxa"/>
            <w:noWrap w:val="0"/>
            <w:vAlign w:val="top"/>
          </w:tcPr>
          <w:p w14:paraId="1A16348C">
            <w:pPr>
              <w:spacing w:line="400" w:lineRule="atLeast"/>
              <w:rPr>
                <w:rFonts w:hint="eastAsia" w:ascii="宋体" w:hAnsi="宋体" w:eastAsia="宋体" w:cs="宋体"/>
                <w:color w:val="auto"/>
                <w:sz w:val="24"/>
                <w:szCs w:val="24"/>
                <w:highlight w:val="none"/>
              </w:rPr>
            </w:pPr>
          </w:p>
        </w:tc>
        <w:tc>
          <w:tcPr>
            <w:tcW w:w="1228" w:type="dxa"/>
            <w:noWrap w:val="0"/>
            <w:vAlign w:val="top"/>
          </w:tcPr>
          <w:p w14:paraId="57301767">
            <w:pPr>
              <w:spacing w:line="400" w:lineRule="atLeast"/>
              <w:rPr>
                <w:rFonts w:hint="eastAsia" w:ascii="宋体" w:hAnsi="宋体" w:eastAsia="宋体" w:cs="宋体"/>
                <w:color w:val="auto"/>
                <w:sz w:val="24"/>
                <w:szCs w:val="24"/>
                <w:highlight w:val="none"/>
              </w:rPr>
            </w:pPr>
          </w:p>
        </w:tc>
        <w:tc>
          <w:tcPr>
            <w:tcW w:w="763" w:type="dxa"/>
            <w:noWrap w:val="0"/>
            <w:vAlign w:val="top"/>
          </w:tcPr>
          <w:p w14:paraId="78B9CE06">
            <w:pPr>
              <w:spacing w:line="400" w:lineRule="atLeast"/>
              <w:rPr>
                <w:rFonts w:hint="eastAsia" w:ascii="宋体" w:hAnsi="宋体" w:eastAsia="宋体" w:cs="宋体"/>
                <w:color w:val="auto"/>
                <w:sz w:val="24"/>
                <w:szCs w:val="24"/>
                <w:highlight w:val="none"/>
              </w:rPr>
            </w:pPr>
          </w:p>
        </w:tc>
        <w:tc>
          <w:tcPr>
            <w:tcW w:w="1569" w:type="dxa"/>
            <w:noWrap w:val="0"/>
            <w:vAlign w:val="top"/>
          </w:tcPr>
          <w:p w14:paraId="1FF80CEB">
            <w:pPr>
              <w:spacing w:line="400" w:lineRule="atLeast"/>
              <w:rPr>
                <w:rFonts w:hint="eastAsia" w:ascii="宋体" w:hAnsi="宋体" w:eastAsia="宋体" w:cs="宋体"/>
                <w:color w:val="auto"/>
                <w:sz w:val="24"/>
                <w:szCs w:val="24"/>
                <w:highlight w:val="none"/>
              </w:rPr>
            </w:pPr>
          </w:p>
        </w:tc>
      </w:tr>
      <w:tr w14:paraId="067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EBAFD89">
            <w:pPr>
              <w:spacing w:line="400" w:lineRule="atLeast"/>
              <w:rPr>
                <w:rFonts w:hint="eastAsia" w:ascii="宋体" w:hAnsi="宋体" w:eastAsia="宋体" w:cs="宋体"/>
                <w:color w:val="auto"/>
                <w:sz w:val="24"/>
                <w:szCs w:val="24"/>
                <w:highlight w:val="none"/>
              </w:rPr>
            </w:pPr>
          </w:p>
          <w:p w14:paraId="2B8022D6">
            <w:pPr>
              <w:spacing w:line="400" w:lineRule="atLeast"/>
              <w:rPr>
                <w:rFonts w:hint="eastAsia" w:ascii="宋体" w:hAnsi="宋体" w:eastAsia="宋体" w:cs="宋体"/>
                <w:color w:val="auto"/>
                <w:sz w:val="24"/>
                <w:szCs w:val="24"/>
                <w:highlight w:val="none"/>
              </w:rPr>
            </w:pPr>
          </w:p>
        </w:tc>
        <w:tc>
          <w:tcPr>
            <w:tcW w:w="1609" w:type="dxa"/>
            <w:noWrap w:val="0"/>
            <w:vAlign w:val="top"/>
          </w:tcPr>
          <w:p w14:paraId="3F036BD6">
            <w:pPr>
              <w:widowControl/>
              <w:spacing w:line="400" w:lineRule="atLeast"/>
              <w:jc w:val="left"/>
              <w:rPr>
                <w:rFonts w:hint="eastAsia" w:ascii="宋体" w:hAnsi="宋体" w:eastAsia="宋体" w:cs="宋体"/>
                <w:color w:val="auto"/>
                <w:sz w:val="24"/>
                <w:szCs w:val="24"/>
                <w:highlight w:val="none"/>
              </w:rPr>
            </w:pPr>
          </w:p>
          <w:p w14:paraId="76120B74">
            <w:pPr>
              <w:spacing w:line="400" w:lineRule="atLeast"/>
              <w:rPr>
                <w:rFonts w:hint="eastAsia" w:ascii="宋体" w:hAnsi="宋体" w:eastAsia="宋体" w:cs="宋体"/>
                <w:color w:val="auto"/>
                <w:sz w:val="24"/>
                <w:szCs w:val="24"/>
                <w:highlight w:val="none"/>
              </w:rPr>
            </w:pPr>
          </w:p>
        </w:tc>
        <w:tc>
          <w:tcPr>
            <w:tcW w:w="2182" w:type="dxa"/>
            <w:noWrap w:val="0"/>
            <w:vAlign w:val="top"/>
          </w:tcPr>
          <w:p w14:paraId="1687B69B">
            <w:pPr>
              <w:spacing w:line="400" w:lineRule="atLeast"/>
              <w:rPr>
                <w:rFonts w:hint="eastAsia" w:ascii="宋体" w:hAnsi="宋体" w:eastAsia="宋体" w:cs="宋体"/>
                <w:color w:val="auto"/>
                <w:sz w:val="24"/>
                <w:szCs w:val="24"/>
                <w:highlight w:val="none"/>
              </w:rPr>
            </w:pPr>
          </w:p>
        </w:tc>
        <w:tc>
          <w:tcPr>
            <w:tcW w:w="1663" w:type="dxa"/>
            <w:noWrap w:val="0"/>
            <w:vAlign w:val="top"/>
          </w:tcPr>
          <w:p w14:paraId="545074B3">
            <w:pPr>
              <w:spacing w:line="400" w:lineRule="atLeast"/>
              <w:rPr>
                <w:rFonts w:hint="eastAsia" w:ascii="宋体" w:hAnsi="宋体" w:eastAsia="宋体" w:cs="宋体"/>
                <w:color w:val="auto"/>
                <w:sz w:val="24"/>
                <w:szCs w:val="24"/>
                <w:highlight w:val="none"/>
              </w:rPr>
            </w:pPr>
          </w:p>
        </w:tc>
        <w:tc>
          <w:tcPr>
            <w:tcW w:w="1228" w:type="dxa"/>
            <w:noWrap w:val="0"/>
            <w:vAlign w:val="top"/>
          </w:tcPr>
          <w:p w14:paraId="25074519">
            <w:pPr>
              <w:spacing w:line="400" w:lineRule="atLeast"/>
              <w:rPr>
                <w:rFonts w:hint="eastAsia" w:ascii="宋体" w:hAnsi="宋体" w:eastAsia="宋体" w:cs="宋体"/>
                <w:color w:val="auto"/>
                <w:sz w:val="24"/>
                <w:szCs w:val="24"/>
                <w:highlight w:val="none"/>
              </w:rPr>
            </w:pPr>
          </w:p>
        </w:tc>
        <w:tc>
          <w:tcPr>
            <w:tcW w:w="763" w:type="dxa"/>
            <w:noWrap w:val="0"/>
            <w:vAlign w:val="top"/>
          </w:tcPr>
          <w:p w14:paraId="2427833D">
            <w:pPr>
              <w:spacing w:line="400" w:lineRule="atLeast"/>
              <w:rPr>
                <w:rFonts w:hint="eastAsia" w:ascii="宋体" w:hAnsi="宋体" w:eastAsia="宋体" w:cs="宋体"/>
                <w:color w:val="auto"/>
                <w:sz w:val="24"/>
                <w:szCs w:val="24"/>
                <w:highlight w:val="none"/>
              </w:rPr>
            </w:pPr>
          </w:p>
        </w:tc>
        <w:tc>
          <w:tcPr>
            <w:tcW w:w="1569" w:type="dxa"/>
            <w:noWrap w:val="0"/>
            <w:vAlign w:val="top"/>
          </w:tcPr>
          <w:p w14:paraId="6BFF9899">
            <w:pPr>
              <w:spacing w:line="400" w:lineRule="atLeast"/>
              <w:rPr>
                <w:rFonts w:hint="eastAsia" w:ascii="宋体" w:hAnsi="宋体" w:eastAsia="宋体" w:cs="宋体"/>
                <w:color w:val="auto"/>
                <w:sz w:val="24"/>
                <w:szCs w:val="24"/>
                <w:highlight w:val="none"/>
              </w:rPr>
            </w:pPr>
          </w:p>
        </w:tc>
      </w:tr>
      <w:tr w14:paraId="251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68D95BD3">
            <w:pPr>
              <w:spacing w:line="400" w:lineRule="atLeast"/>
              <w:rPr>
                <w:rFonts w:hint="eastAsia" w:ascii="宋体" w:hAnsi="宋体" w:eastAsia="宋体" w:cs="宋体"/>
                <w:color w:val="auto"/>
                <w:sz w:val="24"/>
                <w:szCs w:val="24"/>
                <w:highlight w:val="none"/>
              </w:rPr>
            </w:pPr>
          </w:p>
          <w:p w14:paraId="7B364845">
            <w:pPr>
              <w:spacing w:line="400" w:lineRule="atLeast"/>
              <w:rPr>
                <w:rFonts w:hint="eastAsia" w:ascii="宋体" w:hAnsi="宋体" w:eastAsia="宋体" w:cs="宋体"/>
                <w:color w:val="auto"/>
                <w:sz w:val="24"/>
                <w:szCs w:val="24"/>
                <w:highlight w:val="none"/>
              </w:rPr>
            </w:pPr>
          </w:p>
        </w:tc>
        <w:tc>
          <w:tcPr>
            <w:tcW w:w="1609" w:type="dxa"/>
            <w:noWrap w:val="0"/>
            <w:vAlign w:val="top"/>
          </w:tcPr>
          <w:p w14:paraId="2CCDB93C">
            <w:pPr>
              <w:widowControl/>
              <w:spacing w:line="400" w:lineRule="atLeast"/>
              <w:jc w:val="left"/>
              <w:rPr>
                <w:rFonts w:hint="eastAsia" w:ascii="宋体" w:hAnsi="宋体" w:eastAsia="宋体" w:cs="宋体"/>
                <w:color w:val="auto"/>
                <w:sz w:val="24"/>
                <w:szCs w:val="24"/>
                <w:highlight w:val="none"/>
              </w:rPr>
            </w:pPr>
          </w:p>
          <w:p w14:paraId="68A27E83">
            <w:pPr>
              <w:spacing w:line="400" w:lineRule="atLeast"/>
              <w:rPr>
                <w:rFonts w:hint="eastAsia" w:ascii="宋体" w:hAnsi="宋体" w:eastAsia="宋体" w:cs="宋体"/>
                <w:color w:val="auto"/>
                <w:sz w:val="24"/>
                <w:szCs w:val="24"/>
                <w:highlight w:val="none"/>
              </w:rPr>
            </w:pPr>
          </w:p>
        </w:tc>
        <w:tc>
          <w:tcPr>
            <w:tcW w:w="2182" w:type="dxa"/>
            <w:noWrap w:val="0"/>
            <w:vAlign w:val="top"/>
          </w:tcPr>
          <w:p w14:paraId="2D0DF707">
            <w:pPr>
              <w:spacing w:line="400" w:lineRule="atLeast"/>
              <w:rPr>
                <w:rFonts w:hint="eastAsia" w:ascii="宋体" w:hAnsi="宋体" w:eastAsia="宋体" w:cs="宋体"/>
                <w:color w:val="auto"/>
                <w:sz w:val="24"/>
                <w:szCs w:val="24"/>
                <w:highlight w:val="none"/>
              </w:rPr>
            </w:pPr>
          </w:p>
        </w:tc>
        <w:tc>
          <w:tcPr>
            <w:tcW w:w="1663" w:type="dxa"/>
            <w:noWrap w:val="0"/>
            <w:vAlign w:val="top"/>
          </w:tcPr>
          <w:p w14:paraId="5AE3DC0F">
            <w:pPr>
              <w:spacing w:line="400" w:lineRule="atLeast"/>
              <w:rPr>
                <w:rFonts w:hint="eastAsia" w:ascii="宋体" w:hAnsi="宋体" w:eastAsia="宋体" w:cs="宋体"/>
                <w:color w:val="auto"/>
                <w:sz w:val="24"/>
                <w:szCs w:val="24"/>
                <w:highlight w:val="none"/>
              </w:rPr>
            </w:pPr>
          </w:p>
        </w:tc>
        <w:tc>
          <w:tcPr>
            <w:tcW w:w="1228" w:type="dxa"/>
            <w:noWrap w:val="0"/>
            <w:vAlign w:val="top"/>
          </w:tcPr>
          <w:p w14:paraId="7622F789">
            <w:pPr>
              <w:spacing w:line="400" w:lineRule="atLeast"/>
              <w:rPr>
                <w:rFonts w:hint="eastAsia" w:ascii="宋体" w:hAnsi="宋体" w:eastAsia="宋体" w:cs="宋体"/>
                <w:color w:val="auto"/>
                <w:sz w:val="24"/>
                <w:szCs w:val="24"/>
                <w:highlight w:val="none"/>
              </w:rPr>
            </w:pPr>
          </w:p>
        </w:tc>
        <w:tc>
          <w:tcPr>
            <w:tcW w:w="763" w:type="dxa"/>
            <w:noWrap w:val="0"/>
            <w:vAlign w:val="top"/>
          </w:tcPr>
          <w:p w14:paraId="7104E4C7">
            <w:pPr>
              <w:spacing w:line="400" w:lineRule="atLeast"/>
              <w:rPr>
                <w:rFonts w:hint="eastAsia" w:ascii="宋体" w:hAnsi="宋体" w:eastAsia="宋体" w:cs="宋体"/>
                <w:color w:val="auto"/>
                <w:sz w:val="24"/>
                <w:szCs w:val="24"/>
                <w:highlight w:val="none"/>
              </w:rPr>
            </w:pPr>
          </w:p>
        </w:tc>
        <w:tc>
          <w:tcPr>
            <w:tcW w:w="1569" w:type="dxa"/>
            <w:noWrap w:val="0"/>
            <w:vAlign w:val="top"/>
          </w:tcPr>
          <w:p w14:paraId="3154E149">
            <w:pPr>
              <w:spacing w:line="400" w:lineRule="atLeast"/>
              <w:rPr>
                <w:rFonts w:hint="eastAsia" w:ascii="宋体" w:hAnsi="宋体" w:eastAsia="宋体" w:cs="宋体"/>
                <w:color w:val="auto"/>
                <w:sz w:val="24"/>
                <w:szCs w:val="24"/>
                <w:highlight w:val="none"/>
              </w:rPr>
            </w:pPr>
          </w:p>
        </w:tc>
      </w:tr>
      <w:tr w14:paraId="60B7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745E475">
            <w:pPr>
              <w:spacing w:line="400" w:lineRule="atLeast"/>
              <w:rPr>
                <w:rFonts w:hint="eastAsia" w:ascii="宋体" w:hAnsi="宋体" w:eastAsia="宋体" w:cs="宋体"/>
                <w:color w:val="auto"/>
                <w:sz w:val="24"/>
                <w:szCs w:val="24"/>
                <w:highlight w:val="none"/>
              </w:rPr>
            </w:pPr>
          </w:p>
          <w:p w14:paraId="73BEFE59">
            <w:pPr>
              <w:spacing w:line="400" w:lineRule="atLeast"/>
              <w:rPr>
                <w:rFonts w:hint="eastAsia" w:ascii="宋体" w:hAnsi="宋体" w:eastAsia="宋体" w:cs="宋体"/>
                <w:color w:val="auto"/>
                <w:sz w:val="24"/>
                <w:szCs w:val="24"/>
                <w:highlight w:val="none"/>
              </w:rPr>
            </w:pPr>
          </w:p>
        </w:tc>
        <w:tc>
          <w:tcPr>
            <w:tcW w:w="1609" w:type="dxa"/>
            <w:noWrap w:val="0"/>
            <w:vAlign w:val="top"/>
          </w:tcPr>
          <w:p w14:paraId="13504B7D">
            <w:pPr>
              <w:widowControl/>
              <w:spacing w:line="400" w:lineRule="atLeast"/>
              <w:jc w:val="left"/>
              <w:rPr>
                <w:rFonts w:hint="eastAsia" w:ascii="宋体" w:hAnsi="宋体" w:eastAsia="宋体" w:cs="宋体"/>
                <w:color w:val="auto"/>
                <w:sz w:val="24"/>
                <w:szCs w:val="24"/>
                <w:highlight w:val="none"/>
              </w:rPr>
            </w:pPr>
          </w:p>
          <w:p w14:paraId="1446EF95">
            <w:pPr>
              <w:spacing w:line="400" w:lineRule="atLeast"/>
              <w:rPr>
                <w:rFonts w:hint="eastAsia" w:ascii="宋体" w:hAnsi="宋体" w:eastAsia="宋体" w:cs="宋体"/>
                <w:color w:val="auto"/>
                <w:sz w:val="24"/>
                <w:szCs w:val="24"/>
                <w:highlight w:val="none"/>
              </w:rPr>
            </w:pPr>
          </w:p>
        </w:tc>
        <w:tc>
          <w:tcPr>
            <w:tcW w:w="2182" w:type="dxa"/>
            <w:noWrap w:val="0"/>
            <w:vAlign w:val="top"/>
          </w:tcPr>
          <w:p w14:paraId="067F136F">
            <w:pPr>
              <w:spacing w:line="400" w:lineRule="atLeast"/>
              <w:rPr>
                <w:rFonts w:hint="eastAsia" w:ascii="宋体" w:hAnsi="宋体" w:eastAsia="宋体" w:cs="宋体"/>
                <w:color w:val="auto"/>
                <w:sz w:val="24"/>
                <w:szCs w:val="24"/>
                <w:highlight w:val="none"/>
              </w:rPr>
            </w:pPr>
          </w:p>
        </w:tc>
        <w:tc>
          <w:tcPr>
            <w:tcW w:w="1663" w:type="dxa"/>
            <w:noWrap w:val="0"/>
            <w:vAlign w:val="top"/>
          </w:tcPr>
          <w:p w14:paraId="35915E2E">
            <w:pPr>
              <w:spacing w:line="400" w:lineRule="atLeast"/>
              <w:rPr>
                <w:rFonts w:hint="eastAsia" w:ascii="宋体" w:hAnsi="宋体" w:eastAsia="宋体" w:cs="宋体"/>
                <w:color w:val="auto"/>
                <w:sz w:val="24"/>
                <w:szCs w:val="24"/>
                <w:highlight w:val="none"/>
              </w:rPr>
            </w:pPr>
          </w:p>
        </w:tc>
        <w:tc>
          <w:tcPr>
            <w:tcW w:w="1228" w:type="dxa"/>
            <w:noWrap w:val="0"/>
            <w:vAlign w:val="top"/>
          </w:tcPr>
          <w:p w14:paraId="184A88CA">
            <w:pPr>
              <w:spacing w:line="400" w:lineRule="atLeast"/>
              <w:rPr>
                <w:rFonts w:hint="eastAsia" w:ascii="宋体" w:hAnsi="宋体" w:eastAsia="宋体" w:cs="宋体"/>
                <w:color w:val="auto"/>
                <w:sz w:val="24"/>
                <w:szCs w:val="24"/>
                <w:highlight w:val="none"/>
              </w:rPr>
            </w:pPr>
          </w:p>
        </w:tc>
        <w:tc>
          <w:tcPr>
            <w:tcW w:w="763" w:type="dxa"/>
            <w:noWrap w:val="0"/>
            <w:vAlign w:val="top"/>
          </w:tcPr>
          <w:p w14:paraId="4C6FA47D">
            <w:pPr>
              <w:spacing w:line="400" w:lineRule="atLeast"/>
              <w:rPr>
                <w:rFonts w:hint="eastAsia" w:ascii="宋体" w:hAnsi="宋体" w:eastAsia="宋体" w:cs="宋体"/>
                <w:color w:val="auto"/>
                <w:sz w:val="24"/>
                <w:szCs w:val="24"/>
                <w:highlight w:val="none"/>
              </w:rPr>
            </w:pPr>
          </w:p>
        </w:tc>
        <w:tc>
          <w:tcPr>
            <w:tcW w:w="1569" w:type="dxa"/>
            <w:noWrap w:val="0"/>
            <w:vAlign w:val="top"/>
          </w:tcPr>
          <w:p w14:paraId="1F04E07D">
            <w:pPr>
              <w:spacing w:line="400" w:lineRule="atLeast"/>
              <w:rPr>
                <w:rFonts w:hint="eastAsia" w:ascii="宋体" w:hAnsi="宋体" w:eastAsia="宋体" w:cs="宋体"/>
                <w:color w:val="auto"/>
                <w:sz w:val="24"/>
                <w:szCs w:val="24"/>
                <w:highlight w:val="none"/>
              </w:rPr>
            </w:pPr>
          </w:p>
        </w:tc>
      </w:tr>
      <w:tr w14:paraId="7827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53775CE6">
            <w:pPr>
              <w:spacing w:line="400" w:lineRule="atLeast"/>
              <w:rPr>
                <w:rFonts w:hint="eastAsia" w:ascii="宋体" w:hAnsi="宋体" w:eastAsia="宋体" w:cs="宋体"/>
                <w:color w:val="auto"/>
                <w:sz w:val="24"/>
                <w:szCs w:val="24"/>
                <w:highlight w:val="none"/>
              </w:rPr>
            </w:pPr>
          </w:p>
          <w:p w14:paraId="680CF841">
            <w:pPr>
              <w:spacing w:line="400" w:lineRule="atLeast"/>
              <w:rPr>
                <w:rFonts w:hint="eastAsia" w:ascii="宋体" w:hAnsi="宋体" w:eastAsia="宋体" w:cs="宋体"/>
                <w:color w:val="auto"/>
                <w:sz w:val="24"/>
                <w:szCs w:val="24"/>
                <w:highlight w:val="none"/>
              </w:rPr>
            </w:pPr>
          </w:p>
        </w:tc>
        <w:tc>
          <w:tcPr>
            <w:tcW w:w="1609" w:type="dxa"/>
            <w:noWrap w:val="0"/>
            <w:vAlign w:val="top"/>
          </w:tcPr>
          <w:p w14:paraId="4C610333">
            <w:pPr>
              <w:widowControl/>
              <w:spacing w:line="400" w:lineRule="atLeast"/>
              <w:jc w:val="left"/>
              <w:rPr>
                <w:rFonts w:hint="eastAsia" w:ascii="宋体" w:hAnsi="宋体" w:eastAsia="宋体" w:cs="宋体"/>
                <w:color w:val="auto"/>
                <w:sz w:val="24"/>
                <w:szCs w:val="24"/>
                <w:highlight w:val="none"/>
              </w:rPr>
            </w:pPr>
          </w:p>
          <w:p w14:paraId="5021E8C8">
            <w:pPr>
              <w:spacing w:line="400" w:lineRule="atLeast"/>
              <w:rPr>
                <w:rFonts w:hint="eastAsia" w:ascii="宋体" w:hAnsi="宋体" w:eastAsia="宋体" w:cs="宋体"/>
                <w:color w:val="auto"/>
                <w:sz w:val="24"/>
                <w:szCs w:val="24"/>
                <w:highlight w:val="none"/>
              </w:rPr>
            </w:pPr>
          </w:p>
        </w:tc>
        <w:tc>
          <w:tcPr>
            <w:tcW w:w="2182" w:type="dxa"/>
            <w:noWrap w:val="0"/>
            <w:vAlign w:val="top"/>
          </w:tcPr>
          <w:p w14:paraId="21106EE8">
            <w:pPr>
              <w:spacing w:line="400" w:lineRule="atLeast"/>
              <w:rPr>
                <w:rFonts w:hint="eastAsia" w:ascii="宋体" w:hAnsi="宋体" w:eastAsia="宋体" w:cs="宋体"/>
                <w:color w:val="auto"/>
                <w:sz w:val="24"/>
                <w:szCs w:val="24"/>
                <w:highlight w:val="none"/>
              </w:rPr>
            </w:pPr>
          </w:p>
        </w:tc>
        <w:tc>
          <w:tcPr>
            <w:tcW w:w="1663" w:type="dxa"/>
            <w:noWrap w:val="0"/>
            <w:vAlign w:val="top"/>
          </w:tcPr>
          <w:p w14:paraId="2C40F901">
            <w:pPr>
              <w:spacing w:line="400" w:lineRule="atLeast"/>
              <w:rPr>
                <w:rFonts w:hint="eastAsia" w:ascii="宋体" w:hAnsi="宋体" w:eastAsia="宋体" w:cs="宋体"/>
                <w:color w:val="auto"/>
                <w:sz w:val="24"/>
                <w:szCs w:val="24"/>
                <w:highlight w:val="none"/>
              </w:rPr>
            </w:pPr>
          </w:p>
        </w:tc>
        <w:tc>
          <w:tcPr>
            <w:tcW w:w="1228" w:type="dxa"/>
            <w:noWrap w:val="0"/>
            <w:vAlign w:val="top"/>
          </w:tcPr>
          <w:p w14:paraId="282DA8F6">
            <w:pPr>
              <w:spacing w:line="400" w:lineRule="atLeast"/>
              <w:rPr>
                <w:rFonts w:hint="eastAsia" w:ascii="宋体" w:hAnsi="宋体" w:eastAsia="宋体" w:cs="宋体"/>
                <w:color w:val="auto"/>
                <w:sz w:val="24"/>
                <w:szCs w:val="24"/>
                <w:highlight w:val="none"/>
              </w:rPr>
            </w:pPr>
          </w:p>
        </w:tc>
        <w:tc>
          <w:tcPr>
            <w:tcW w:w="763" w:type="dxa"/>
            <w:noWrap w:val="0"/>
            <w:vAlign w:val="top"/>
          </w:tcPr>
          <w:p w14:paraId="1CD75546">
            <w:pPr>
              <w:spacing w:line="400" w:lineRule="atLeast"/>
              <w:rPr>
                <w:rFonts w:hint="eastAsia" w:ascii="宋体" w:hAnsi="宋体" w:eastAsia="宋体" w:cs="宋体"/>
                <w:color w:val="auto"/>
                <w:sz w:val="24"/>
                <w:szCs w:val="24"/>
                <w:highlight w:val="none"/>
              </w:rPr>
            </w:pPr>
          </w:p>
        </w:tc>
        <w:tc>
          <w:tcPr>
            <w:tcW w:w="1569" w:type="dxa"/>
            <w:noWrap w:val="0"/>
            <w:vAlign w:val="top"/>
          </w:tcPr>
          <w:p w14:paraId="449CF985">
            <w:pPr>
              <w:spacing w:line="400" w:lineRule="atLeast"/>
              <w:rPr>
                <w:rFonts w:hint="eastAsia" w:ascii="宋体" w:hAnsi="宋体" w:eastAsia="宋体" w:cs="宋体"/>
                <w:color w:val="auto"/>
                <w:sz w:val="24"/>
                <w:szCs w:val="24"/>
                <w:highlight w:val="none"/>
              </w:rPr>
            </w:pPr>
          </w:p>
        </w:tc>
      </w:tr>
      <w:tr w14:paraId="449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5043A5F">
            <w:pPr>
              <w:spacing w:line="400" w:lineRule="atLeast"/>
              <w:rPr>
                <w:rFonts w:hint="eastAsia" w:ascii="宋体" w:hAnsi="宋体" w:eastAsia="宋体" w:cs="宋体"/>
                <w:color w:val="auto"/>
                <w:sz w:val="24"/>
                <w:szCs w:val="24"/>
                <w:highlight w:val="none"/>
              </w:rPr>
            </w:pPr>
          </w:p>
          <w:p w14:paraId="2BF82248">
            <w:pPr>
              <w:spacing w:line="400" w:lineRule="atLeast"/>
              <w:rPr>
                <w:rFonts w:hint="eastAsia" w:ascii="宋体" w:hAnsi="宋体" w:eastAsia="宋体" w:cs="宋体"/>
                <w:color w:val="auto"/>
                <w:sz w:val="24"/>
                <w:szCs w:val="24"/>
                <w:highlight w:val="none"/>
              </w:rPr>
            </w:pPr>
          </w:p>
        </w:tc>
        <w:tc>
          <w:tcPr>
            <w:tcW w:w="1609" w:type="dxa"/>
            <w:noWrap w:val="0"/>
            <w:vAlign w:val="top"/>
          </w:tcPr>
          <w:p w14:paraId="4E5C4E09">
            <w:pPr>
              <w:widowControl/>
              <w:spacing w:line="400" w:lineRule="atLeast"/>
              <w:jc w:val="left"/>
              <w:rPr>
                <w:rFonts w:hint="eastAsia" w:ascii="宋体" w:hAnsi="宋体" w:eastAsia="宋体" w:cs="宋体"/>
                <w:color w:val="auto"/>
                <w:sz w:val="24"/>
                <w:szCs w:val="24"/>
                <w:highlight w:val="none"/>
              </w:rPr>
            </w:pPr>
          </w:p>
          <w:p w14:paraId="0CABCFBC">
            <w:pPr>
              <w:spacing w:line="400" w:lineRule="atLeast"/>
              <w:rPr>
                <w:rFonts w:hint="eastAsia" w:ascii="宋体" w:hAnsi="宋体" w:eastAsia="宋体" w:cs="宋体"/>
                <w:color w:val="auto"/>
                <w:sz w:val="24"/>
                <w:szCs w:val="24"/>
                <w:highlight w:val="none"/>
              </w:rPr>
            </w:pPr>
          </w:p>
        </w:tc>
        <w:tc>
          <w:tcPr>
            <w:tcW w:w="2182" w:type="dxa"/>
            <w:noWrap w:val="0"/>
            <w:vAlign w:val="top"/>
          </w:tcPr>
          <w:p w14:paraId="6CB784DC">
            <w:pPr>
              <w:spacing w:line="400" w:lineRule="atLeast"/>
              <w:rPr>
                <w:rFonts w:hint="eastAsia" w:ascii="宋体" w:hAnsi="宋体" w:eastAsia="宋体" w:cs="宋体"/>
                <w:color w:val="auto"/>
                <w:sz w:val="24"/>
                <w:szCs w:val="24"/>
                <w:highlight w:val="none"/>
              </w:rPr>
            </w:pPr>
          </w:p>
        </w:tc>
        <w:tc>
          <w:tcPr>
            <w:tcW w:w="1663" w:type="dxa"/>
            <w:noWrap w:val="0"/>
            <w:vAlign w:val="top"/>
          </w:tcPr>
          <w:p w14:paraId="1ECD5958">
            <w:pPr>
              <w:spacing w:line="400" w:lineRule="atLeast"/>
              <w:rPr>
                <w:rFonts w:hint="eastAsia" w:ascii="宋体" w:hAnsi="宋体" w:eastAsia="宋体" w:cs="宋体"/>
                <w:color w:val="auto"/>
                <w:sz w:val="24"/>
                <w:szCs w:val="24"/>
                <w:highlight w:val="none"/>
              </w:rPr>
            </w:pPr>
          </w:p>
        </w:tc>
        <w:tc>
          <w:tcPr>
            <w:tcW w:w="1228" w:type="dxa"/>
            <w:noWrap w:val="0"/>
            <w:vAlign w:val="top"/>
          </w:tcPr>
          <w:p w14:paraId="442FF874">
            <w:pPr>
              <w:spacing w:line="400" w:lineRule="atLeast"/>
              <w:rPr>
                <w:rFonts w:hint="eastAsia" w:ascii="宋体" w:hAnsi="宋体" w:eastAsia="宋体" w:cs="宋体"/>
                <w:color w:val="auto"/>
                <w:sz w:val="24"/>
                <w:szCs w:val="24"/>
                <w:highlight w:val="none"/>
              </w:rPr>
            </w:pPr>
          </w:p>
        </w:tc>
        <w:tc>
          <w:tcPr>
            <w:tcW w:w="763" w:type="dxa"/>
            <w:noWrap w:val="0"/>
            <w:vAlign w:val="top"/>
          </w:tcPr>
          <w:p w14:paraId="3DE1EEAA">
            <w:pPr>
              <w:spacing w:line="400" w:lineRule="atLeast"/>
              <w:rPr>
                <w:rFonts w:hint="eastAsia" w:ascii="宋体" w:hAnsi="宋体" w:eastAsia="宋体" w:cs="宋体"/>
                <w:color w:val="auto"/>
                <w:sz w:val="24"/>
                <w:szCs w:val="24"/>
                <w:highlight w:val="none"/>
              </w:rPr>
            </w:pPr>
          </w:p>
        </w:tc>
        <w:tc>
          <w:tcPr>
            <w:tcW w:w="1569" w:type="dxa"/>
            <w:noWrap w:val="0"/>
            <w:vAlign w:val="top"/>
          </w:tcPr>
          <w:p w14:paraId="0CF8AEFF">
            <w:pPr>
              <w:spacing w:line="400" w:lineRule="atLeast"/>
              <w:rPr>
                <w:rFonts w:hint="eastAsia" w:ascii="宋体" w:hAnsi="宋体" w:eastAsia="宋体" w:cs="宋体"/>
                <w:color w:val="auto"/>
                <w:sz w:val="24"/>
                <w:szCs w:val="24"/>
                <w:highlight w:val="none"/>
              </w:rPr>
            </w:pPr>
          </w:p>
        </w:tc>
      </w:tr>
      <w:tr w14:paraId="5F6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0ACD9C33">
            <w:pPr>
              <w:spacing w:line="400" w:lineRule="atLeast"/>
              <w:rPr>
                <w:rFonts w:hint="eastAsia" w:ascii="宋体" w:hAnsi="宋体" w:eastAsia="宋体" w:cs="宋体"/>
                <w:color w:val="auto"/>
                <w:sz w:val="24"/>
                <w:szCs w:val="24"/>
                <w:highlight w:val="none"/>
              </w:rPr>
            </w:pPr>
          </w:p>
          <w:p w14:paraId="5910699D">
            <w:pPr>
              <w:spacing w:line="400" w:lineRule="atLeast"/>
              <w:rPr>
                <w:rFonts w:hint="eastAsia" w:ascii="宋体" w:hAnsi="宋体" w:eastAsia="宋体" w:cs="宋体"/>
                <w:color w:val="auto"/>
                <w:sz w:val="24"/>
                <w:szCs w:val="24"/>
                <w:highlight w:val="none"/>
              </w:rPr>
            </w:pPr>
          </w:p>
        </w:tc>
        <w:tc>
          <w:tcPr>
            <w:tcW w:w="1609" w:type="dxa"/>
            <w:noWrap w:val="0"/>
            <w:vAlign w:val="top"/>
          </w:tcPr>
          <w:p w14:paraId="43915974">
            <w:pPr>
              <w:widowControl/>
              <w:spacing w:line="400" w:lineRule="atLeast"/>
              <w:jc w:val="left"/>
              <w:rPr>
                <w:rFonts w:hint="eastAsia" w:ascii="宋体" w:hAnsi="宋体" w:eastAsia="宋体" w:cs="宋体"/>
                <w:color w:val="auto"/>
                <w:sz w:val="24"/>
                <w:szCs w:val="24"/>
                <w:highlight w:val="none"/>
              </w:rPr>
            </w:pPr>
          </w:p>
          <w:p w14:paraId="54F4BBEC">
            <w:pPr>
              <w:spacing w:line="400" w:lineRule="atLeast"/>
              <w:rPr>
                <w:rFonts w:hint="eastAsia" w:ascii="宋体" w:hAnsi="宋体" w:eastAsia="宋体" w:cs="宋体"/>
                <w:color w:val="auto"/>
                <w:sz w:val="24"/>
                <w:szCs w:val="24"/>
                <w:highlight w:val="none"/>
              </w:rPr>
            </w:pPr>
          </w:p>
        </w:tc>
        <w:tc>
          <w:tcPr>
            <w:tcW w:w="2182" w:type="dxa"/>
            <w:noWrap w:val="0"/>
            <w:vAlign w:val="top"/>
          </w:tcPr>
          <w:p w14:paraId="732DC686">
            <w:pPr>
              <w:spacing w:line="400" w:lineRule="atLeast"/>
              <w:rPr>
                <w:rFonts w:hint="eastAsia" w:ascii="宋体" w:hAnsi="宋体" w:eastAsia="宋体" w:cs="宋体"/>
                <w:color w:val="auto"/>
                <w:sz w:val="24"/>
                <w:szCs w:val="24"/>
                <w:highlight w:val="none"/>
              </w:rPr>
            </w:pPr>
          </w:p>
        </w:tc>
        <w:tc>
          <w:tcPr>
            <w:tcW w:w="1663" w:type="dxa"/>
            <w:noWrap w:val="0"/>
            <w:vAlign w:val="top"/>
          </w:tcPr>
          <w:p w14:paraId="716BB4C6">
            <w:pPr>
              <w:spacing w:line="400" w:lineRule="atLeast"/>
              <w:rPr>
                <w:rFonts w:hint="eastAsia" w:ascii="宋体" w:hAnsi="宋体" w:eastAsia="宋体" w:cs="宋体"/>
                <w:color w:val="auto"/>
                <w:sz w:val="24"/>
                <w:szCs w:val="24"/>
                <w:highlight w:val="none"/>
              </w:rPr>
            </w:pPr>
          </w:p>
        </w:tc>
        <w:tc>
          <w:tcPr>
            <w:tcW w:w="1228" w:type="dxa"/>
            <w:noWrap w:val="0"/>
            <w:vAlign w:val="top"/>
          </w:tcPr>
          <w:p w14:paraId="714CE347">
            <w:pPr>
              <w:spacing w:line="400" w:lineRule="atLeast"/>
              <w:rPr>
                <w:rFonts w:hint="eastAsia" w:ascii="宋体" w:hAnsi="宋体" w:eastAsia="宋体" w:cs="宋体"/>
                <w:color w:val="auto"/>
                <w:sz w:val="24"/>
                <w:szCs w:val="24"/>
                <w:highlight w:val="none"/>
              </w:rPr>
            </w:pPr>
          </w:p>
        </w:tc>
        <w:tc>
          <w:tcPr>
            <w:tcW w:w="763" w:type="dxa"/>
            <w:noWrap w:val="0"/>
            <w:vAlign w:val="top"/>
          </w:tcPr>
          <w:p w14:paraId="59495DB2">
            <w:pPr>
              <w:spacing w:line="400" w:lineRule="atLeast"/>
              <w:rPr>
                <w:rFonts w:hint="eastAsia" w:ascii="宋体" w:hAnsi="宋体" w:eastAsia="宋体" w:cs="宋体"/>
                <w:color w:val="auto"/>
                <w:sz w:val="24"/>
                <w:szCs w:val="24"/>
                <w:highlight w:val="none"/>
              </w:rPr>
            </w:pPr>
          </w:p>
        </w:tc>
        <w:tc>
          <w:tcPr>
            <w:tcW w:w="1569" w:type="dxa"/>
            <w:noWrap w:val="0"/>
            <w:vAlign w:val="top"/>
          </w:tcPr>
          <w:p w14:paraId="54FAE71A">
            <w:pPr>
              <w:spacing w:line="400" w:lineRule="atLeast"/>
              <w:rPr>
                <w:rFonts w:hint="eastAsia" w:ascii="宋体" w:hAnsi="宋体" w:eastAsia="宋体" w:cs="宋体"/>
                <w:color w:val="auto"/>
                <w:sz w:val="24"/>
                <w:szCs w:val="24"/>
                <w:highlight w:val="none"/>
              </w:rPr>
            </w:pPr>
          </w:p>
        </w:tc>
      </w:tr>
      <w:tr w14:paraId="6AE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32E8E17A">
            <w:pPr>
              <w:spacing w:line="400" w:lineRule="atLeast"/>
              <w:rPr>
                <w:rFonts w:hint="eastAsia" w:ascii="宋体" w:hAnsi="宋体" w:eastAsia="宋体" w:cs="宋体"/>
                <w:color w:val="auto"/>
                <w:sz w:val="24"/>
                <w:szCs w:val="24"/>
                <w:highlight w:val="none"/>
              </w:rPr>
            </w:pPr>
          </w:p>
        </w:tc>
        <w:tc>
          <w:tcPr>
            <w:tcW w:w="1609" w:type="dxa"/>
            <w:noWrap w:val="0"/>
            <w:vAlign w:val="top"/>
          </w:tcPr>
          <w:p w14:paraId="5B1110F7">
            <w:pPr>
              <w:spacing w:line="400" w:lineRule="atLeast"/>
              <w:rPr>
                <w:rFonts w:hint="eastAsia" w:ascii="宋体" w:hAnsi="宋体" w:eastAsia="宋体" w:cs="宋体"/>
                <w:color w:val="auto"/>
                <w:sz w:val="24"/>
                <w:szCs w:val="24"/>
                <w:highlight w:val="none"/>
              </w:rPr>
            </w:pPr>
          </w:p>
        </w:tc>
        <w:tc>
          <w:tcPr>
            <w:tcW w:w="2182" w:type="dxa"/>
            <w:noWrap w:val="0"/>
            <w:vAlign w:val="top"/>
          </w:tcPr>
          <w:p w14:paraId="3B3FCB22">
            <w:pPr>
              <w:spacing w:line="400" w:lineRule="atLeast"/>
              <w:rPr>
                <w:rFonts w:hint="eastAsia" w:ascii="宋体" w:hAnsi="宋体" w:eastAsia="宋体" w:cs="宋体"/>
                <w:color w:val="auto"/>
                <w:sz w:val="24"/>
                <w:szCs w:val="24"/>
                <w:highlight w:val="none"/>
              </w:rPr>
            </w:pPr>
          </w:p>
          <w:p w14:paraId="1B4E3FBF">
            <w:pPr>
              <w:spacing w:line="400" w:lineRule="atLeast"/>
              <w:rPr>
                <w:rFonts w:hint="eastAsia" w:ascii="宋体" w:hAnsi="宋体" w:eastAsia="宋体" w:cs="宋体"/>
                <w:color w:val="auto"/>
                <w:sz w:val="24"/>
                <w:szCs w:val="24"/>
                <w:highlight w:val="none"/>
              </w:rPr>
            </w:pPr>
          </w:p>
        </w:tc>
        <w:tc>
          <w:tcPr>
            <w:tcW w:w="1663" w:type="dxa"/>
            <w:noWrap w:val="0"/>
            <w:vAlign w:val="top"/>
          </w:tcPr>
          <w:p w14:paraId="42B2768F">
            <w:pPr>
              <w:widowControl/>
              <w:spacing w:line="400" w:lineRule="atLeast"/>
              <w:jc w:val="left"/>
              <w:rPr>
                <w:rFonts w:hint="eastAsia" w:ascii="宋体" w:hAnsi="宋体" w:eastAsia="宋体" w:cs="宋体"/>
                <w:color w:val="auto"/>
                <w:sz w:val="24"/>
                <w:szCs w:val="24"/>
                <w:highlight w:val="none"/>
              </w:rPr>
            </w:pPr>
          </w:p>
          <w:p w14:paraId="1BAC3CB4">
            <w:pPr>
              <w:spacing w:line="400" w:lineRule="atLeast"/>
              <w:rPr>
                <w:rFonts w:hint="eastAsia" w:ascii="宋体" w:hAnsi="宋体" w:eastAsia="宋体" w:cs="宋体"/>
                <w:color w:val="auto"/>
                <w:sz w:val="24"/>
                <w:szCs w:val="24"/>
                <w:highlight w:val="none"/>
              </w:rPr>
            </w:pPr>
          </w:p>
        </w:tc>
        <w:tc>
          <w:tcPr>
            <w:tcW w:w="1228" w:type="dxa"/>
            <w:noWrap w:val="0"/>
            <w:vAlign w:val="top"/>
          </w:tcPr>
          <w:p w14:paraId="726BF5D9">
            <w:pPr>
              <w:spacing w:line="400" w:lineRule="atLeast"/>
              <w:rPr>
                <w:rFonts w:hint="eastAsia" w:ascii="宋体" w:hAnsi="宋体" w:eastAsia="宋体" w:cs="宋体"/>
                <w:color w:val="auto"/>
                <w:sz w:val="24"/>
                <w:szCs w:val="24"/>
                <w:highlight w:val="none"/>
              </w:rPr>
            </w:pPr>
          </w:p>
        </w:tc>
        <w:tc>
          <w:tcPr>
            <w:tcW w:w="763" w:type="dxa"/>
            <w:noWrap w:val="0"/>
            <w:vAlign w:val="top"/>
          </w:tcPr>
          <w:p w14:paraId="4E59989D">
            <w:pPr>
              <w:spacing w:line="400" w:lineRule="atLeast"/>
              <w:rPr>
                <w:rFonts w:hint="eastAsia" w:ascii="宋体" w:hAnsi="宋体" w:eastAsia="宋体" w:cs="宋体"/>
                <w:color w:val="auto"/>
                <w:sz w:val="24"/>
                <w:szCs w:val="24"/>
                <w:highlight w:val="none"/>
              </w:rPr>
            </w:pPr>
          </w:p>
        </w:tc>
        <w:tc>
          <w:tcPr>
            <w:tcW w:w="1569" w:type="dxa"/>
            <w:noWrap w:val="0"/>
            <w:vAlign w:val="top"/>
          </w:tcPr>
          <w:p w14:paraId="01CE0CD3">
            <w:pPr>
              <w:spacing w:line="400" w:lineRule="atLeast"/>
              <w:rPr>
                <w:rFonts w:hint="eastAsia" w:ascii="宋体" w:hAnsi="宋体" w:eastAsia="宋体" w:cs="宋体"/>
                <w:color w:val="auto"/>
                <w:sz w:val="24"/>
                <w:szCs w:val="24"/>
                <w:highlight w:val="none"/>
              </w:rPr>
            </w:pPr>
          </w:p>
        </w:tc>
      </w:tr>
      <w:tr w14:paraId="34D2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6C5044EB">
            <w:pPr>
              <w:spacing w:line="400" w:lineRule="atLeast"/>
              <w:rPr>
                <w:rFonts w:hint="eastAsia" w:ascii="宋体" w:hAnsi="宋体" w:eastAsia="宋体" w:cs="宋体"/>
                <w:color w:val="auto"/>
                <w:sz w:val="24"/>
                <w:szCs w:val="24"/>
                <w:highlight w:val="none"/>
              </w:rPr>
            </w:pPr>
          </w:p>
        </w:tc>
        <w:tc>
          <w:tcPr>
            <w:tcW w:w="1609" w:type="dxa"/>
            <w:noWrap w:val="0"/>
            <w:vAlign w:val="top"/>
          </w:tcPr>
          <w:p w14:paraId="283BBA4D">
            <w:pPr>
              <w:spacing w:line="400" w:lineRule="atLeast"/>
              <w:rPr>
                <w:rFonts w:hint="eastAsia" w:ascii="宋体" w:hAnsi="宋体" w:eastAsia="宋体" w:cs="宋体"/>
                <w:color w:val="auto"/>
                <w:sz w:val="24"/>
                <w:szCs w:val="24"/>
                <w:highlight w:val="none"/>
              </w:rPr>
            </w:pPr>
          </w:p>
        </w:tc>
        <w:tc>
          <w:tcPr>
            <w:tcW w:w="2182" w:type="dxa"/>
            <w:noWrap w:val="0"/>
            <w:vAlign w:val="top"/>
          </w:tcPr>
          <w:p w14:paraId="6C9E4802">
            <w:pPr>
              <w:spacing w:line="400" w:lineRule="atLeast"/>
              <w:rPr>
                <w:rFonts w:hint="eastAsia" w:ascii="宋体" w:hAnsi="宋体" w:eastAsia="宋体" w:cs="宋体"/>
                <w:color w:val="auto"/>
                <w:sz w:val="24"/>
                <w:szCs w:val="24"/>
                <w:highlight w:val="none"/>
              </w:rPr>
            </w:pPr>
          </w:p>
        </w:tc>
        <w:tc>
          <w:tcPr>
            <w:tcW w:w="1663" w:type="dxa"/>
            <w:noWrap w:val="0"/>
            <w:vAlign w:val="top"/>
          </w:tcPr>
          <w:p w14:paraId="09346F81">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78AFDD4E">
            <w:pPr>
              <w:spacing w:line="400" w:lineRule="atLeast"/>
              <w:rPr>
                <w:rFonts w:hint="eastAsia" w:ascii="宋体" w:hAnsi="宋体" w:eastAsia="宋体" w:cs="宋体"/>
                <w:color w:val="auto"/>
                <w:sz w:val="24"/>
                <w:szCs w:val="24"/>
                <w:highlight w:val="none"/>
              </w:rPr>
            </w:pPr>
          </w:p>
        </w:tc>
        <w:tc>
          <w:tcPr>
            <w:tcW w:w="763" w:type="dxa"/>
            <w:noWrap w:val="0"/>
            <w:vAlign w:val="top"/>
          </w:tcPr>
          <w:p w14:paraId="4AA8F7C7">
            <w:pPr>
              <w:spacing w:line="400" w:lineRule="atLeast"/>
              <w:rPr>
                <w:rFonts w:hint="eastAsia" w:ascii="宋体" w:hAnsi="宋体" w:eastAsia="宋体" w:cs="宋体"/>
                <w:color w:val="auto"/>
                <w:sz w:val="24"/>
                <w:szCs w:val="24"/>
                <w:highlight w:val="none"/>
              </w:rPr>
            </w:pPr>
          </w:p>
        </w:tc>
        <w:tc>
          <w:tcPr>
            <w:tcW w:w="1569" w:type="dxa"/>
            <w:noWrap w:val="0"/>
            <w:vAlign w:val="top"/>
          </w:tcPr>
          <w:p w14:paraId="2BE05633">
            <w:pPr>
              <w:spacing w:line="400" w:lineRule="atLeast"/>
              <w:rPr>
                <w:rFonts w:hint="eastAsia" w:ascii="宋体" w:hAnsi="宋体" w:eastAsia="宋体" w:cs="宋体"/>
                <w:color w:val="auto"/>
                <w:sz w:val="24"/>
                <w:szCs w:val="24"/>
                <w:highlight w:val="none"/>
              </w:rPr>
            </w:pPr>
          </w:p>
        </w:tc>
      </w:tr>
      <w:tr w14:paraId="1294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06F139A">
            <w:pPr>
              <w:spacing w:line="400" w:lineRule="atLeast"/>
              <w:rPr>
                <w:rFonts w:hint="eastAsia" w:ascii="宋体" w:hAnsi="宋体" w:eastAsia="宋体" w:cs="宋体"/>
                <w:color w:val="auto"/>
                <w:sz w:val="24"/>
                <w:szCs w:val="24"/>
                <w:highlight w:val="none"/>
              </w:rPr>
            </w:pPr>
          </w:p>
        </w:tc>
        <w:tc>
          <w:tcPr>
            <w:tcW w:w="1609" w:type="dxa"/>
            <w:noWrap w:val="0"/>
            <w:vAlign w:val="top"/>
          </w:tcPr>
          <w:p w14:paraId="2307D83B">
            <w:pPr>
              <w:spacing w:line="400" w:lineRule="atLeast"/>
              <w:rPr>
                <w:rFonts w:hint="eastAsia" w:ascii="宋体" w:hAnsi="宋体" w:eastAsia="宋体" w:cs="宋体"/>
                <w:color w:val="auto"/>
                <w:sz w:val="24"/>
                <w:szCs w:val="24"/>
                <w:highlight w:val="none"/>
              </w:rPr>
            </w:pPr>
          </w:p>
        </w:tc>
        <w:tc>
          <w:tcPr>
            <w:tcW w:w="2182" w:type="dxa"/>
            <w:noWrap w:val="0"/>
            <w:vAlign w:val="top"/>
          </w:tcPr>
          <w:p w14:paraId="79A3C77C">
            <w:pPr>
              <w:spacing w:line="400" w:lineRule="atLeast"/>
              <w:rPr>
                <w:rFonts w:hint="eastAsia" w:ascii="宋体" w:hAnsi="宋体" w:eastAsia="宋体" w:cs="宋体"/>
                <w:color w:val="auto"/>
                <w:sz w:val="24"/>
                <w:szCs w:val="24"/>
                <w:highlight w:val="none"/>
              </w:rPr>
            </w:pPr>
          </w:p>
        </w:tc>
        <w:tc>
          <w:tcPr>
            <w:tcW w:w="1663" w:type="dxa"/>
            <w:noWrap w:val="0"/>
            <w:vAlign w:val="top"/>
          </w:tcPr>
          <w:p w14:paraId="6CC914D8">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4E0F903A">
            <w:pPr>
              <w:spacing w:line="400" w:lineRule="atLeast"/>
              <w:rPr>
                <w:rFonts w:hint="eastAsia" w:ascii="宋体" w:hAnsi="宋体" w:eastAsia="宋体" w:cs="宋体"/>
                <w:color w:val="auto"/>
                <w:sz w:val="24"/>
                <w:szCs w:val="24"/>
                <w:highlight w:val="none"/>
              </w:rPr>
            </w:pPr>
          </w:p>
        </w:tc>
        <w:tc>
          <w:tcPr>
            <w:tcW w:w="763" w:type="dxa"/>
            <w:noWrap w:val="0"/>
            <w:vAlign w:val="top"/>
          </w:tcPr>
          <w:p w14:paraId="3236DC5A">
            <w:pPr>
              <w:spacing w:line="400" w:lineRule="atLeast"/>
              <w:rPr>
                <w:rFonts w:hint="eastAsia" w:ascii="宋体" w:hAnsi="宋体" w:eastAsia="宋体" w:cs="宋体"/>
                <w:color w:val="auto"/>
                <w:sz w:val="24"/>
                <w:szCs w:val="24"/>
                <w:highlight w:val="none"/>
              </w:rPr>
            </w:pPr>
          </w:p>
        </w:tc>
        <w:tc>
          <w:tcPr>
            <w:tcW w:w="1569" w:type="dxa"/>
            <w:noWrap w:val="0"/>
            <w:vAlign w:val="top"/>
          </w:tcPr>
          <w:p w14:paraId="1D950DC2">
            <w:pPr>
              <w:spacing w:line="400" w:lineRule="atLeast"/>
              <w:rPr>
                <w:rFonts w:hint="eastAsia" w:ascii="宋体" w:hAnsi="宋体" w:eastAsia="宋体" w:cs="宋体"/>
                <w:color w:val="auto"/>
                <w:sz w:val="24"/>
                <w:szCs w:val="24"/>
                <w:highlight w:val="none"/>
              </w:rPr>
            </w:pPr>
          </w:p>
        </w:tc>
      </w:tr>
    </w:tbl>
    <w:p w14:paraId="185D89A5">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Style w:val="27"/>
          <w:rFonts w:hint="eastAsia" w:ascii="宋体" w:hAnsi="宋体" w:eastAsia="宋体" w:cs="宋体"/>
          <w:b w:val="0"/>
          <w:bCs/>
          <w:color w:val="auto"/>
          <w:kern w:val="2"/>
          <w:sz w:val="24"/>
          <w:szCs w:val="24"/>
          <w:highlight w:val="none"/>
          <w:u w:val="none"/>
          <w:lang w:val="en-US" w:eastAsia="zh-CN" w:bidi="ar-SA"/>
        </w:rPr>
        <w:t>要求</w:t>
      </w:r>
      <w:r>
        <w:rPr>
          <w:rFonts w:hint="eastAsia" w:ascii="宋体" w:hAnsi="宋体" w:eastAsia="宋体" w:cs="宋体"/>
          <w:color w:val="auto"/>
          <w:sz w:val="24"/>
          <w:szCs w:val="24"/>
          <w:highlight w:val="none"/>
        </w:rPr>
        <w:t>逐条对应填写。</w:t>
      </w:r>
    </w:p>
    <w:p w14:paraId="3D3A4AB6">
      <w:pPr>
        <w:spacing w:line="400" w:lineRule="atLeast"/>
        <w:rPr>
          <w:rFonts w:hint="eastAsia" w:ascii="宋体" w:hAnsi="宋体" w:eastAsia="宋体" w:cs="宋体"/>
          <w:color w:val="auto"/>
          <w:sz w:val="24"/>
          <w:szCs w:val="24"/>
          <w:highlight w:val="none"/>
        </w:rPr>
      </w:pPr>
    </w:p>
    <w:p w14:paraId="17B306E5">
      <w:pPr>
        <w:spacing w:line="440" w:lineRule="exact"/>
        <w:rPr>
          <w:rFonts w:hint="eastAsia" w:ascii="宋体" w:hAnsi="宋体" w:eastAsia="宋体" w:cs="宋体"/>
          <w:color w:val="auto"/>
          <w:sz w:val="24"/>
          <w:szCs w:val="24"/>
          <w:highlight w:val="none"/>
          <w:u w:val="single"/>
          <w:lang w:val="en-US" w:eastAsia="zh-CN"/>
        </w:rPr>
      </w:pPr>
      <w:bookmarkStart w:id="151" w:name="_Toc4889"/>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BAE70AB">
      <w:pPr>
        <w:spacing w:line="440" w:lineRule="exact"/>
        <w:rPr>
          <w:rFonts w:hint="eastAsia"/>
          <w:color w:val="auto"/>
          <w:highlight w:val="none"/>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002FCAE5">
      <w:pPr>
        <w:pStyle w:val="14"/>
        <w:rPr>
          <w:rFonts w:hint="eastAsia" w:ascii="宋体" w:hAnsi="宋体" w:eastAsia="宋体" w:cs="宋体"/>
          <w:color w:val="auto"/>
          <w:sz w:val="24"/>
          <w:szCs w:val="24"/>
          <w:highlight w:val="none"/>
          <w:u w:val="single"/>
          <w:lang w:val="en-US" w:eastAsia="zh-CN"/>
        </w:rPr>
      </w:pPr>
    </w:p>
    <w:p w14:paraId="5A7C3F34">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商务条款偏离表</w:t>
      </w:r>
      <w:bookmarkEnd w:id="151"/>
    </w:p>
    <w:p w14:paraId="133C157B">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944"/>
        <w:gridCol w:w="2705"/>
        <w:gridCol w:w="3303"/>
        <w:gridCol w:w="1297"/>
      </w:tblGrid>
      <w:tr w14:paraId="43FB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9" w:type="dxa"/>
            <w:noWrap w:val="0"/>
            <w:vAlign w:val="center"/>
          </w:tcPr>
          <w:p w14:paraId="7AA9B42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noWrap w:val="0"/>
            <w:vAlign w:val="center"/>
          </w:tcPr>
          <w:p w14:paraId="19026D42">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招标文件</w:t>
            </w:r>
          </w:p>
          <w:p w14:paraId="0E6A23CF">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705" w:type="dxa"/>
            <w:noWrap w:val="0"/>
            <w:vAlign w:val="center"/>
          </w:tcPr>
          <w:p w14:paraId="3A66AB21">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的商务条款</w:t>
            </w:r>
          </w:p>
        </w:tc>
        <w:tc>
          <w:tcPr>
            <w:tcW w:w="3303" w:type="dxa"/>
            <w:noWrap w:val="0"/>
            <w:vAlign w:val="center"/>
          </w:tcPr>
          <w:p w14:paraId="2D63F8D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的商务条款</w:t>
            </w:r>
          </w:p>
        </w:tc>
        <w:tc>
          <w:tcPr>
            <w:tcW w:w="1297" w:type="dxa"/>
            <w:noWrap w:val="0"/>
            <w:vAlign w:val="center"/>
          </w:tcPr>
          <w:p w14:paraId="207E10B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FE5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9737EC4">
            <w:pPr>
              <w:spacing w:line="400" w:lineRule="atLeast"/>
              <w:rPr>
                <w:rFonts w:hint="eastAsia" w:ascii="宋体" w:hAnsi="宋体" w:eastAsia="宋体" w:cs="宋体"/>
                <w:color w:val="auto"/>
                <w:sz w:val="24"/>
                <w:szCs w:val="24"/>
                <w:highlight w:val="none"/>
              </w:rPr>
            </w:pPr>
          </w:p>
          <w:p w14:paraId="354D3C09">
            <w:pPr>
              <w:spacing w:line="400" w:lineRule="atLeast"/>
              <w:rPr>
                <w:rFonts w:hint="eastAsia" w:ascii="宋体" w:hAnsi="宋体" w:eastAsia="宋体" w:cs="宋体"/>
                <w:color w:val="auto"/>
                <w:sz w:val="24"/>
                <w:szCs w:val="24"/>
                <w:highlight w:val="none"/>
              </w:rPr>
            </w:pPr>
          </w:p>
        </w:tc>
        <w:tc>
          <w:tcPr>
            <w:tcW w:w="1944" w:type="dxa"/>
            <w:noWrap w:val="0"/>
            <w:vAlign w:val="top"/>
          </w:tcPr>
          <w:p w14:paraId="3A833802">
            <w:pPr>
              <w:widowControl/>
              <w:spacing w:line="400" w:lineRule="atLeast"/>
              <w:jc w:val="left"/>
              <w:rPr>
                <w:rFonts w:hint="eastAsia" w:ascii="宋体" w:hAnsi="宋体" w:eastAsia="宋体" w:cs="宋体"/>
                <w:color w:val="auto"/>
                <w:sz w:val="24"/>
                <w:szCs w:val="24"/>
                <w:highlight w:val="none"/>
              </w:rPr>
            </w:pPr>
          </w:p>
          <w:p w14:paraId="4050E952">
            <w:pPr>
              <w:spacing w:line="400" w:lineRule="atLeast"/>
              <w:rPr>
                <w:rFonts w:hint="eastAsia" w:ascii="宋体" w:hAnsi="宋体" w:eastAsia="宋体" w:cs="宋体"/>
                <w:color w:val="auto"/>
                <w:sz w:val="24"/>
                <w:szCs w:val="24"/>
                <w:highlight w:val="none"/>
              </w:rPr>
            </w:pPr>
          </w:p>
        </w:tc>
        <w:tc>
          <w:tcPr>
            <w:tcW w:w="2705" w:type="dxa"/>
            <w:noWrap w:val="0"/>
            <w:vAlign w:val="top"/>
          </w:tcPr>
          <w:p w14:paraId="35F6DF2D">
            <w:pPr>
              <w:spacing w:line="400" w:lineRule="atLeast"/>
              <w:rPr>
                <w:rFonts w:hint="eastAsia" w:ascii="宋体" w:hAnsi="宋体" w:eastAsia="宋体" w:cs="宋体"/>
                <w:color w:val="auto"/>
                <w:sz w:val="24"/>
                <w:szCs w:val="24"/>
                <w:highlight w:val="none"/>
              </w:rPr>
            </w:pPr>
          </w:p>
        </w:tc>
        <w:tc>
          <w:tcPr>
            <w:tcW w:w="3303" w:type="dxa"/>
            <w:noWrap w:val="0"/>
            <w:vAlign w:val="top"/>
          </w:tcPr>
          <w:p w14:paraId="0F2B1F1E">
            <w:pPr>
              <w:spacing w:line="400" w:lineRule="atLeast"/>
              <w:rPr>
                <w:rFonts w:hint="eastAsia" w:ascii="宋体" w:hAnsi="宋体" w:eastAsia="宋体" w:cs="宋体"/>
                <w:color w:val="auto"/>
                <w:sz w:val="24"/>
                <w:szCs w:val="24"/>
                <w:highlight w:val="none"/>
              </w:rPr>
            </w:pPr>
          </w:p>
        </w:tc>
        <w:tc>
          <w:tcPr>
            <w:tcW w:w="1297" w:type="dxa"/>
            <w:noWrap w:val="0"/>
            <w:vAlign w:val="top"/>
          </w:tcPr>
          <w:p w14:paraId="098D75BE">
            <w:pPr>
              <w:spacing w:line="400" w:lineRule="atLeast"/>
              <w:rPr>
                <w:rFonts w:hint="eastAsia" w:ascii="宋体" w:hAnsi="宋体" w:eastAsia="宋体" w:cs="宋体"/>
                <w:color w:val="auto"/>
                <w:sz w:val="24"/>
                <w:szCs w:val="24"/>
                <w:highlight w:val="none"/>
              </w:rPr>
            </w:pPr>
          </w:p>
        </w:tc>
      </w:tr>
      <w:tr w14:paraId="1AFA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2A12899">
            <w:pPr>
              <w:spacing w:line="400" w:lineRule="atLeast"/>
              <w:rPr>
                <w:rFonts w:hint="eastAsia" w:ascii="宋体" w:hAnsi="宋体" w:eastAsia="宋体" w:cs="宋体"/>
                <w:color w:val="auto"/>
                <w:sz w:val="24"/>
                <w:szCs w:val="24"/>
                <w:highlight w:val="none"/>
              </w:rPr>
            </w:pPr>
          </w:p>
          <w:p w14:paraId="2369FE5D">
            <w:pPr>
              <w:spacing w:line="400" w:lineRule="atLeast"/>
              <w:rPr>
                <w:rFonts w:hint="eastAsia" w:ascii="宋体" w:hAnsi="宋体" w:eastAsia="宋体" w:cs="宋体"/>
                <w:color w:val="auto"/>
                <w:sz w:val="24"/>
                <w:szCs w:val="24"/>
                <w:highlight w:val="none"/>
              </w:rPr>
            </w:pPr>
          </w:p>
        </w:tc>
        <w:tc>
          <w:tcPr>
            <w:tcW w:w="1944" w:type="dxa"/>
            <w:noWrap w:val="0"/>
            <w:vAlign w:val="top"/>
          </w:tcPr>
          <w:p w14:paraId="69040569">
            <w:pPr>
              <w:widowControl/>
              <w:spacing w:line="400" w:lineRule="atLeast"/>
              <w:jc w:val="left"/>
              <w:rPr>
                <w:rFonts w:hint="eastAsia" w:ascii="宋体" w:hAnsi="宋体" w:eastAsia="宋体" w:cs="宋体"/>
                <w:color w:val="auto"/>
                <w:sz w:val="24"/>
                <w:szCs w:val="24"/>
                <w:highlight w:val="none"/>
              </w:rPr>
            </w:pPr>
          </w:p>
          <w:p w14:paraId="7F83EA8D">
            <w:pPr>
              <w:spacing w:line="400" w:lineRule="atLeast"/>
              <w:rPr>
                <w:rFonts w:hint="eastAsia" w:ascii="宋体" w:hAnsi="宋体" w:eastAsia="宋体" w:cs="宋体"/>
                <w:color w:val="auto"/>
                <w:sz w:val="24"/>
                <w:szCs w:val="24"/>
                <w:highlight w:val="none"/>
              </w:rPr>
            </w:pPr>
          </w:p>
        </w:tc>
        <w:tc>
          <w:tcPr>
            <w:tcW w:w="2705" w:type="dxa"/>
            <w:noWrap w:val="0"/>
            <w:vAlign w:val="top"/>
          </w:tcPr>
          <w:p w14:paraId="0E438452">
            <w:pPr>
              <w:spacing w:line="400" w:lineRule="atLeast"/>
              <w:rPr>
                <w:rFonts w:hint="eastAsia" w:ascii="宋体" w:hAnsi="宋体" w:eastAsia="宋体" w:cs="宋体"/>
                <w:color w:val="auto"/>
                <w:sz w:val="24"/>
                <w:szCs w:val="24"/>
                <w:highlight w:val="none"/>
              </w:rPr>
            </w:pPr>
          </w:p>
        </w:tc>
        <w:tc>
          <w:tcPr>
            <w:tcW w:w="3303" w:type="dxa"/>
            <w:noWrap w:val="0"/>
            <w:vAlign w:val="top"/>
          </w:tcPr>
          <w:p w14:paraId="66E782E2">
            <w:pPr>
              <w:spacing w:line="400" w:lineRule="atLeast"/>
              <w:rPr>
                <w:rFonts w:hint="eastAsia" w:ascii="宋体" w:hAnsi="宋体" w:eastAsia="宋体" w:cs="宋体"/>
                <w:color w:val="auto"/>
                <w:sz w:val="24"/>
                <w:szCs w:val="24"/>
                <w:highlight w:val="none"/>
              </w:rPr>
            </w:pPr>
          </w:p>
        </w:tc>
        <w:tc>
          <w:tcPr>
            <w:tcW w:w="1297" w:type="dxa"/>
            <w:noWrap w:val="0"/>
            <w:vAlign w:val="top"/>
          </w:tcPr>
          <w:p w14:paraId="161ADD51">
            <w:pPr>
              <w:spacing w:line="400" w:lineRule="atLeast"/>
              <w:rPr>
                <w:rFonts w:hint="eastAsia" w:ascii="宋体" w:hAnsi="宋体" w:eastAsia="宋体" w:cs="宋体"/>
                <w:color w:val="auto"/>
                <w:sz w:val="24"/>
                <w:szCs w:val="24"/>
                <w:highlight w:val="none"/>
              </w:rPr>
            </w:pPr>
          </w:p>
        </w:tc>
      </w:tr>
      <w:tr w14:paraId="3B0B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1DF1766">
            <w:pPr>
              <w:spacing w:line="400" w:lineRule="atLeast"/>
              <w:rPr>
                <w:rFonts w:hint="eastAsia" w:ascii="宋体" w:hAnsi="宋体" w:eastAsia="宋体" w:cs="宋体"/>
                <w:color w:val="auto"/>
                <w:sz w:val="24"/>
                <w:szCs w:val="24"/>
                <w:highlight w:val="none"/>
              </w:rPr>
            </w:pPr>
          </w:p>
          <w:p w14:paraId="46B8C7C0">
            <w:pPr>
              <w:spacing w:line="400" w:lineRule="atLeast"/>
              <w:rPr>
                <w:rFonts w:hint="eastAsia" w:ascii="宋体" w:hAnsi="宋体" w:eastAsia="宋体" w:cs="宋体"/>
                <w:color w:val="auto"/>
                <w:sz w:val="24"/>
                <w:szCs w:val="24"/>
                <w:highlight w:val="none"/>
              </w:rPr>
            </w:pPr>
          </w:p>
        </w:tc>
        <w:tc>
          <w:tcPr>
            <w:tcW w:w="1944" w:type="dxa"/>
            <w:noWrap w:val="0"/>
            <w:vAlign w:val="top"/>
          </w:tcPr>
          <w:p w14:paraId="7A63A5D9">
            <w:pPr>
              <w:widowControl/>
              <w:spacing w:line="400" w:lineRule="atLeast"/>
              <w:jc w:val="left"/>
              <w:rPr>
                <w:rFonts w:hint="eastAsia" w:ascii="宋体" w:hAnsi="宋体" w:eastAsia="宋体" w:cs="宋体"/>
                <w:color w:val="auto"/>
                <w:sz w:val="24"/>
                <w:szCs w:val="24"/>
                <w:highlight w:val="none"/>
              </w:rPr>
            </w:pPr>
          </w:p>
          <w:p w14:paraId="799CE7B2">
            <w:pPr>
              <w:spacing w:line="400" w:lineRule="atLeast"/>
              <w:rPr>
                <w:rFonts w:hint="eastAsia" w:ascii="宋体" w:hAnsi="宋体" w:eastAsia="宋体" w:cs="宋体"/>
                <w:color w:val="auto"/>
                <w:sz w:val="24"/>
                <w:szCs w:val="24"/>
                <w:highlight w:val="none"/>
              </w:rPr>
            </w:pPr>
          </w:p>
        </w:tc>
        <w:tc>
          <w:tcPr>
            <w:tcW w:w="2705" w:type="dxa"/>
            <w:noWrap w:val="0"/>
            <w:vAlign w:val="top"/>
          </w:tcPr>
          <w:p w14:paraId="7D28D7FB">
            <w:pPr>
              <w:spacing w:line="400" w:lineRule="atLeast"/>
              <w:rPr>
                <w:rFonts w:hint="eastAsia" w:ascii="宋体" w:hAnsi="宋体" w:eastAsia="宋体" w:cs="宋体"/>
                <w:color w:val="auto"/>
                <w:sz w:val="24"/>
                <w:szCs w:val="24"/>
                <w:highlight w:val="none"/>
              </w:rPr>
            </w:pPr>
          </w:p>
        </w:tc>
        <w:tc>
          <w:tcPr>
            <w:tcW w:w="3303" w:type="dxa"/>
            <w:noWrap w:val="0"/>
            <w:vAlign w:val="top"/>
          </w:tcPr>
          <w:p w14:paraId="0958F29D">
            <w:pPr>
              <w:spacing w:line="400" w:lineRule="atLeast"/>
              <w:rPr>
                <w:rFonts w:hint="eastAsia" w:ascii="宋体" w:hAnsi="宋体" w:eastAsia="宋体" w:cs="宋体"/>
                <w:color w:val="auto"/>
                <w:sz w:val="24"/>
                <w:szCs w:val="24"/>
                <w:highlight w:val="none"/>
              </w:rPr>
            </w:pPr>
          </w:p>
        </w:tc>
        <w:tc>
          <w:tcPr>
            <w:tcW w:w="1297" w:type="dxa"/>
            <w:noWrap w:val="0"/>
            <w:vAlign w:val="top"/>
          </w:tcPr>
          <w:p w14:paraId="41E78D9D">
            <w:pPr>
              <w:spacing w:line="400" w:lineRule="atLeast"/>
              <w:rPr>
                <w:rFonts w:hint="eastAsia" w:ascii="宋体" w:hAnsi="宋体" w:eastAsia="宋体" w:cs="宋体"/>
                <w:color w:val="auto"/>
                <w:sz w:val="24"/>
                <w:szCs w:val="24"/>
                <w:highlight w:val="none"/>
              </w:rPr>
            </w:pPr>
          </w:p>
        </w:tc>
      </w:tr>
      <w:tr w14:paraId="5D83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1F412EE">
            <w:pPr>
              <w:spacing w:line="400" w:lineRule="atLeast"/>
              <w:rPr>
                <w:rFonts w:hint="eastAsia" w:ascii="宋体" w:hAnsi="宋体" w:eastAsia="宋体" w:cs="宋体"/>
                <w:color w:val="auto"/>
                <w:sz w:val="24"/>
                <w:szCs w:val="24"/>
                <w:highlight w:val="none"/>
              </w:rPr>
            </w:pPr>
          </w:p>
          <w:p w14:paraId="453F2D0E">
            <w:pPr>
              <w:spacing w:line="400" w:lineRule="atLeast"/>
              <w:rPr>
                <w:rFonts w:hint="eastAsia" w:ascii="宋体" w:hAnsi="宋体" w:eastAsia="宋体" w:cs="宋体"/>
                <w:color w:val="auto"/>
                <w:sz w:val="24"/>
                <w:szCs w:val="24"/>
                <w:highlight w:val="none"/>
              </w:rPr>
            </w:pPr>
          </w:p>
        </w:tc>
        <w:tc>
          <w:tcPr>
            <w:tcW w:w="1944" w:type="dxa"/>
            <w:noWrap w:val="0"/>
            <w:vAlign w:val="top"/>
          </w:tcPr>
          <w:p w14:paraId="028671EC">
            <w:pPr>
              <w:widowControl/>
              <w:spacing w:line="400" w:lineRule="atLeast"/>
              <w:jc w:val="left"/>
              <w:rPr>
                <w:rFonts w:hint="eastAsia" w:ascii="宋体" w:hAnsi="宋体" w:eastAsia="宋体" w:cs="宋体"/>
                <w:color w:val="auto"/>
                <w:sz w:val="24"/>
                <w:szCs w:val="24"/>
                <w:highlight w:val="none"/>
              </w:rPr>
            </w:pPr>
          </w:p>
          <w:p w14:paraId="2B515B6C">
            <w:pPr>
              <w:spacing w:line="400" w:lineRule="atLeast"/>
              <w:rPr>
                <w:rFonts w:hint="eastAsia" w:ascii="宋体" w:hAnsi="宋体" w:eastAsia="宋体" w:cs="宋体"/>
                <w:color w:val="auto"/>
                <w:sz w:val="24"/>
                <w:szCs w:val="24"/>
                <w:highlight w:val="none"/>
              </w:rPr>
            </w:pPr>
          </w:p>
        </w:tc>
        <w:tc>
          <w:tcPr>
            <w:tcW w:w="2705" w:type="dxa"/>
            <w:noWrap w:val="0"/>
            <w:vAlign w:val="top"/>
          </w:tcPr>
          <w:p w14:paraId="304802BA">
            <w:pPr>
              <w:spacing w:line="400" w:lineRule="atLeast"/>
              <w:rPr>
                <w:rFonts w:hint="eastAsia" w:ascii="宋体" w:hAnsi="宋体" w:eastAsia="宋体" w:cs="宋体"/>
                <w:color w:val="auto"/>
                <w:sz w:val="24"/>
                <w:szCs w:val="24"/>
                <w:highlight w:val="none"/>
              </w:rPr>
            </w:pPr>
          </w:p>
        </w:tc>
        <w:tc>
          <w:tcPr>
            <w:tcW w:w="3303" w:type="dxa"/>
            <w:noWrap w:val="0"/>
            <w:vAlign w:val="top"/>
          </w:tcPr>
          <w:p w14:paraId="46B92126">
            <w:pPr>
              <w:spacing w:line="400" w:lineRule="atLeast"/>
              <w:rPr>
                <w:rFonts w:hint="eastAsia" w:ascii="宋体" w:hAnsi="宋体" w:eastAsia="宋体" w:cs="宋体"/>
                <w:color w:val="auto"/>
                <w:sz w:val="24"/>
                <w:szCs w:val="24"/>
                <w:highlight w:val="none"/>
              </w:rPr>
            </w:pPr>
          </w:p>
        </w:tc>
        <w:tc>
          <w:tcPr>
            <w:tcW w:w="1297" w:type="dxa"/>
            <w:noWrap w:val="0"/>
            <w:vAlign w:val="top"/>
          </w:tcPr>
          <w:p w14:paraId="5FFF05F7">
            <w:pPr>
              <w:spacing w:line="400" w:lineRule="atLeast"/>
              <w:rPr>
                <w:rFonts w:hint="eastAsia" w:ascii="宋体" w:hAnsi="宋体" w:eastAsia="宋体" w:cs="宋体"/>
                <w:color w:val="auto"/>
                <w:sz w:val="24"/>
                <w:szCs w:val="24"/>
                <w:highlight w:val="none"/>
              </w:rPr>
            </w:pPr>
          </w:p>
        </w:tc>
      </w:tr>
      <w:tr w14:paraId="2C41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013EA1E9">
            <w:pPr>
              <w:spacing w:line="400" w:lineRule="atLeast"/>
              <w:rPr>
                <w:rFonts w:hint="eastAsia" w:ascii="宋体" w:hAnsi="宋体" w:eastAsia="宋体" w:cs="宋体"/>
                <w:color w:val="auto"/>
                <w:sz w:val="24"/>
                <w:szCs w:val="24"/>
                <w:highlight w:val="none"/>
              </w:rPr>
            </w:pPr>
          </w:p>
          <w:p w14:paraId="637C3CD6">
            <w:pPr>
              <w:spacing w:line="400" w:lineRule="atLeast"/>
              <w:rPr>
                <w:rFonts w:hint="eastAsia" w:ascii="宋体" w:hAnsi="宋体" w:eastAsia="宋体" w:cs="宋体"/>
                <w:color w:val="auto"/>
                <w:sz w:val="24"/>
                <w:szCs w:val="24"/>
                <w:highlight w:val="none"/>
              </w:rPr>
            </w:pPr>
          </w:p>
        </w:tc>
        <w:tc>
          <w:tcPr>
            <w:tcW w:w="1944" w:type="dxa"/>
            <w:noWrap w:val="0"/>
            <w:vAlign w:val="top"/>
          </w:tcPr>
          <w:p w14:paraId="772CB4D5">
            <w:pPr>
              <w:widowControl/>
              <w:spacing w:line="400" w:lineRule="atLeast"/>
              <w:jc w:val="left"/>
              <w:rPr>
                <w:rFonts w:hint="eastAsia" w:ascii="宋体" w:hAnsi="宋体" w:eastAsia="宋体" w:cs="宋体"/>
                <w:color w:val="auto"/>
                <w:sz w:val="24"/>
                <w:szCs w:val="24"/>
                <w:highlight w:val="none"/>
              </w:rPr>
            </w:pPr>
          </w:p>
          <w:p w14:paraId="448D4E78">
            <w:pPr>
              <w:spacing w:line="400" w:lineRule="atLeast"/>
              <w:rPr>
                <w:rFonts w:hint="eastAsia" w:ascii="宋体" w:hAnsi="宋体" w:eastAsia="宋体" w:cs="宋体"/>
                <w:color w:val="auto"/>
                <w:sz w:val="24"/>
                <w:szCs w:val="24"/>
                <w:highlight w:val="none"/>
              </w:rPr>
            </w:pPr>
          </w:p>
        </w:tc>
        <w:tc>
          <w:tcPr>
            <w:tcW w:w="2705" w:type="dxa"/>
            <w:noWrap w:val="0"/>
            <w:vAlign w:val="top"/>
          </w:tcPr>
          <w:p w14:paraId="53577D3B">
            <w:pPr>
              <w:spacing w:line="400" w:lineRule="atLeast"/>
              <w:rPr>
                <w:rFonts w:hint="eastAsia" w:ascii="宋体" w:hAnsi="宋体" w:eastAsia="宋体" w:cs="宋体"/>
                <w:color w:val="auto"/>
                <w:sz w:val="24"/>
                <w:szCs w:val="24"/>
                <w:highlight w:val="none"/>
              </w:rPr>
            </w:pPr>
          </w:p>
        </w:tc>
        <w:tc>
          <w:tcPr>
            <w:tcW w:w="3303" w:type="dxa"/>
            <w:noWrap w:val="0"/>
            <w:vAlign w:val="top"/>
          </w:tcPr>
          <w:p w14:paraId="2C8F635C">
            <w:pPr>
              <w:spacing w:line="400" w:lineRule="atLeast"/>
              <w:rPr>
                <w:rFonts w:hint="eastAsia" w:ascii="宋体" w:hAnsi="宋体" w:eastAsia="宋体" w:cs="宋体"/>
                <w:color w:val="auto"/>
                <w:sz w:val="24"/>
                <w:szCs w:val="24"/>
                <w:highlight w:val="none"/>
              </w:rPr>
            </w:pPr>
          </w:p>
        </w:tc>
        <w:tc>
          <w:tcPr>
            <w:tcW w:w="1297" w:type="dxa"/>
            <w:noWrap w:val="0"/>
            <w:vAlign w:val="top"/>
          </w:tcPr>
          <w:p w14:paraId="56FC38EB">
            <w:pPr>
              <w:spacing w:line="400" w:lineRule="atLeast"/>
              <w:rPr>
                <w:rFonts w:hint="eastAsia" w:ascii="宋体" w:hAnsi="宋体" w:eastAsia="宋体" w:cs="宋体"/>
                <w:color w:val="auto"/>
                <w:sz w:val="24"/>
                <w:szCs w:val="24"/>
                <w:highlight w:val="none"/>
              </w:rPr>
            </w:pPr>
          </w:p>
        </w:tc>
      </w:tr>
      <w:tr w14:paraId="1B38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5A7F68B">
            <w:pPr>
              <w:spacing w:line="400" w:lineRule="atLeast"/>
              <w:rPr>
                <w:rFonts w:hint="eastAsia" w:ascii="宋体" w:hAnsi="宋体" w:eastAsia="宋体" w:cs="宋体"/>
                <w:color w:val="auto"/>
                <w:sz w:val="24"/>
                <w:szCs w:val="24"/>
                <w:highlight w:val="none"/>
              </w:rPr>
            </w:pPr>
          </w:p>
          <w:p w14:paraId="3FCC4E14">
            <w:pPr>
              <w:spacing w:line="400" w:lineRule="atLeast"/>
              <w:rPr>
                <w:rFonts w:hint="eastAsia" w:ascii="宋体" w:hAnsi="宋体" w:eastAsia="宋体" w:cs="宋体"/>
                <w:color w:val="auto"/>
                <w:sz w:val="24"/>
                <w:szCs w:val="24"/>
                <w:highlight w:val="none"/>
              </w:rPr>
            </w:pPr>
          </w:p>
        </w:tc>
        <w:tc>
          <w:tcPr>
            <w:tcW w:w="1944" w:type="dxa"/>
            <w:noWrap w:val="0"/>
            <w:vAlign w:val="top"/>
          </w:tcPr>
          <w:p w14:paraId="2C9DD374">
            <w:pPr>
              <w:widowControl/>
              <w:spacing w:line="400" w:lineRule="atLeast"/>
              <w:jc w:val="left"/>
              <w:rPr>
                <w:rFonts w:hint="eastAsia" w:ascii="宋体" w:hAnsi="宋体" w:eastAsia="宋体" w:cs="宋体"/>
                <w:color w:val="auto"/>
                <w:sz w:val="24"/>
                <w:szCs w:val="24"/>
                <w:highlight w:val="none"/>
              </w:rPr>
            </w:pPr>
          </w:p>
          <w:p w14:paraId="4B59363C">
            <w:pPr>
              <w:spacing w:line="400" w:lineRule="atLeast"/>
              <w:rPr>
                <w:rFonts w:hint="eastAsia" w:ascii="宋体" w:hAnsi="宋体" w:eastAsia="宋体" w:cs="宋体"/>
                <w:color w:val="auto"/>
                <w:sz w:val="24"/>
                <w:szCs w:val="24"/>
                <w:highlight w:val="none"/>
              </w:rPr>
            </w:pPr>
          </w:p>
        </w:tc>
        <w:tc>
          <w:tcPr>
            <w:tcW w:w="2705" w:type="dxa"/>
            <w:noWrap w:val="0"/>
            <w:vAlign w:val="top"/>
          </w:tcPr>
          <w:p w14:paraId="1497540C">
            <w:pPr>
              <w:spacing w:line="400" w:lineRule="atLeast"/>
              <w:rPr>
                <w:rFonts w:hint="eastAsia" w:ascii="宋体" w:hAnsi="宋体" w:eastAsia="宋体" w:cs="宋体"/>
                <w:color w:val="auto"/>
                <w:sz w:val="24"/>
                <w:szCs w:val="24"/>
                <w:highlight w:val="none"/>
              </w:rPr>
            </w:pPr>
          </w:p>
        </w:tc>
        <w:tc>
          <w:tcPr>
            <w:tcW w:w="3303" w:type="dxa"/>
            <w:noWrap w:val="0"/>
            <w:vAlign w:val="top"/>
          </w:tcPr>
          <w:p w14:paraId="46A62FE6">
            <w:pPr>
              <w:spacing w:line="400" w:lineRule="atLeast"/>
              <w:rPr>
                <w:rFonts w:hint="eastAsia" w:ascii="宋体" w:hAnsi="宋体" w:eastAsia="宋体" w:cs="宋体"/>
                <w:color w:val="auto"/>
                <w:sz w:val="24"/>
                <w:szCs w:val="24"/>
                <w:highlight w:val="none"/>
              </w:rPr>
            </w:pPr>
          </w:p>
        </w:tc>
        <w:tc>
          <w:tcPr>
            <w:tcW w:w="1297" w:type="dxa"/>
            <w:noWrap w:val="0"/>
            <w:vAlign w:val="top"/>
          </w:tcPr>
          <w:p w14:paraId="4B0AD997">
            <w:pPr>
              <w:spacing w:line="400" w:lineRule="atLeast"/>
              <w:rPr>
                <w:rFonts w:hint="eastAsia" w:ascii="宋体" w:hAnsi="宋体" w:eastAsia="宋体" w:cs="宋体"/>
                <w:color w:val="auto"/>
                <w:sz w:val="24"/>
                <w:szCs w:val="24"/>
                <w:highlight w:val="none"/>
              </w:rPr>
            </w:pPr>
          </w:p>
        </w:tc>
      </w:tr>
      <w:tr w14:paraId="2E47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40F00DE">
            <w:pPr>
              <w:spacing w:line="400" w:lineRule="atLeast"/>
              <w:rPr>
                <w:rFonts w:hint="eastAsia" w:ascii="宋体" w:hAnsi="宋体" w:eastAsia="宋体" w:cs="宋体"/>
                <w:color w:val="auto"/>
                <w:sz w:val="24"/>
                <w:szCs w:val="24"/>
                <w:highlight w:val="none"/>
              </w:rPr>
            </w:pPr>
          </w:p>
          <w:p w14:paraId="4616AE10">
            <w:pPr>
              <w:spacing w:line="400" w:lineRule="atLeast"/>
              <w:rPr>
                <w:rFonts w:hint="eastAsia" w:ascii="宋体" w:hAnsi="宋体" w:eastAsia="宋体" w:cs="宋体"/>
                <w:color w:val="auto"/>
                <w:sz w:val="24"/>
                <w:szCs w:val="24"/>
                <w:highlight w:val="none"/>
              </w:rPr>
            </w:pPr>
          </w:p>
        </w:tc>
        <w:tc>
          <w:tcPr>
            <w:tcW w:w="1944" w:type="dxa"/>
            <w:noWrap w:val="0"/>
            <w:vAlign w:val="top"/>
          </w:tcPr>
          <w:p w14:paraId="75EB8697">
            <w:pPr>
              <w:widowControl/>
              <w:spacing w:line="400" w:lineRule="atLeast"/>
              <w:jc w:val="left"/>
              <w:rPr>
                <w:rFonts w:hint="eastAsia" w:ascii="宋体" w:hAnsi="宋体" w:eastAsia="宋体" w:cs="宋体"/>
                <w:color w:val="auto"/>
                <w:sz w:val="24"/>
                <w:szCs w:val="24"/>
                <w:highlight w:val="none"/>
              </w:rPr>
            </w:pPr>
          </w:p>
          <w:p w14:paraId="13602FBA">
            <w:pPr>
              <w:spacing w:line="400" w:lineRule="atLeast"/>
              <w:rPr>
                <w:rFonts w:hint="eastAsia" w:ascii="宋体" w:hAnsi="宋体" w:eastAsia="宋体" w:cs="宋体"/>
                <w:color w:val="auto"/>
                <w:sz w:val="24"/>
                <w:szCs w:val="24"/>
                <w:highlight w:val="none"/>
              </w:rPr>
            </w:pPr>
          </w:p>
        </w:tc>
        <w:tc>
          <w:tcPr>
            <w:tcW w:w="2705" w:type="dxa"/>
            <w:noWrap w:val="0"/>
            <w:vAlign w:val="top"/>
          </w:tcPr>
          <w:p w14:paraId="400D3972">
            <w:pPr>
              <w:spacing w:line="400" w:lineRule="atLeast"/>
              <w:rPr>
                <w:rFonts w:hint="eastAsia" w:ascii="宋体" w:hAnsi="宋体" w:eastAsia="宋体" w:cs="宋体"/>
                <w:color w:val="auto"/>
                <w:sz w:val="24"/>
                <w:szCs w:val="24"/>
                <w:highlight w:val="none"/>
              </w:rPr>
            </w:pPr>
          </w:p>
        </w:tc>
        <w:tc>
          <w:tcPr>
            <w:tcW w:w="3303" w:type="dxa"/>
            <w:noWrap w:val="0"/>
            <w:vAlign w:val="top"/>
          </w:tcPr>
          <w:p w14:paraId="75CD97AC">
            <w:pPr>
              <w:spacing w:line="400" w:lineRule="atLeast"/>
              <w:rPr>
                <w:rFonts w:hint="eastAsia" w:ascii="宋体" w:hAnsi="宋体" w:eastAsia="宋体" w:cs="宋体"/>
                <w:color w:val="auto"/>
                <w:sz w:val="24"/>
                <w:szCs w:val="24"/>
                <w:highlight w:val="none"/>
              </w:rPr>
            </w:pPr>
          </w:p>
        </w:tc>
        <w:tc>
          <w:tcPr>
            <w:tcW w:w="1297" w:type="dxa"/>
            <w:noWrap w:val="0"/>
            <w:vAlign w:val="top"/>
          </w:tcPr>
          <w:p w14:paraId="555D1E2E">
            <w:pPr>
              <w:spacing w:line="400" w:lineRule="atLeast"/>
              <w:rPr>
                <w:rFonts w:hint="eastAsia" w:ascii="宋体" w:hAnsi="宋体" w:eastAsia="宋体" w:cs="宋体"/>
                <w:color w:val="auto"/>
                <w:sz w:val="24"/>
                <w:szCs w:val="24"/>
                <w:highlight w:val="none"/>
              </w:rPr>
            </w:pPr>
          </w:p>
        </w:tc>
      </w:tr>
      <w:tr w14:paraId="2184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B05F6DE">
            <w:pPr>
              <w:spacing w:line="400" w:lineRule="atLeast"/>
              <w:rPr>
                <w:rFonts w:hint="eastAsia" w:ascii="宋体" w:hAnsi="宋体" w:eastAsia="宋体" w:cs="宋体"/>
                <w:color w:val="auto"/>
                <w:sz w:val="24"/>
                <w:szCs w:val="24"/>
                <w:highlight w:val="none"/>
              </w:rPr>
            </w:pPr>
          </w:p>
          <w:p w14:paraId="6591AC6C">
            <w:pPr>
              <w:spacing w:line="400" w:lineRule="atLeast"/>
              <w:rPr>
                <w:rFonts w:hint="eastAsia" w:ascii="宋体" w:hAnsi="宋体" w:eastAsia="宋体" w:cs="宋体"/>
                <w:color w:val="auto"/>
                <w:sz w:val="24"/>
                <w:szCs w:val="24"/>
                <w:highlight w:val="none"/>
              </w:rPr>
            </w:pPr>
          </w:p>
        </w:tc>
        <w:tc>
          <w:tcPr>
            <w:tcW w:w="1944" w:type="dxa"/>
            <w:noWrap w:val="0"/>
            <w:vAlign w:val="top"/>
          </w:tcPr>
          <w:p w14:paraId="5ABC1DBF">
            <w:pPr>
              <w:widowControl/>
              <w:spacing w:line="400" w:lineRule="atLeast"/>
              <w:jc w:val="left"/>
              <w:rPr>
                <w:rFonts w:hint="eastAsia" w:ascii="宋体" w:hAnsi="宋体" w:eastAsia="宋体" w:cs="宋体"/>
                <w:color w:val="auto"/>
                <w:sz w:val="24"/>
                <w:szCs w:val="24"/>
                <w:highlight w:val="none"/>
              </w:rPr>
            </w:pPr>
          </w:p>
          <w:p w14:paraId="1E920309">
            <w:pPr>
              <w:spacing w:line="400" w:lineRule="atLeast"/>
              <w:rPr>
                <w:rFonts w:hint="eastAsia" w:ascii="宋体" w:hAnsi="宋体" w:eastAsia="宋体" w:cs="宋体"/>
                <w:color w:val="auto"/>
                <w:sz w:val="24"/>
                <w:szCs w:val="24"/>
                <w:highlight w:val="none"/>
              </w:rPr>
            </w:pPr>
          </w:p>
        </w:tc>
        <w:tc>
          <w:tcPr>
            <w:tcW w:w="2705" w:type="dxa"/>
            <w:noWrap w:val="0"/>
            <w:vAlign w:val="top"/>
          </w:tcPr>
          <w:p w14:paraId="6D3F4FA2">
            <w:pPr>
              <w:spacing w:line="400" w:lineRule="atLeast"/>
              <w:rPr>
                <w:rFonts w:hint="eastAsia" w:ascii="宋体" w:hAnsi="宋体" w:eastAsia="宋体" w:cs="宋体"/>
                <w:color w:val="auto"/>
                <w:sz w:val="24"/>
                <w:szCs w:val="24"/>
                <w:highlight w:val="none"/>
              </w:rPr>
            </w:pPr>
          </w:p>
        </w:tc>
        <w:tc>
          <w:tcPr>
            <w:tcW w:w="3303" w:type="dxa"/>
            <w:noWrap w:val="0"/>
            <w:vAlign w:val="top"/>
          </w:tcPr>
          <w:p w14:paraId="125A4BFB">
            <w:pPr>
              <w:spacing w:line="400" w:lineRule="atLeast"/>
              <w:rPr>
                <w:rFonts w:hint="eastAsia" w:ascii="宋体" w:hAnsi="宋体" w:eastAsia="宋体" w:cs="宋体"/>
                <w:color w:val="auto"/>
                <w:sz w:val="24"/>
                <w:szCs w:val="24"/>
                <w:highlight w:val="none"/>
              </w:rPr>
            </w:pPr>
          </w:p>
        </w:tc>
        <w:tc>
          <w:tcPr>
            <w:tcW w:w="1297" w:type="dxa"/>
            <w:noWrap w:val="0"/>
            <w:vAlign w:val="top"/>
          </w:tcPr>
          <w:p w14:paraId="5D38B06A">
            <w:pPr>
              <w:spacing w:line="400" w:lineRule="atLeast"/>
              <w:rPr>
                <w:rFonts w:hint="eastAsia" w:ascii="宋体" w:hAnsi="宋体" w:eastAsia="宋体" w:cs="宋体"/>
                <w:color w:val="auto"/>
                <w:sz w:val="24"/>
                <w:szCs w:val="24"/>
                <w:highlight w:val="none"/>
              </w:rPr>
            </w:pPr>
          </w:p>
        </w:tc>
      </w:tr>
      <w:tr w14:paraId="157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1C87FA7">
            <w:pPr>
              <w:spacing w:line="400" w:lineRule="atLeast"/>
              <w:rPr>
                <w:rFonts w:hint="eastAsia" w:ascii="宋体" w:hAnsi="宋体" w:eastAsia="宋体" w:cs="宋体"/>
                <w:color w:val="auto"/>
                <w:sz w:val="24"/>
                <w:szCs w:val="24"/>
                <w:highlight w:val="none"/>
              </w:rPr>
            </w:pPr>
          </w:p>
          <w:p w14:paraId="51D6157B">
            <w:pPr>
              <w:spacing w:line="400" w:lineRule="atLeast"/>
              <w:rPr>
                <w:rFonts w:hint="eastAsia" w:ascii="宋体" w:hAnsi="宋体" w:eastAsia="宋体" w:cs="宋体"/>
                <w:color w:val="auto"/>
                <w:sz w:val="24"/>
                <w:szCs w:val="24"/>
                <w:highlight w:val="none"/>
              </w:rPr>
            </w:pPr>
          </w:p>
        </w:tc>
        <w:tc>
          <w:tcPr>
            <w:tcW w:w="1944" w:type="dxa"/>
            <w:noWrap w:val="0"/>
            <w:vAlign w:val="top"/>
          </w:tcPr>
          <w:p w14:paraId="14BE2C31">
            <w:pPr>
              <w:widowControl/>
              <w:spacing w:line="400" w:lineRule="atLeast"/>
              <w:jc w:val="left"/>
              <w:rPr>
                <w:rFonts w:hint="eastAsia" w:ascii="宋体" w:hAnsi="宋体" w:eastAsia="宋体" w:cs="宋体"/>
                <w:color w:val="auto"/>
                <w:sz w:val="24"/>
                <w:szCs w:val="24"/>
                <w:highlight w:val="none"/>
              </w:rPr>
            </w:pPr>
          </w:p>
          <w:p w14:paraId="64C1FD3A">
            <w:pPr>
              <w:spacing w:line="400" w:lineRule="atLeast"/>
              <w:rPr>
                <w:rFonts w:hint="eastAsia" w:ascii="宋体" w:hAnsi="宋体" w:eastAsia="宋体" w:cs="宋体"/>
                <w:color w:val="auto"/>
                <w:sz w:val="24"/>
                <w:szCs w:val="24"/>
                <w:highlight w:val="none"/>
              </w:rPr>
            </w:pPr>
          </w:p>
        </w:tc>
        <w:tc>
          <w:tcPr>
            <w:tcW w:w="2705" w:type="dxa"/>
            <w:noWrap w:val="0"/>
            <w:vAlign w:val="top"/>
          </w:tcPr>
          <w:p w14:paraId="448664E4">
            <w:pPr>
              <w:spacing w:line="400" w:lineRule="atLeast"/>
              <w:rPr>
                <w:rFonts w:hint="eastAsia" w:ascii="宋体" w:hAnsi="宋体" w:eastAsia="宋体" w:cs="宋体"/>
                <w:color w:val="auto"/>
                <w:sz w:val="24"/>
                <w:szCs w:val="24"/>
                <w:highlight w:val="none"/>
              </w:rPr>
            </w:pPr>
          </w:p>
        </w:tc>
        <w:tc>
          <w:tcPr>
            <w:tcW w:w="3303" w:type="dxa"/>
            <w:noWrap w:val="0"/>
            <w:vAlign w:val="top"/>
          </w:tcPr>
          <w:p w14:paraId="743FAA54">
            <w:pPr>
              <w:spacing w:line="400" w:lineRule="atLeast"/>
              <w:rPr>
                <w:rFonts w:hint="eastAsia" w:ascii="宋体" w:hAnsi="宋体" w:eastAsia="宋体" w:cs="宋体"/>
                <w:color w:val="auto"/>
                <w:sz w:val="24"/>
                <w:szCs w:val="24"/>
                <w:highlight w:val="none"/>
              </w:rPr>
            </w:pPr>
          </w:p>
        </w:tc>
        <w:tc>
          <w:tcPr>
            <w:tcW w:w="1297" w:type="dxa"/>
            <w:noWrap w:val="0"/>
            <w:vAlign w:val="top"/>
          </w:tcPr>
          <w:p w14:paraId="716880B6">
            <w:pPr>
              <w:spacing w:line="400" w:lineRule="atLeast"/>
              <w:rPr>
                <w:rFonts w:hint="eastAsia" w:ascii="宋体" w:hAnsi="宋体" w:eastAsia="宋体" w:cs="宋体"/>
                <w:color w:val="auto"/>
                <w:sz w:val="24"/>
                <w:szCs w:val="24"/>
                <w:highlight w:val="none"/>
              </w:rPr>
            </w:pPr>
          </w:p>
        </w:tc>
      </w:tr>
      <w:tr w14:paraId="6EC2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0C10ABF2">
            <w:pPr>
              <w:spacing w:line="400" w:lineRule="atLeast"/>
              <w:rPr>
                <w:rFonts w:hint="eastAsia" w:ascii="宋体" w:hAnsi="宋体" w:eastAsia="宋体" w:cs="宋体"/>
                <w:color w:val="auto"/>
                <w:sz w:val="24"/>
                <w:szCs w:val="24"/>
                <w:highlight w:val="none"/>
              </w:rPr>
            </w:pPr>
          </w:p>
          <w:p w14:paraId="27860865">
            <w:pPr>
              <w:spacing w:line="400" w:lineRule="atLeast"/>
              <w:rPr>
                <w:rFonts w:hint="eastAsia" w:ascii="宋体" w:hAnsi="宋体" w:eastAsia="宋体" w:cs="宋体"/>
                <w:color w:val="auto"/>
                <w:sz w:val="24"/>
                <w:szCs w:val="24"/>
                <w:highlight w:val="none"/>
              </w:rPr>
            </w:pPr>
          </w:p>
        </w:tc>
        <w:tc>
          <w:tcPr>
            <w:tcW w:w="1944" w:type="dxa"/>
            <w:noWrap w:val="0"/>
            <w:vAlign w:val="top"/>
          </w:tcPr>
          <w:p w14:paraId="139604CC">
            <w:pPr>
              <w:widowControl/>
              <w:spacing w:line="400" w:lineRule="atLeast"/>
              <w:jc w:val="left"/>
              <w:rPr>
                <w:rFonts w:hint="eastAsia" w:ascii="宋体" w:hAnsi="宋体" w:eastAsia="宋体" w:cs="宋体"/>
                <w:color w:val="auto"/>
                <w:sz w:val="24"/>
                <w:szCs w:val="24"/>
                <w:highlight w:val="none"/>
              </w:rPr>
            </w:pPr>
          </w:p>
          <w:p w14:paraId="6723CE6B">
            <w:pPr>
              <w:spacing w:line="400" w:lineRule="atLeast"/>
              <w:rPr>
                <w:rFonts w:hint="eastAsia" w:ascii="宋体" w:hAnsi="宋体" w:eastAsia="宋体" w:cs="宋体"/>
                <w:color w:val="auto"/>
                <w:sz w:val="24"/>
                <w:szCs w:val="24"/>
                <w:highlight w:val="none"/>
              </w:rPr>
            </w:pPr>
          </w:p>
        </w:tc>
        <w:tc>
          <w:tcPr>
            <w:tcW w:w="2705" w:type="dxa"/>
            <w:noWrap w:val="0"/>
            <w:vAlign w:val="top"/>
          </w:tcPr>
          <w:p w14:paraId="07116AF5">
            <w:pPr>
              <w:spacing w:line="400" w:lineRule="atLeast"/>
              <w:rPr>
                <w:rFonts w:hint="eastAsia" w:ascii="宋体" w:hAnsi="宋体" w:eastAsia="宋体" w:cs="宋体"/>
                <w:color w:val="auto"/>
                <w:sz w:val="24"/>
                <w:szCs w:val="24"/>
                <w:highlight w:val="none"/>
              </w:rPr>
            </w:pPr>
          </w:p>
        </w:tc>
        <w:tc>
          <w:tcPr>
            <w:tcW w:w="3303" w:type="dxa"/>
            <w:noWrap w:val="0"/>
            <w:vAlign w:val="top"/>
          </w:tcPr>
          <w:p w14:paraId="5CEC35A4">
            <w:pPr>
              <w:spacing w:line="400" w:lineRule="atLeast"/>
              <w:rPr>
                <w:rFonts w:hint="eastAsia" w:ascii="宋体" w:hAnsi="宋体" w:eastAsia="宋体" w:cs="宋体"/>
                <w:color w:val="auto"/>
                <w:sz w:val="24"/>
                <w:szCs w:val="24"/>
                <w:highlight w:val="none"/>
              </w:rPr>
            </w:pPr>
          </w:p>
        </w:tc>
        <w:tc>
          <w:tcPr>
            <w:tcW w:w="1297" w:type="dxa"/>
            <w:noWrap w:val="0"/>
            <w:vAlign w:val="top"/>
          </w:tcPr>
          <w:p w14:paraId="766CB902">
            <w:pPr>
              <w:spacing w:line="400" w:lineRule="atLeast"/>
              <w:rPr>
                <w:rFonts w:hint="eastAsia" w:ascii="宋体" w:hAnsi="宋体" w:eastAsia="宋体" w:cs="宋体"/>
                <w:color w:val="auto"/>
                <w:sz w:val="24"/>
                <w:szCs w:val="24"/>
                <w:highlight w:val="none"/>
              </w:rPr>
            </w:pPr>
          </w:p>
        </w:tc>
      </w:tr>
    </w:tbl>
    <w:p w14:paraId="086EF3DF">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逐条对应填写。</w:t>
      </w:r>
    </w:p>
    <w:p w14:paraId="4ABB9532">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DAF6793">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798973E3">
      <w:pPr>
        <w:pStyle w:val="14"/>
        <w:rPr>
          <w:rFonts w:hint="eastAsia"/>
          <w:color w:val="auto"/>
          <w:highlight w:val="none"/>
          <w:lang w:val="en-US" w:eastAsia="zh-CN"/>
        </w:rPr>
      </w:pPr>
    </w:p>
    <w:p w14:paraId="1113D55D">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759C46DC">
      <w:pPr>
        <w:spacing w:before="166" w:beforeLines="50" w:after="166" w:afterLines="50" w:line="440" w:lineRule="exact"/>
        <w:jc w:val="both"/>
        <w:rPr>
          <w:rFonts w:hint="eastAsia" w:ascii="宋体" w:hAnsi="宋体" w:eastAsia="宋体" w:cs="宋体"/>
          <w:b/>
          <w:color w:val="auto"/>
          <w:sz w:val="24"/>
          <w:szCs w:val="24"/>
          <w:highlight w:val="none"/>
        </w:rPr>
      </w:pPr>
    </w:p>
    <w:p w14:paraId="2774530F">
      <w:pPr>
        <w:pStyle w:val="14"/>
        <w:jc w:val="center"/>
        <w:rPr>
          <w:rFonts w:hint="eastAsia" w:ascii="宋体" w:hAnsi="宋体" w:eastAsia="宋体" w:cs="宋体"/>
          <w:b/>
          <w:bCs/>
          <w:color w:val="auto"/>
          <w:sz w:val="24"/>
          <w:szCs w:val="24"/>
          <w:highlight w:val="none"/>
          <w:lang w:val="en-US" w:eastAsia="zh-CN"/>
        </w:rPr>
      </w:pPr>
    </w:p>
    <w:p w14:paraId="2C5363AE">
      <w:pPr>
        <w:pStyle w:val="14"/>
        <w:jc w:val="center"/>
        <w:rPr>
          <w:rFonts w:hint="eastAsia" w:ascii="宋体" w:hAnsi="宋体" w:eastAsia="宋体" w:cs="宋体"/>
          <w:b/>
          <w:bCs/>
          <w:color w:val="auto"/>
          <w:sz w:val="24"/>
          <w:szCs w:val="24"/>
          <w:highlight w:val="none"/>
          <w:lang w:val="en-US" w:eastAsia="zh-CN"/>
        </w:rPr>
      </w:pPr>
    </w:p>
    <w:p w14:paraId="01BA2D81">
      <w:pPr>
        <w:pStyle w:val="14"/>
        <w:jc w:val="center"/>
        <w:rPr>
          <w:rFonts w:hint="eastAsia" w:ascii="宋体" w:hAnsi="宋体" w:eastAsia="宋体" w:cs="宋体"/>
          <w:b/>
          <w:bCs/>
          <w:color w:val="auto"/>
          <w:sz w:val="24"/>
          <w:szCs w:val="24"/>
          <w:highlight w:val="none"/>
          <w:lang w:val="en-US" w:eastAsia="zh-CN"/>
        </w:rPr>
      </w:pPr>
    </w:p>
    <w:p w14:paraId="4B80E8D3">
      <w:pPr>
        <w:pStyle w:val="14"/>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、项目负责人简历表及拟投入本项目主要成员</w:t>
      </w:r>
    </w:p>
    <w:p w14:paraId="101DD772">
      <w:pPr>
        <w:numPr>
          <w:ilvl w:val="0"/>
          <w:numId w:val="32"/>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23"/>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68DD268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72E07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341B04EE">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152EF1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001306B">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20AF499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95E9E85">
            <w:pPr>
              <w:spacing w:line="440" w:lineRule="exact"/>
              <w:rPr>
                <w:rFonts w:hint="eastAsia" w:ascii="宋体" w:hAnsi="宋体" w:eastAsia="宋体" w:cs="宋体"/>
                <w:color w:val="auto"/>
                <w:sz w:val="24"/>
                <w:szCs w:val="24"/>
                <w:highlight w:val="none"/>
              </w:rPr>
            </w:pPr>
          </w:p>
        </w:tc>
      </w:tr>
      <w:tr w14:paraId="18A4159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A4DE6A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9FAE956">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6BA083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68D3A0C9">
            <w:pPr>
              <w:spacing w:line="440" w:lineRule="exact"/>
              <w:rPr>
                <w:rFonts w:hint="eastAsia" w:ascii="宋体" w:hAnsi="宋体" w:eastAsia="宋体" w:cs="宋体"/>
                <w:color w:val="auto"/>
                <w:sz w:val="24"/>
                <w:szCs w:val="24"/>
                <w:highlight w:val="none"/>
              </w:rPr>
            </w:pPr>
          </w:p>
        </w:tc>
      </w:tr>
      <w:tr w14:paraId="1887DFF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03649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153E83C2">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BF34B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23A8DF8">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B24EB1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A9FE838">
            <w:pPr>
              <w:spacing w:line="440" w:lineRule="exact"/>
              <w:rPr>
                <w:rFonts w:hint="eastAsia" w:ascii="宋体" w:hAnsi="宋体" w:eastAsia="宋体" w:cs="宋体"/>
                <w:color w:val="auto"/>
                <w:sz w:val="24"/>
                <w:szCs w:val="24"/>
                <w:highlight w:val="none"/>
              </w:rPr>
            </w:pPr>
          </w:p>
        </w:tc>
      </w:tr>
      <w:tr w14:paraId="6CBC074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6C6A4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7F1513A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0E8ADE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7979596">
            <w:pPr>
              <w:spacing w:line="440" w:lineRule="exact"/>
              <w:rPr>
                <w:rFonts w:hint="eastAsia" w:ascii="宋体" w:hAnsi="宋体" w:eastAsia="宋体" w:cs="宋体"/>
                <w:color w:val="auto"/>
                <w:sz w:val="24"/>
                <w:szCs w:val="24"/>
                <w:highlight w:val="none"/>
              </w:rPr>
            </w:pPr>
          </w:p>
        </w:tc>
      </w:tr>
      <w:tr w14:paraId="02C8768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FC34ABC">
            <w:pPr>
              <w:spacing w:line="440" w:lineRule="exact"/>
              <w:rPr>
                <w:rFonts w:hint="eastAsia" w:ascii="宋体" w:hAnsi="宋体" w:eastAsia="宋体" w:cs="宋体"/>
                <w:color w:val="auto"/>
                <w:sz w:val="24"/>
                <w:szCs w:val="24"/>
                <w:highlight w:val="none"/>
              </w:rPr>
            </w:pPr>
          </w:p>
          <w:p w14:paraId="2A374F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369B6EC7">
            <w:pPr>
              <w:spacing w:line="440" w:lineRule="exact"/>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7E05114B">
            <w:pPr>
              <w:spacing w:line="440" w:lineRule="exact"/>
              <w:rPr>
                <w:rFonts w:hint="eastAsia" w:ascii="宋体" w:hAnsi="宋体" w:eastAsia="宋体" w:cs="宋体"/>
                <w:color w:val="auto"/>
                <w:sz w:val="24"/>
                <w:szCs w:val="24"/>
                <w:highlight w:val="none"/>
              </w:rPr>
            </w:pPr>
          </w:p>
          <w:p w14:paraId="2C4B9FE3">
            <w:pPr>
              <w:spacing w:line="440" w:lineRule="exact"/>
              <w:rPr>
                <w:rFonts w:hint="eastAsia" w:ascii="宋体" w:hAnsi="宋体" w:eastAsia="宋体" w:cs="宋体"/>
                <w:color w:val="auto"/>
                <w:sz w:val="24"/>
                <w:szCs w:val="24"/>
                <w:highlight w:val="none"/>
              </w:rPr>
            </w:pPr>
          </w:p>
        </w:tc>
      </w:tr>
      <w:tr w14:paraId="1FE0842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3C7AC1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E71BAC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DB5DD0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446E7A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184FE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1062E53">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8BCDB03">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A6C836A">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394B6CD7">
            <w:pPr>
              <w:spacing w:line="440" w:lineRule="exact"/>
              <w:rPr>
                <w:rFonts w:hint="eastAsia" w:ascii="宋体" w:hAnsi="宋体" w:eastAsia="宋体" w:cs="宋体"/>
                <w:color w:val="auto"/>
                <w:sz w:val="24"/>
                <w:szCs w:val="24"/>
                <w:highlight w:val="none"/>
              </w:rPr>
            </w:pPr>
          </w:p>
        </w:tc>
      </w:tr>
      <w:tr w14:paraId="4F941CE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4336CFF">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72449A09">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94221E1">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57BE08B9">
            <w:pPr>
              <w:spacing w:line="440" w:lineRule="exact"/>
              <w:rPr>
                <w:rFonts w:hint="eastAsia" w:ascii="宋体" w:hAnsi="宋体" w:eastAsia="宋体" w:cs="宋体"/>
                <w:color w:val="auto"/>
                <w:sz w:val="24"/>
                <w:szCs w:val="24"/>
                <w:highlight w:val="none"/>
              </w:rPr>
            </w:pPr>
          </w:p>
        </w:tc>
      </w:tr>
      <w:tr w14:paraId="1F5B694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1405593">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14D4415C">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A7B03DD">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3B7CCC48">
            <w:pPr>
              <w:spacing w:line="440" w:lineRule="exact"/>
              <w:rPr>
                <w:rFonts w:hint="eastAsia" w:ascii="宋体" w:hAnsi="宋体" w:eastAsia="宋体" w:cs="宋体"/>
                <w:color w:val="auto"/>
                <w:sz w:val="24"/>
                <w:szCs w:val="24"/>
                <w:highlight w:val="none"/>
              </w:rPr>
            </w:pPr>
          </w:p>
        </w:tc>
      </w:tr>
    </w:tbl>
    <w:p w14:paraId="42D31CA5">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3"/>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30"/>
        <w:gridCol w:w="2040"/>
        <w:gridCol w:w="1939"/>
        <w:gridCol w:w="1799"/>
        <w:gridCol w:w="1356"/>
      </w:tblGrid>
      <w:tr w14:paraId="383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6" w:type="dxa"/>
            <w:noWrap w:val="0"/>
            <w:vAlign w:val="center"/>
          </w:tcPr>
          <w:p w14:paraId="6FD98D3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7260A6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040" w:type="dxa"/>
            <w:noWrap w:val="0"/>
            <w:vAlign w:val="center"/>
          </w:tcPr>
          <w:p w14:paraId="553DAC7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939" w:type="dxa"/>
            <w:noWrap w:val="0"/>
            <w:vAlign w:val="center"/>
          </w:tcPr>
          <w:p w14:paraId="76ED419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99" w:type="dxa"/>
            <w:noWrap w:val="0"/>
            <w:vAlign w:val="center"/>
          </w:tcPr>
          <w:p w14:paraId="330FC7F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356" w:type="dxa"/>
            <w:noWrap w:val="0"/>
            <w:vAlign w:val="center"/>
          </w:tcPr>
          <w:p w14:paraId="45C47A1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5497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C3AE24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48F39E0F">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54F0D8A">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239BAECC">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B148BE5">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7740ABDF">
            <w:pPr>
              <w:spacing w:line="440" w:lineRule="exact"/>
              <w:jc w:val="center"/>
              <w:rPr>
                <w:rFonts w:hint="eastAsia" w:ascii="宋体" w:hAnsi="宋体" w:eastAsia="宋体" w:cs="宋体"/>
                <w:color w:val="auto"/>
                <w:sz w:val="24"/>
                <w:szCs w:val="24"/>
                <w:highlight w:val="none"/>
              </w:rPr>
            </w:pPr>
          </w:p>
        </w:tc>
      </w:tr>
      <w:tr w14:paraId="47F8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36" w:type="dxa"/>
            <w:noWrap w:val="0"/>
            <w:vAlign w:val="top"/>
          </w:tcPr>
          <w:p w14:paraId="390638B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799E57E0">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2AC1FB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0AAF4590">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081E53E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531E2B08">
            <w:pPr>
              <w:spacing w:line="440" w:lineRule="exact"/>
              <w:jc w:val="center"/>
              <w:rPr>
                <w:rFonts w:hint="eastAsia" w:ascii="宋体" w:hAnsi="宋体" w:eastAsia="宋体" w:cs="宋体"/>
                <w:color w:val="auto"/>
                <w:sz w:val="24"/>
                <w:szCs w:val="24"/>
                <w:highlight w:val="none"/>
              </w:rPr>
            </w:pPr>
          </w:p>
        </w:tc>
      </w:tr>
      <w:tr w14:paraId="1629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8054B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4195631C">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216BA3A">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02CFC5E6">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D3CC2B6">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0CDEF8CF">
            <w:pPr>
              <w:spacing w:line="440" w:lineRule="exact"/>
              <w:jc w:val="center"/>
              <w:rPr>
                <w:rFonts w:hint="eastAsia" w:ascii="宋体" w:hAnsi="宋体" w:eastAsia="宋体" w:cs="宋体"/>
                <w:color w:val="auto"/>
                <w:sz w:val="24"/>
                <w:szCs w:val="24"/>
                <w:highlight w:val="none"/>
              </w:rPr>
            </w:pPr>
          </w:p>
        </w:tc>
      </w:tr>
      <w:tr w14:paraId="2F2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3BB451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7216F21B">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24E1F37">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002949D">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3DE602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6AED69AD">
            <w:pPr>
              <w:spacing w:line="440" w:lineRule="exact"/>
              <w:jc w:val="center"/>
              <w:rPr>
                <w:rFonts w:hint="eastAsia" w:ascii="宋体" w:hAnsi="宋体" w:eastAsia="宋体" w:cs="宋体"/>
                <w:color w:val="auto"/>
                <w:sz w:val="24"/>
                <w:szCs w:val="24"/>
                <w:highlight w:val="none"/>
              </w:rPr>
            </w:pPr>
          </w:p>
        </w:tc>
      </w:tr>
    </w:tbl>
    <w:p w14:paraId="6CC44037">
      <w:pPr>
        <w:spacing w:line="440" w:lineRule="exact"/>
        <w:rPr>
          <w:rFonts w:hint="eastAsia" w:ascii="宋体" w:hAnsi="宋体" w:eastAsia="宋体" w:cs="宋体"/>
          <w:color w:val="auto"/>
          <w:sz w:val="24"/>
          <w:szCs w:val="24"/>
          <w:highlight w:val="none"/>
          <w:u w:val="single"/>
        </w:rPr>
      </w:pPr>
    </w:p>
    <w:p w14:paraId="52FD22F8">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w:t>
      </w:r>
      <w:r>
        <w:rPr>
          <w:rFonts w:hint="eastAsia" w:ascii="宋体" w:hAnsi="宋体" w:eastAsia="宋体" w:cs="宋体"/>
          <w:b/>
          <w:color w:val="auto"/>
          <w:sz w:val="24"/>
          <w:szCs w:val="24"/>
          <w:highlight w:val="none"/>
          <w:lang w:val="en-US" w:eastAsia="zh-CN"/>
        </w:rPr>
        <w:t>简历及</w:t>
      </w:r>
      <w:r>
        <w:rPr>
          <w:rFonts w:hint="eastAsia" w:ascii="宋体" w:hAnsi="宋体" w:eastAsia="宋体" w:cs="宋体"/>
          <w:b/>
          <w:color w:val="auto"/>
          <w:sz w:val="24"/>
          <w:szCs w:val="24"/>
          <w:highlight w:val="none"/>
        </w:rPr>
        <w:t>相关资格证书复印件。</w:t>
      </w:r>
    </w:p>
    <w:p w14:paraId="240CE451">
      <w:pPr>
        <w:spacing w:line="440" w:lineRule="exact"/>
        <w:jc w:val="center"/>
        <w:rPr>
          <w:rFonts w:hint="eastAsia" w:ascii="宋体" w:hAnsi="宋体" w:eastAsia="宋体" w:cs="宋体"/>
          <w:b/>
          <w:color w:val="auto"/>
          <w:sz w:val="24"/>
          <w:szCs w:val="24"/>
          <w:highlight w:val="none"/>
        </w:rPr>
      </w:pPr>
    </w:p>
    <w:p w14:paraId="4A14BE13">
      <w:pPr>
        <w:spacing w:line="440" w:lineRule="exact"/>
        <w:jc w:val="center"/>
        <w:rPr>
          <w:rFonts w:hint="eastAsia" w:ascii="宋体" w:hAnsi="宋体" w:eastAsia="宋体" w:cs="宋体"/>
          <w:b/>
          <w:color w:val="auto"/>
          <w:sz w:val="24"/>
          <w:szCs w:val="24"/>
          <w:highlight w:val="none"/>
        </w:rPr>
      </w:pPr>
    </w:p>
    <w:p w14:paraId="70067EB5">
      <w:pPr>
        <w:spacing w:line="400" w:lineRule="atLeast"/>
        <w:jc w:val="center"/>
        <w:rPr>
          <w:rFonts w:hint="eastAsia" w:ascii="宋体" w:hAnsi="宋体" w:eastAsia="宋体" w:cs="宋体"/>
          <w:color w:val="auto"/>
          <w:sz w:val="24"/>
          <w:szCs w:val="24"/>
          <w:highlight w:val="none"/>
        </w:rPr>
      </w:pPr>
    </w:p>
    <w:p w14:paraId="5CB50C6E">
      <w:pPr>
        <w:spacing w:line="440" w:lineRule="exact"/>
        <w:jc w:val="center"/>
        <w:rPr>
          <w:rFonts w:hint="eastAsia" w:ascii="宋体" w:hAnsi="宋体" w:eastAsia="宋体" w:cs="宋体"/>
          <w:b/>
          <w:color w:val="auto"/>
          <w:sz w:val="24"/>
          <w:szCs w:val="24"/>
          <w:highlight w:val="none"/>
          <w:lang w:val="en-US" w:eastAsia="zh-CN"/>
        </w:rPr>
      </w:pPr>
    </w:p>
    <w:p w14:paraId="37BAB590">
      <w:pPr>
        <w:pStyle w:val="50"/>
        <w:ind w:firstLine="480" w:firstLineChars="200"/>
        <w:rPr>
          <w:rFonts w:hint="eastAsia" w:ascii="宋体" w:hAnsi="宋体" w:eastAsia="宋体" w:cs="宋体"/>
          <w:color w:val="auto"/>
          <w:sz w:val="24"/>
          <w:szCs w:val="24"/>
          <w:highlight w:val="none"/>
          <w:lang w:val="en-US" w:eastAsia="zh-CN"/>
        </w:rPr>
      </w:pPr>
    </w:p>
    <w:p w14:paraId="4CDE642C">
      <w:pPr>
        <w:pStyle w:val="50"/>
        <w:ind w:firstLine="480" w:firstLineChars="200"/>
        <w:rPr>
          <w:rFonts w:hint="eastAsia" w:ascii="宋体" w:hAnsi="宋体" w:eastAsia="宋体" w:cs="宋体"/>
          <w:color w:val="auto"/>
          <w:sz w:val="24"/>
          <w:szCs w:val="24"/>
          <w:highlight w:val="none"/>
          <w:lang w:val="en-US" w:eastAsia="zh-CN"/>
        </w:rPr>
      </w:pPr>
    </w:p>
    <w:p w14:paraId="3E4A0670">
      <w:pPr>
        <w:pStyle w:val="50"/>
        <w:ind w:firstLine="480" w:firstLineChars="200"/>
        <w:rPr>
          <w:rFonts w:hint="eastAsia" w:ascii="宋体" w:hAnsi="宋体" w:eastAsia="宋体" w:cs="宋体"/>
          <w:color w:val="auto"/>
          <w:sz w:val="24"/>
          <w:szCs w:val="24"/>
          <w:highlight w:val="none"/>
          <w:lang w:val="en-US" w:eastAsia="zh-CN"/>
        </w:rPr>
      </w:pPr>
    </w:p>
    <w:p w14:paraId="4F925C6E">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9CC3282">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、投标人认为需提供的证明文件及其它资料</w:t>
      </w:r>
    </w:p>
    <w:p w14:paraId="37EF4F4C">
      <w:pPr>
        <w:spacing w:line="440" w:lineRule="exact"/>
        <w:jc w:val="center"/>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此处上传</w:t>
      </w:r>
      <w:r>
        <w:rPr>
          <w:rFonts w:hint="eastAsia" w:ascii="宋体" w:hAnsi="宋体" w:eastAsia="宋体" w:cs="宋体"/>
          <w:color w:val="auto"/>
          <w:sz w:val="24"/>
          <w:szCs w:val="24"/>
          <w:highlight w:val="none"/>
          <w:lang w:val="en-US" w:eastAsia="zh-CN"/>
        </w:rPr>
        <w:t>投标人认为需提供的证明文件及未提供格式的其它资料</w:t>
      </w:r>
      <w:r>
        <w:rPr>
          <w:rFonts w:hint="eastAsia" w:ascii="宋体" w:hAnsi="宋体" w:eastAsia="宋体" w:cs="宋体"/>
          <w:b/>
          <w:color w:val="auto"/>
          <w:sz w:val="24"/>
          <w:szCs w:val="24"/>
          <w:highlight w:val="none"/>
          <w:lang w:eastAsia="zh-CN"/>
        </w:rPr>
        <w:t>）</w:t>
      </w:r>
    </w:p>
    <w:p w14:paraId="60E89C43">
      <w:pPr>
        <w:pStyle w:val="29"/>
        <w:rPr>
          <w:rFonts w:hint="eastAsia" w:ascii="宋体" w:hAnsi="宋体" w:eastAsia="宋体" w:cs="宋体"/>
          <w:color w:val="auto"/>
          <w:sz w:val="24"/>
          <w:szCs w:val="24"/>
          <w:highlight w:val="none"/>
        </w:rPr>
      </w:pPr>
    </w:p>
    <w:p w14:paraId="66BCF9FE">
      <w:pPr>
        <w:pStyle w:val="29"/>
        <w:rPr>
          <w:color w:val="auto"/>
          <w:highlight w:val="none"/>
        </w:rPr>
      </w:pPr>
    </w:p>
    <w:p w14:paraId="665CFA52">
      <w:pPr>
        <w:pStyle w:val="29"/>
        <w:rPr>
          <w:color w:val="auto"/>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F097">
    <w:pPr>
      <w:pStyle w:val="15"/>
      <w:tabs>
        <w:tab w:val="center" w:pos="4819"/>
        <w:tab w:val="clear" w:pos="4153"/>
      </w:tabs>
    </w:pPr>
    <w:r>
      <w:rPr>
        <w:rFonts w:hint="eastAsia"/>
        <w:lang w:eastAsia="zh-CN"/>
      </w:rPr>
      <w:tab/>
    </w:r>
  </w:p>
  <w:p w14:paraId="64D4CD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476A">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4CFA0">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4CFA0">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61B6">
    <w:pPr>
      <w:pStyle w:val="15"/>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0C00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E0C00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258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C063D">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DC063D">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2309">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DB6B">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3DB6B">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4ADD">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C558E">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3C558E">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87CD">
    <w:pPr>
      <w:pStyle w:val="16"/>
      <w:bidi w:val="0"/>
    </w:pPr>
    <w:r>
      <w:rPr>
        <w:rFonts w:hint="eastAsia"/>
        <w:lang w:val="en-US" w:eastAsia="zh-CN"/>
      </w:rPr>
      <w:drawing>
        <wp:inline distT="0" distB="0" distL="114300" distR="114300">
          <wp:extent cx="1174115" cy="369570"/>
          <wp:effectExtent l="0" t="0" r="6985" b="11430"/>
          <wp:docPr id="19" name="图片 1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6428">
    <w:pPr>
      <w:pStyle w:val="16"/>
      <w:bidi w:val="0"/>
      <w:rPr>
        <w:rFonts w:hint="default"/>
        <w:lang w:val="en-US"/>
      </w:rPr>
    </w:pPr>
    <w:r>
      <w:rPr>
        <w:rFonts w:hint="eastAsia"/>
        <w:lang w:val="en-US" w:eastAsia="zh-CN"/>
      </w:rPr>
      <w:drawing>
        <wp:inline distT="0" distB="0" distL="114300" distR="114300">
          <wp:extent cx="1174115" cy="369570"/>
          <wp:effectExtent l="0" t="0" r="6985" b="11430"/>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0626">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4337">
    <w:pPr>
      <w:pStyle w:val="16"/>
      <w:bidi w:val="0"/>
    </w:pPr>
    <w:r>
      <w:rPr>
        <w:rFonts w:hint="eastAsia"/>
        <w:lang w:val="en-US" w:eastAsia="zh-CN"/>
      </w:rPr>
      <w:drawing>
        <wp:inline distT="0" distB="0" distL="114300" distR="114300">
          <wp:extent cx="1174115" cy="369570"/>
          <wp:effectExtent l="0" t="0" r="6985" b="11430"/>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AAA7">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1CF"/>
    <w:multiLevelType w:val="singleLevel"/>
    <w:tmpl w:val="84FDC1CF"/>
    <w:lvl w:ilvl="0" w:tentative="0">
      <w:start w:val="1"/>
      <w:numFmt w:val="decimal"/>
      <w:lvlText w:val="%1)"/>
      <w:lvlJc w:val="left"/>
      <w:pPr>
        <w:ind w:left="425" w:hanging="425"/>
      </w:pPr>
      <w:rPr>
        <w:rFonts w:hint="default"/>
      </w:rPr>
    </w:lvl>
  </w:abstractNum>
  <w:abstractNum w:abstractNumId="1">
    <w:nsid w:val="881376DD"/>
    <w:multiLevelType w:val="singleLevel"/>
    <w:tmpl w:val="881376DD"/>
    <w:lvl w:ilvl="0" w:tentative="0">
      <w:start w:val="1"/>
      <w:numFmt w:val="decimal"/>
      <w:lvlText w:val="(%1)"/>
      <w:lvlJc w:val="left"/>
      <w:pPr>
        <w:ind w:left="425" w:hanging="425"/>
      </w:pPr>
      <w:rPr>
        <w:rFonts w:hint="default"/>
      </w:rPr>
    </w:lvl>
  </w:abstractNum>
  <w:abstractNum w:abstractNumId="2">
    <w:nsid w:val="8FFA1A48"/>
    <w:multiLevelType w:val="singleLevel"/>
    <w:tmpl w:val="8FFA1A48"/>
    <w:lvl w:ilvl="0" w:tentative="0">
      <w:start w:val="1"/>
      <w:numFmt w:val="decimal"/>
      <w:lvlText w:val="(%1)"/>
      <w:lvlJc w:val="left"/>
      <w:pPr>
        <w:ind w:left="425" w:hanging="425"/>
      </w:pPr>
      <w:rPr>
        <w:rFonts w:hint="default"/>
      </w:rPr>
    </w:lvl>
  </w:abstractNum>
  <w:abstractNum w:abstractNumId="3">
    <w:nsid w:val="90426283"/>
    <w:multiLevelType w:val="singleLevel"/>
    <w:tmpl w:val="90426283"/>
    <w:lvl w:ilvl="0" w:tentative="0">
      <w:start w:val="1"/>
      <w:numFmt w:val="decimal"/>
      <w:lvlText w:val="(%1)"/>
      <w:lvlJc w:val="left"/>
      <w:pPr>
        <w:ind w:left="425" w:hanging="425"/>
      </w:pPr>
      <w:rPr>
        <w:rFonts w:hint="default"/>
      </w:rPr>
    </w:lvl>
  </w:abstractNum>
  <w:abstractNum w:abstractNumId="4">
    <w:nsid w:val="917B5857"/>
    <w:multiLevelType w:val="singleLevel"/>
    <w:tmpl w:val="917B5857"/>
    <w:lvl w:ilvl="0" w:tentative="0">
      <w:start w:val="1"/>
      <w:numFmt w:val="decimal"/>
      <w:lvlText w:val="(%1)"/>
      <w:lvlJc w:val="left"/>
      <w:pPr>
        <w:ind w:left="425" w:hanging="425"/>
      </w:pPr>
      <w:rPr>
        <w:rFonts w:hint="default"/>
      </w:rPr>
    </w:lvl>
  </w:abstractNum>
  <w:abstractNum w:abstractNumId="5">
    <w:nsid w:val="9E778D88"/>
    <w:multiLevelType w:val="singleLevel"/>
    <w:tmpl w:val="9E778D88"/>
    <w:lvl w:ilvl="0" w:tentative="0">
      <w:start w:val="3"/>
      <w:numFmt w:val="decimal"/>
      <w:suff w:val="nothing"/>
      <w:lvlText w:val="%1、"/>
      <w:lvlJc w:val="left"/>
      <w:rPr>
        <w:rFonts w:hint="default"/>
        <w:color w:val="000000"/>
      </w:rPr>
    </w:lvl>
  </w:abstractNum>
  <w:abstractNum w:abstractNumId="6">
    <w:nsid w:val="AE476E14"/>
    <w:multiLevelType w:val="singleLevel"/>
    <w:tmpl w:val="AE476E14"/>
    <w:lvl w:ilvl="0" w:tentative="0">
      <w:start w:val="1"/>
      <w:numFmt w:val="decimal"/>
      <w:suff w:val="nothing"/>
      <w:lvlText w:val="%1）"/>
      <w:lvlJc w:val="left"/>
    </w:lvl>
  </w:abstractNum>
  <w:abstractNum w:abstractNumId="7">
    <w:nsid w:val="B51D7BD3"/>
    <w:multiLevelType w:val="singleLevel"/>
    <w:tmpl w:val="B51D7BD3"/>
    <w:lvl w:ilvl="0" w:tentative="0">
      <w:start w:val="1"/>
      <w:numFmt w:val="decimal"/>
      <w:suff w:val="nothing"/>
      <w:lvlText w:val="（%1）"/>
      <w:lvlJc w:val="left"/>
    </w:lvl>
  </w:abstractNum>
  <w:abstractNum w:abstractNumId="8">
    <w:nsid w:val="BBCCB3CA"/>
    <w:multiLevelType w:val="singleLevel"/>
    <w:tmpl w:val="BBCCB3CA"/>
    <w:lvl w:ilvl="0" w:tentative="0">
      <w:start w:val="1"/>
      <w:numFmt w:val="decimal"/>
      <w:suff w:val="nothing"/>
      <w:lvlText w:val="（%1）"/>
      <w:lvlJc w:val="left"/>
    </w:lvl>
  </w:abstractNum>
  <w:abstractNum w:abstractNumId="9">
    <w:nsid w:val="E2D80F4D"/>
    <w:multiLevelType w:val="singleLevel"/>
    <w:tmpl w:val="E2D80F4D"/>
    <w:lvl w:ilvl="0" w:tentative="0">
      <w:start w:val="1"/>
      <w:numFmt w:val="decimal"/>
      <w:lvlText w:val="(%1)"/>
      <w:lvlJc w:val="left"/>
      <w:pPr>
        <w:ind w:left="425" w:hanging="425"/>
      </w:pPr>
      <w:rPr>
        <w:rFonts w:hint="default"/>
      </w:rPr>
    </w:lvl>
  </w:abstractNum>
  <w:abstractNum w:abstractNumId="10">
    <w:nsid w:val="E38A0821"/>
    <w:multiLevelType w:val="singleLevel"/>
    <w:tmpl w:val="E38A0821"/>
    <w:lvl w:ilvl="0" w:tentative="0">
      <w:start w:val="4"/>
      <w:numFmt w:val="chineseCounting"/>
      <w:suff w:val="nothing"/>
      <w:lvlText w:val="%1、"/>
      <w:lvlJc w:val="left"/>
      <w:rPr>
        <w:rFonts w:hint="eastAsia"/>
      </w:rPr>
    </w:lvl>
  </w:abstractNum>
  <w:abstractNum w:abstractNumId="11">
    <w:nsid w:val="EAB5EB92"/>
    <w:multiLevelType w:val="singleLevel"/>
    <w:tmpl w:val="EAB5EB92"/>
    <w:lvl w:ilvl="0" w:tentative="0">
      <w:start w:val="1"/>
      <w:numFmt w:val="decimal"/>
      <w:lvlText w:val="(%1)"/>
      <w:lvlJc w:val="left"/>
      <w:pPr>
        <w:ind w:left="425" w:hanging="425"/>
      </w:pPr>
      <w:rPr>
        <w:rFonts w:hint="default"/>
      </w:rPr>
    </w:lvl>
  </w:abstractNum>
  <w:abstractNum w:abstractNumId="12">
    <w:nsid w:val="10443FF5"/>
    <w:multiLevelType w:val="multilevel"/>
    <w:tmpl w:val="10443FF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108D39C9"/>
    <w:multiLevelType w:val="singleLevel"/>
    <w:tmpl w:val="108D39C9"/>
    <w:lvl w:ilvl="0" w:tentative="0">
      <w:start w:val="1"/>
      <w:numFmt w:val="decimal"/>
      <w:lvlText w:val="%1)"/>
      <w:lvlJc w:val="left"/>
      <w:pPr>
        <w:ind w:left="425" w:hanging="425"/>
      </w:pPr>
      <w:rPr>
        <w:rFonts w:hint="default"/>
      </w:rPr>
    </w:lvl>
  </w:abstractNum>
  <w:abstractNum w:abstractNumId="14">
    <w:nsid w:val="10B9A9DD"/>
    <w:multiLevelType w:val="singleLevel"/>
    <w:tmpl w:val="10B9A9DD"/>
    <w:lvl w:ilvl="0" w:tentative="0">
      <w:start w:val="1"/>
      <w:numFmt w:val="decimal"/>
      <w:lvlText w:val="(%1)"/>
      <w:lvlJc w:val="left"/>
      <w:pPr>
        <w:ind w:left="425" w:hanging="425"/>
      </w:pPr>
      <w:rPr>
        <w:rFonts w:hint="default"/>
        <w:b w:val="0"/>
        <w:bCs w:val="0"/>
      </w:rPr>
    </w:lvl>
  </w:abstractNum>
  <w:abstractNum w:abstractNumId="15">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1BD00F97"/>
    <w:multiLevelType w:val="singleLevel"/>
    <w:tmpl w:val="1BD00F97"/>
    <w:lvl w:ilvl="0" w:tentative="0">
      <w:start w:val="1"/>
      <w:numFmt w:val="decimal"/>
      <w:lvlText w:val="(%1)"/>
      <w:lvlJc w:val="left"/>
      <w:pPr>
        <w:ind w:left="425" w:hanging="425"/>
      </w:pPr>
      <w:rPr>
        <w:rFonts w:hint="default"/>
      </w:rPr>
    </w:lvl>
  </w:abstractNum>
  <w:abstractNum w:abstractNumId="17">
    <w:nsid w:val="1E521D87"/>
    <w:multiLevelType w:val="singleLevel"/>
    <w:tmpl w:val="1E521D87"/>
    <w:lvl w:ilvl="0" w:tentative="0">
      <w:start w:val="2"/>
      <w:numFmt w:val="chineseCounting"/>
      <w:suff w:val="nothing"/>
      <w:lvlText w:val="%1、"/>
      <w:lvlJc w:val="left"/>
      <w:rPr>
        <w:rFonts w:hint="eastAsia"/>
      </w:rPr>
    </w:lvl>
  </w:abstractNum>
  <w:abstractNum w:abstractNumId="18">
    <w:nsid w:val="219F15C3"/>
    <w:multiLevelType w:val="multilevel"/>
    <w:tmpl w:val="219F15C3"/>
    <w:lvl w:ilvl="0" w:tentative="0">
      <w:start w:val="1"/>
      <w:numFmt w:val="decimal"/>
      <w:lvlText w:val="（%1）"/>
      <w:lvlJc w:val="left"/>
      <w:pPr>
        <w:tabs>
          <w:tab w:val="left" w:pos="1440"/>
        </w:tabs>
        <w:ind w:left="144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20">
    <w:nsid w:val="292C8172"/>
    <w:multiLevelType w:val="multilevel"/>
    <w:tmpl w:val="292C8172"/>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2EF34F86"/>
    <w:multiLevelType w:val="multilevel"/>
    <w:tmpl w:val="2EF34F86"/>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2">
    <w:nsid w:val="3471ABA9"/>
    <w:multiLevelType w:val="singleLevel"/>
    <w:tmpl w:val="3471ABA9"/>
    <w:lvl w:ilvl="0" w:tentative="0">
      <w:start w:val="1"/>
      <w:numFmt w:val="decimal"/>
      <w:lvlText w:val="(%1)"/>
      <w:lvlJc w:val="left"/>
      <w:pPr>
        <w:ind w:left="425" w:hanging="425"/>
      </w:pPr>
      <w:rPr>
        <w:rFonts w:hint="default"/>
      </w:rPr>
    </w:lvl>
  </w:abstractNum>
  <w:abstractNum w:abstractNumId="23">
    <w:nsid w:val="39176C77"/>
    <w:multiLevelType w:val="singleLevel"/>
    <w:tmpl w:val="39176C77"/>
    <w:lvl w:ilvl="0" w:tentative="0">
      <w:start w:val="1"/>
      <w:numFmt w:val="decimal"/>
      <w:lvlText w:val="(%1)"/>
      <w:lvlJc w:val="left"/>
      <w:pPr>
        <w:ind w:left="425" w:hanging="425"/>
      </w:pPr>
      <w:rPr>
        <w:rFonts w:hint="default"/>
      </w:rPr>
    </w:lvl>
  </w:abstractNum>
  <w:abstractNum w:abstractNumId="24">
    <w:nsid w:val="3E6F8000"/>
    <w:multiLevelType w:val="singleLevel"/>
    <w:tmpl w:val="3E6F8000"/>
    <w:lvl w:ilvl="0" w:tentative="0">
      <w:start w:val="1"/>
      <w:numFmt w:val="chineseCounting"/>
      <w:suff w:val="nothing"/>
      <w:lvlText w:val="%1、"/>
      <w:lvlJc w:val="left"/>
      <w:rPr>
        <w:rFonts w:hint="eastAsia"/>
      </w:rPr>
    </w:lvl>
  </w:abstractNum>
  <w:abstractNum w:abstractNumId="25">
    <w:nsid w:val="458658B5"/>
    <w:multiLevelType w:val="multilevel"/>
    <w:tmpl w:val="458658B5"/>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26">
    <w:nsid w:val="47542398"/>
    <w:multiLevelType w:val="singleLevel"/>
    <w:tmpl w:val="47542398"/>
    <w:lvl w:ilvl="0" w:tentative="0">
      <w:start w:val="3"/>
      <w:numFmt w:val="decimal"/>
      <w:suff w:val="nothing"/>
      <w:lvlText w:val="%1、"/>
      <w:lvlJc w:val="left"/>
    </w:lvl>
  </w:abstractNum>
  <w:abstractNum w:abstractNumId="27">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551B5466"/>
    <w:multiLevelType w:val="singleLevel"/>
    <w:tmpl w:val="551B5466"/>
    <w:lvl w:ilvl="0" w:tentative="0">
      <w:start w:val="8"/>
      <w:numFmt w:val="chineseCounting"/>
      <w:suff w:val="space"/>
      <w:lvlText w:val="第%1章"/>
      <w:lvlJc w:val="left"/>
      <w:rPr>
        <w:rFonts w:hint="eastAsia"/>
      </w:rPr>
    </w:lvl>
  </w:abstractNum>
  <w:abstractNum w:abstractNumId="29">
    <w:nsid w:val="6220933B"/>
    <w:multiLevelType w:val="singleLevel"/>
    <w:tmpl w:val="6220933B"/>
    <w:lvl w:ilvl="0" w:tentative="0">
      <w:start w:val="1"/>
      <w:numFmt w:val="decimal"/>
      <w:lvlText w:val="%1."/>
      <w:lvlJc w:val="left"/>
      <w:pPr>
        <w:ind w:left="425" w:hanging="425"/>
      </w:pPr>
      <w:rPr>
        <w:rFonts w:hint="default"/>
      </w:rPr>
    </w:lvl>
  </w:abstractNum>
  <w:abstractNum w:abstractNumId="3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74288BAB"/>
    <w:multiLevelType w:val="singleLevel"/>
    <w:tmpl w:val="74288BAB"/>
    <w:lvl w:ilvl="0" w:tentative="0">
      <w:start w:val="4"/>
      <w:numFmt w:val="chineseCounting"/>
      <w:suff w:val="space"/>
      <w:lvlText w:val="第%1部分"/>
      <w:lvlJc w:val="left"/>
      <w:rPr>
        <w:rFonts w:hint="eastAsia"/>
      </w:rPr>
    </w:lvl>
  </w:abstractNum>
  <w:num w:numId="1">
    <w:abstractNumId w:val="15"/>
  </w:num>
  <w:num w:numId="2">
    <w:abstractNumId w:val="25"/>
  </w:num>
  <w:num w:numId="3">
    <w:abstractNumId w:val="17"/>
  </w:num>
  <w:num w:numId="4">
    <w:abstractNumId w:val="5"/>
  </w:num>
  <w:num w:numId="5">
    <w:abstractNumId w:val="7"/>
  </w:num>
  <w:num w:numId="6">
    <w:abstractNumId w:val="21"/>
  </w:num>
  <w:num w:numId="7">
    <w:abstractNumId w:val="18"/>
  </w:num>
  <w:num w:numId="8">
    <w:abstractNumId w:val="28"/>
  </w:num>
  <w:num w:numId="9">
    <w:abstractNumId w:val="31"/>
  </w:num>
  <w:num w:numId="10">
    <w:abstractNumId w:val="29"/>
  </w:num>
  <w:num w:numId="11">
    <w:abstractNumId w:val="12"/>
  </w:num>
  <w:num w:numId="12">
    <w:abstractNumId w:val="14"/>
  </w:num>
  <w:num w:numId="13">
    <w:abstractNumId w:val="3"/>
  </w:num>
  <w:num w:numId="14">
    <w:abstractNumId w:val="23"/>
  </w:num>
  <w:num w:numId="15">
    <w:abstractNumId w:val="2"/>
  </w:num>
  <w:num w:numId="16">
    <w:abstractNumId w:val="9"/>
  </w:num>
  <w:num w:numId="17">
    <w:abstractNumId w:val="16"/>
  </w:num>
  <w:num w:numId="18">
    <w:abstractNumId w:val="13"/>
  </w:num>
  <w:num w:numId="19">
    <w:abstractNumId w:val="0"/>
  </w:num>
  <w:num w:numId="20">
    <w:abstractNumId w:val="4"/>
  </w:num>
  <w:num w:numId="21">
    <w:abstractNumId w:val="1"/>
  </w:num>
  <w:num w:numId="22">
    <w:abstractNumId w:val="11"/>
  </w:num>
  <w:num w:numId="23">
    <w:abstractNumId w:val="20"/>
  </w:num>
  <w:num w:numId="24">
    <w:abstractNumId w:val="22"/>
  </w:num>
  <w:num w:numId="25">
    <w:abstractNumId w:val="26"/>
  </w:num>
  <w:num w:numId="26">
    <w:abstractNumId w:val="6"/>
  </w:num>
  <w:num w:numId="27">
    <w:abstractNumId w:val="10"/>
  </w:num>
  <w:num w:numId="28">
    <w:abstractNumId w:val="8"/>
  </w:num>
  <w:num w:numId="29">
    <w:abstractNumId w:val="24"/>
  </w:num>
  <w:num w:numId="30">
    <w:abstractNumId w:val="19"/>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DJlMjAzZDBiZDE5ZDQ3NTI2NjlhMjk3YTg5MDMifQ=="/>
  </w:docVars>
  <w:rsids>
    <w:rsidRoot w:val="0531033B"/>
    <w:rsid w:val="00774EDC"/>
    <w:rsid w:val="00860DA5"/>
    <w:rsid w:val="00A81D22"/>
    <w:rsid w:val="00AB1812"/>
    <w:rsid w:val="00C91C98"/>
    <w:rsid w:val="00D72607"/>
    <w:rsid w:val="00D743B5"/>
    <w:rsid w:val="00FC3B0D"/>
    <w:rsid w:val="011E1FE4"/>
    <w:rsid w:val="014C6B51"/>
    <w:rsid w:val="01543C57"/>
    <w:rsid w:val="01B841E6"/>
    <w:rsid w:val="01C0309B"/>
    <w:rsid w:val="01EC5C3E"/>
    <w:rsid w:val="01FA65AD"/>
    <w:rsid w:val="01FD609D"/>
    <w:rsid w:val="01FF3BC3"/>
    <w:rsid w:val="020B6A0C"/>
    <w:rsid w:val="0224187C"/>
    <w:rsid w:val="02315E8E"/>
    <w:rsid w:val="02372EAB"/>
    <w:rsid w:val="023A2E4D"/>
    <w:rsid w:val="023B0973"/>
    <w:rsid w:val="02430302"/>
    <w:rsid w:val="026E13C2"/>
    <w:rsid w:val="0284056C"/>
    <w:rsid w:val="02936A01"/>
    <w:rsid w:val="02AD1871"/>
    <w:rsid w:val="02BA3F8E"/>
    <w:rsid w:val="02DF39F5"/>
    <w:rsid w:val="02F959FC"/>
    <w:rsid w:val="02FB2420"/>
    <w:rsid w:val="031E451D"/>
    <w:rsid w:val="0322677C"/>
    <w:rsid w:val="032E7310"/>
    <w:rsid w:val="034B2E38"/>
    <w:rsid w:val="035F033E"/>
    <w:rsid w:val="038720C2"/>
    <w:rsid w:val="038D16A3"/>
    <w:rsid w:val="038F541B"/>
    <w:rsid w:val="03BB6210"/>
    <w:rsid w:val="03C14019"/>
    <w:rsid w:val="03DF1EFE"/>
    <w:rsid w:val="03E2379C"/>
    <w:rsid w:val="03EC63C9"/>
    <w:rsid w:val="03F139E0"/>
    <w:rsid w:val="040F20B8"/>
    <w:rsid w:val="04345936"/>
    <w:rsid w:val="043833BC"/>
    <w:rsid w:val="043A5387"/>
    <w:rsid w:val="044F0706"/>
    <w:rsid w:val="04513D77"/>
    <w:rsid w:val="04763EE5"/>
    <w:rsid w:val="04770389"/>
    <w:rsid w:val="04790055"/>
    <w:rsid w:val="048B1F4C"/>
    <w:rsid w:val="049678CF"/>
    <w:rsid w:val="049A7BD3"/>
    <w:rsid w:val="04CE5ACF"/>
    <w:rsid w:val="05015089"/>
    <w:rsid w:val="05080FE1"/>
    <w:rsid w:val="05121E5F"/>
    <w:rsid w:val="05237BC9"/>
    <w:rsid w:val="0531033B"/>
    <w:rsid w:val="053C0C8A"/>
    <w:rsid w:val="05412745"/>
    <w:rsid w:val="055E32F7"/>
    <w:rsid w:val="058F1702"/>
    <w:rsid w:val="05A056BD"/>
    <w:rsid w:val="05CD222A"/>
    <w:rsid w:val="05D03CC3"/>
    <w:rsid w:val="05F325CA"/>
    <w:rsid w:val="05F872A7"/>
    <w:rsid w:val="05FD2B10"/>
    <w:rsid w:val="060914B4"/>
    <w:rsid w:val="060C1304"/>
    <w:rsid w:val="06141C07"/>
    <w:rsid w:val="062E6C04"/>
    <w:rsid w:val="063F5C2B"/>
    <w:rsid w:val="065D35AE"/>
    <w:rsid w:val="0660427F"/>
    <w:rsid w:val="06644785"/>
    <w:rsid w:val="0672466A"/>
    <w:rsid w:val="068D035B"/>
    <w:rsid w:val="06C278B5"/>
    <w:rsid w:val="06C27E17"/>
    <w:rsid w:val="06C54CB0"/>
    <w:rsid w:val="06C62F02"/>
    <w:rsid w:val="06D53145"/>
    <w:rsid w:val="06DC0977"/>
    <w:rsid w:val="06F86E33"/>
    <w:rsid w:val="070B3641"/>
    <w:rsid w:val="07106873"/>
    <w:rsid w:val="071A324D"/>
    <w:rsid w:val="07852DBD"/>
    <w:rsid w:val="078828AD"/>
    <w:rsid w:val="0799676E"/>
    <w:rsid w:val="079C1EB4"/>
    <w:rsid w:val="07BE62CF"/>
    <w:rsid w:val="07D7679C"/>
    <w:rsid w:val="07E13D6B"/>
    <w:rsid w:val="082A3964"/>
    <w:rsid w:val="083002FD"/>
    <w:rsid w:val="08514A4D"/>
    <w:rsid w:val="089A4646"/>
    <w:rsid w:val="08A90D2D"/>
    <w:rsid w:val="08B33959"/>
    <w:rsid w:val="08B83702"/>
    <w:rsid w:val="08D35629"/>
    <w:rsid w:val="08E65ADD"/>
    <w:rsid w:val="08E734DC"/>
    <w:rsid w:val="08FD4BD5"/>
    <w:rsid w:val="09150170"/>
    <w:rsid w:val="093920B1"/>
    <w:rsid w:val="093A16B1"/>
    <w:rsid w:val="094452ED"/>
    <w:rsid w:val="094E0380"/>
    <w:rsid w:val="096E162E"/>
    <w:rsid w:val="09861934"/>
    <w:rsid w:val="09A17C56"/>
    <w:rsid w:val="09A80FE4"/>
    <w:rsid w:val="09A84B40"/>
    <w:rsid w:val="09D45935"/>
    <w:rsid w:val="09E902BD"/>
    <w:rsid w:val="09F71624"/>
    <w:rsid w:val="0A136187"/>
    <w:rsid w:val="0A334D52"/>
    <w:rsid w:val="0A557AA3"/>
    <w:rsid w:val="0A5B7E05"/>
    <w:rsid w:val="0A6B49CA"/>
    <w:rsid w:val="0A8E2B46"/>
    <w:rsid w:val="0AAE0AB3"/>
    <w:rsid w:val="0AAF0151"/>
    <w:rsid w:val="0AE93662"/>
    <w:rsid w:val="0B065FC2"/>
    <w:rsid w:val="0B187AA4"/>
    <w:rsid w:val="0B1D155E"/>
    <w:rsid w:val="0B4D3BF1"/>
    <w:rsid w:val="0B50723E"/>
    <w:rsid w:val="0B5E5DFE"/>
    <w:rsid w:val="0B776EC0"/>
    <w:rsid w:val="0B7D1FFD"/>
    <w:rsid w:val="0B811AED"/>
    <w:rsid w:val="0B8B471A"/>
    <w:rsid w:val="0B8E420A"/>
    <w:rsid w:val="0BE2459A"/>
    <w:rsid w:val="0C133035"/>
    <w:rsid w:val="0C2226EA"/>
    <w:rsid w:val="0C2D3A23"/>
    <w:rsid w:val="0C3703FE"/>
    <w:rsid w:val="0C580AA0"/>
    <w:rsid w:val="0C652CA3"/>
    <w:rsid w:val="0C7358DA"/>
    <w:rsid w:val="0C875A20"/>
    <w:rsid w:val="0C915D60"/>
    <w:rsid w:val="0C917B0E"/>
    <w:rsid w:val="0C931AD8"/>
    <w:rsid w:val="0C931DEC"/>
    <w:rsid w:val="0C9E047D"/>
    <w:rsid w:val="0CD65609"/>
    <w:rsid w:val="0CE71E24"/>
    <w:rsid w:val="0D3F3A0E"/>
    <w:rsid w:val="0D49663A"/>
    <w:rsid w:val="0D5F5E5E"/>
    <w:rsid w:val="0D9245FC"/>
    <w:rsid w:val="0D9553DC"/>
    <w:rsid w:val="0DAD6BC9"/>
    <w:rsid w:val="0DB0051E"/>
    <w:rsid w:val="0DB5782C"/>
    <w:rsid w:val="0DBE5A53"/>
    <w:rsid w:val="0DC73AC9"/>
    <w:rsid w:val="0DD979BE"/>
    <w:rsid w:val="0E211365"/>
    <w:rsid w:val="0E6D6359"/>
    <w:rsid w:val="0E721BC1"/>
    <w:rsid w:val="0E7B2540"/>
    <w:rsid w:val="0E87741A"/>
    <w:rsid w:val="0E8C4A31"/>
    <w:rsid w:val="0E912047"/>
    <w:rsid w:val="0EE7610B"/>
    <w:rsid w:val="0F0F7410"/>
    <w:rsid w:val="0F2B096A"/>
    <w:rsid w:val="0F451083"/>
    <w:rsid w:val="0F5436ED"/>
    <w:rsid w:val="0F790775"/>
    <w:rsid w:val="0FB51D65"/>
    <w:rsid w:val="0FC91CB4"/>
    <w:rsid w:val="0FFA1E6E"/>
    <w:rsid w:val="10010BF6"/>
    <w:rsid w:val="10152804"/>
    <w:rsid w:val="10166A04"/>
    <w:rsid w:val="102778DA"/>
    <w:rsid w:val="10523A58"/>
    <w:rsid w:val="1054782E"/>
    <w:rsid w:val="105A4668"/>
    <w:rsid w:val="108856CC"/>
    <w:rsid w:val="10C36704"/>
    <w:rsid w:val="110D76E6"/>
    <w:rsid w:val="1140103F"/>
    <w:rsid w:val="11457988"/>
    <w:rsid w:val="11645CD6"/>
    <w:rsid w:val="117D4B05"/>
    <w:rsid w:val="118C0898"/>
    <w:rsid w:val="119105B0"/>
    <w:rsid w:val="11A30DC8"/>
    <w:rsid w:val="11B0107E"/>
    <w:rsid w:val="11BA3663"/>
    <w:rsid w:val="11D2214E"/>
    <w:rsid w:val="11F56D91"/>
    <w:rsid w:val="12103BCB"/>
    <w:rsid w:val="12135469"/>
    <w:rsid w:val="12162C3B"/>
    <w:rsid w:val="12174F59"/>
    <w:rsid w:val="12280F14"/>
    <w:rsid w:val="12505D75"/>
    <w:rsid w:val="129E2F84"/>
    <w:rsid w:val="12B24C82"/>
    <w:rsid w:val="12C56763"/>
    <w:rsid w:val="12D44BF8"/>
    <w:rsid w:val="12EA441C"/>
    <w:rsid w:val="13055ADA"/>
    <w:rsid w:val="132D60B6"/>
    <w:rsid w:val="13336289"/>
    <w:rsid w:val="13370CE3"/>
    <w:rsid w:val="13392CAD"/>
    <w:rsid w:val="13444297"/>
    <w:rsid w:val="135875D7"/>
    <w:rsid w:val="135B0E75"/>
    <w:rsid w:val="13914897"/>
    <w:rsid w:val="13983E78"/>
    <w:rsid w:val="13A43DFB"/>
    <w:rsid w:val="13A445CA"/>
    <w:rsid w:val="13AA7707"/>
    <w:rsid w:val="13B54A2A"/>
    <w:rsid w:val="13BB6FB1"/>
    <w:rsid w:val="13C133CE"/>
    <w:rsid w:val="13D1738A"/>
    <w:rsid w:val="13E64BE3"/>
    <w:rsid w:val="13E825C8"/>
    <w:rsid w:val="14244083"/>
    <w:rsid w:val="14250FD5"/>
    <w:rsid w:val="14327345"/>
    <w:rsid w:val="14495172"/>
    <w:rsid w:val="1457788F"/>
    <w:rsid w:val="147F0B94"/>
    <w:rsid w:val="149C1746"/>
    <w:rsid w:val="14FC3F92"/>
    <w:rsid w:val="14FE6163"/>
    <w:rsid w:val="150115A9"/>
    <w:rsid w:val="151412DC"/>
    <w:rsid w:val="15393438"/>
    <w:rsid w:val="153F0C2E"/>
    <w:rsid w:val="15543DCE"/>
    <w:rsid w:val="15595889"/>
    <w:rsid w:val="15804BC3"/>
    <w:rsid w:val="158346B4"/>
    <w:rsid w:val="15891CCA"/>
    <w:rsid w:val="15C40F54"/>
    <w:rsid w:val="15CD32AA"/>
    <w:rsid w:val="15DB629E"/>
    <w:rsid w:val="15E909BB"/>
    <w:rsid w:val="15F5359C"/>
    <w:rsid w:val="160B7B0C"/>
    <w:rsid w:val="163A1216"/>
    <w:rsid w:val="16414301"/>
    <w:rsid w:val="164D7F06"/>
    <w:rsid w:val="16640041"/>
    <w:rsid w:val="168C1346"/>
    <w:rsid w:val="16922E00"/>
    <w:rsid w:val="16D01B7A"/>
    <w:rsid w:val="16EF4843"/>
    <w:rsid w:val="170A7E35"/>
    <w:rsid w:val="171657DF"/>
    <w:rsid w:val="173B6FF4"/>
    <w:rsid w:val="1783099B"/>
    <w:rsid w:val="178917B7"/>
    <w:rsid w:val="178F7340"/>
    <w:rsid w:val="17946704"/>
    <w:rsid w:val="17A74689"/>
    <w:rsid w:val="17B40C8E"/>
    <w:rsid w:val="17DE07C9"/>
    <w:rsid w:val="18055854"/>
    <w:rsid w:val="18057602"/>
    <w:rsid w:val="180E4708"/>
    <w:rsid w:val="181B6E25"/>
    <w:rsid w:val="182201B4"/>
    <w:rsid w:val="182508BA"/>
    <w:rsid w:val="18371EB1"/>
    <w:rsid w:val="18422604"/>
    <w:rsid w:val="185000DF"/>
    <w:rsid w:val="18787DD4"/>
    <w:rsid w:val="187D6703"/>
    <w:rsid w:val="189E3CDE"/>
    <w:rsid w:val="18A1557C"/>
    <w:rsid w:val="18A31822"/>
    <w:rsid w:val="18C1177B"/>
    <w:rsid w:val="18CB084B"/>
    <w:rsid w:val="18E86D07"/>
    <w:rsid w:val="190873AA"/>
    <w:rsid w:val="19193365"/>
    <w:rsid w:val="191C2E55"/>
    <w:rsid w:val="195471D2"/>
    <w:rsid w:val="19831126"/>
    <w:rsid w:val="198509FA"/>
    <w:rsid w:val="198B6584"/>
    <w:rsid w:val="198D78AF"/>
    <w:rsid w:val="19AB48C7"/>
    <w:rsid w:val="19C77265"/>
    <w:rsid w:val="19E576EB"/>
    <w:rsid w:val="19ED0676"/>
    <w:rsid w:val="19F94F44"/>
    <w:rsid w:val="1A0E6C42"/>
    <w:rsid w:val="1A794B4E"/>
    <w:rsid w:val="1A834941"/>
    <w:rsid w:val="1ABF1CEA"/>
    <w:rsid w:val="1AC80FC1"/>
    <w:rsid w:val="1AD31C39"/>
    <w:rsid w:val="1AE6371B"/>
    <w:rsid w:val="1AFA5418"/>
    <w:rsid w:val="1AFC5838"/>
    <w:rsid w:val="1B3C158C"/>
    <w:rsid w:val="1B542D7A"/>
    <w:rsid w:val="1B8542B0"/>
    <w:rsid w:val="1B972C67"/>
    <w:rsid w:val="1BAC703A"/>
    <w:rsid w:val="1BD45C69"/>
    <w:rsid w:val="1BFE1D25"/>
    <w:rsid w:val="1C16002F"/>
    <w:rsid w:val="1C166281"/>
    <w:rsid w:val="1C3109C5"/>
    <w:rsid w:val="1C330BE1"/>
    <w:rsid w:val="1C5172BA"/>
    <w:rsid w:val="1C5756FD"/>
    <w:rsid w:val="1C8256C5"/>
    <w:rsid w:val="1C980A44"/>
    <w:rsid w:val="1C9F0025"/>
    <w:rsid w:val="1CB3762C"/>
    <w:rsid w:val="1D306ECF"/>
    <w:rsid w:val="1D5030CD"/>
    <w:rsid w:val="1D7A45EE"/>
    <w:rsid w:val="1D7B2840"/>
    <w:rsid w:val="1DA578BD"/>
    <w:rsid w:val="1DCC309C"/>
    <w:rsid w:val="1DF0665E"/>
    <w:rsid w:val="1DF12B02"/>
    <w:rsid w:val="1DFC3255"/>
    <w:rsid w:val="1E05035C"/>
    <w:rsid w:val="1E075E82"/>
    <w:rsid w:val="1E0A5972"/>
    <w:rsid w:val="1E1C7453"/>
    <w:rsid w:val="1E2A7DC2"/>
    <w:rsid w:val="1E5C575F"/>
    <w:rsid w:val="1E650DFA"/>
    <w:rsid w:val="1E763007"/>
    <w:rsid w:val="1E8E0351"/>
    <w:rsid w:val="1E9F3589"/>
    <w:rsid w:val="1EAB4536"/>
    <w:rsid w:val="1EBD29E4"/>
    <w:rsid w:val="1EBF49AE"/>
    <w:rsid w:val="1EDB10BC"/>
    <w:rsid w:val="1EEA12FF"/>
    <w:rsid w:val="1F1D16D5"/>
    <w:rsid w:val="1F30765A"/>
    <w:rsid w:val="1F37541A"/>
    <w:rsid w:val="1F4620ED"/>
    <w:rsid w:val="1F550E6F"/>
    <w:rsid w:val="1F552C1D"/>
    <w:rsid w:val="1F882FF2"/>
    <w:rsid w:val="1F9A2D26"/>
    <w:rsid w:val="1FA12306"/>
    <w:rsid w:val="1FA140B4"/>
    <w:rsid w:val="1FBF6DD9"/>
    <w:rsid w:val="1FE83A91"/>
    <w:rsid w:val="1FEB3581"/>
    <w:rsid w:val="1FFC12EA"/>
    <w:rsid w:val="1FFE32B4"/>
    <w:rsid w:val="200B1B5D"/>
    <w:rsid w:val="203211B0"/>
    <w:rsid w:val="20340A84"/>
    <w:rsid w:val="207D72AE"/>
    <w:rsid w:val="20847555"/>
    <w:rsid w:val="209B0B03"/>
    <w:rsid w:val="20DB35F6"/>
    <w:rsid w:val="211C49E1"/>
    <w:rsid w:val="215A276C"/>
    <w:rsid w:val="217F6677"/>
    <w:rsid w:val="219315D6"/>
    <w:rsid w:val="21AE2AB8"/>
    <w:rsid w:val="21B26104"/>
    <w:rsid w:val="21E5472C"/>
    <w:rsid w:val="22364F87"/>
    <w:rsid w:val="22466B57"/>
    <w:rsid w:val="224C6559"/>
    <w:rsid w:val="22502358"/>
    <w:rsid w:val="225651EB"/>
    <w:rsid w:val="225D0D83"/>
    <w:rsid w:val="22705A00"/>
    <w:rsid w:val="22774421"/>
    <w:rsid w:val="22857CBD"/>
    <w:rsid w:val="228A7081"/>
    <w:rsid w:val="22A85759"/>
    <w:rsid w:val="22E06CA1"/>
    <w:rsid w:val="22EE3770"/>
    <w:rsid w:val="2309444A"/>
    <w:rsid w:val="23490B3D"/>
    <w:rsid w:val="235D4ECC"/>
    <w:rsid w:val="23720241"/>
    <w:rsid w:val="2373131B"/>
    <w:rsid w:val="23776020"/>
    <w:rsid w:val="23827D58"/>
    <w:rsid w:val="23B257DD"/>
    <w:rsid w:val="241522B0"/>
    <w:rsid w:val="24156E1F"/>
    <w:rsid w:val="24243C46"/>
    <w:rsid w:val="24305A06"/>
    <w:rsid w:val="247450D6"/>
    <w:rsid w:val="2490574E"/>
    <w:rsid w:val="249266C1"/>
    <w:rsid w:val="2495315B"/>
    <w:rsid w:val="249B5576"/>
    <w:rsid w:val="24AF4B7D"/>
    <w:rsid w:val="24B30B11"/>
    <w:rsid w:val="24BB5C18"/>
    <w:rsid w:val="24E46A77"/>
    <w:rsid w:val="24F133E8"/>
    <w:rsid w:val="24FB4266"/>
    <w:rsid w:val="253A09A5"/>
    <w:rsid w:val="2578143B"/>
    <w:rsid w:val="25837883"/>
    <w:rsid w:val="258B55EA"/>
    <w:rsid w:val="258B79F0"/>
    <w:rsid w:val="2591306C"/>
    <w:rsid w:val="259D0E7A"/>
    <w:rsid w:val="25D16D75"/>
    <w:rsid w:val="2604539D"/>
    <w:rsid w:val="26062EC3"/>
    <w:rsid w:val="263C68E5"/>
    <w:rsid w:val="263E440B"/>
    <w:rsid w:val="26430332"/>
    <w:rsid w:val="265359DC"/>
    <w:rsid w:val="26543C2E"/>
    <w:rsid w:val="26695200"/>
    <w:rsid w:val="266A16A4"/>
    <w:rsid w:val="267E0CAB"/>
    <w:rsid w:val="26A9214B"/>
    <w:rsid w:val="26C32B62"/>
    <w:rsid w:val="26FD2518"/>
    <w:rsid w:val="27007912"/>
    <w:rsid w:val="27111B1F"/>
    <w:rsid w:val="272A0E33"/>
    <w:rsid w:val="272F01F7"/>
    <w:rsid w:val="27337CE7"/>
    <w:rsid w:val="273B1194"/>
    <w:rsid w:val="27427F2B"/>
    <w:rsid w:val="275A1718"/>
    <w:rsid w:val="27675BE3"/>
    <w:rsid w:val="276E51C4"/>
    <w:rsid w:val="277B343D"/>
    <w:rsid w:val="27AC7A9A"/>
    <w:rsid w:val="27AF1DD1"/>
    <w:rsid w:val="27C070A1"/>
    <w:rsid w:val="27CB6172"/>
    <w:rsid w:val="2804615E"/>
    <w:rsid w:val="280671AA"/>
    <w:rsid w:val="281573ED"/>
    <w:rsid w:val="282D0BDB"/>
    <w:rsid w:val="283D1E23"/>
    <w:rsid w:val="28441A80"/>
    <w:rsid w:val="286E6AFD"/>
    <w:rsid w:val="288527C5"/>
    <w:rsid w:val="28A80261"/>
    <w:rsid w:val="28B407B2"/>
    <w:rsid w:val="28B46C06"/>
    <w:rsid w:val="28CA01D8"/>
    <w:rsid w:val="28F65DB8"/>
    <w:rsid w:val="290C6A42"/>
    <w:rsid w:val="29143B49"/>
    <w:rsid w:val="29183639"/>
    <w:rsid w:val="2927562A"/>
    <w:rsid w:val="2936586D"/>
    <w:rsid w:val="2967011C"/>
    <w:rsid w:val="29A0718A"/>
    <w:rsid w:val="29A50C45"/>
    <w:rsid w:val="29C70BBB"/>
    <w:rsid w:val="29F70FB5"/>
    <w:rsid w:val="29F73A25"/>
    <w:rsid w:val="2A297180"/>
    <w:rsid w:val="2A36189D"/>
    <w:rsid w:val="2A497822"/>
    <w:rsid w:val="2A500BB0"/>
    <w:rsid w:val="2A5266D7"/>
    <w:rsid w:val="2A73489F"/>
    <w:rsid w:val="2A750617"/>
    <w:rsid w:val="2AC05D36"/>
    <w:rsid w:val="2AC11AAE"/>
    <w:rsid w:val="2AC82AD4"/>
    <w:rsid w:val="2AFB1D28"/>
    <w:rsid w:val="2B0C1F5B"/>
    <w:rsid w:val="2B1A4D1A"/>
    <w:rsid w:val="2B2B7ACF"/>
    <w:rsid w:val="2B4360E1"/>
    <w:rsid w:val="2B522706"/>
    <w:rsid w:val="2B732DA8"/>
    <w:rsid w:val="2B9D1BD3"/>
    <w:rsid w:val="2BA56CDA"/>
    <w:rsid w:val="2BB45032"/>
    <w:rsid w:val="2BBD2D8B"/>
    <w:rsid w:val="2BBE4B59"/>
    <w:rsid w:val="2BC5112A"/>
    <w:rsid w:val="2BCA6741"/>
    <w:rsid w:val="2BCE7F12"/>
    <w:rsid w:val="2BF51A0F"/>
    <w:rsid w:val="2BFA7026"/>
    <w:rsid w:val="2C047EA4"/>
    <w:rsid w:val="2C0B2FE1"/>
    <w:rsid w:val="2C0E0D23"/>
    <w:rsid w:val="2C5030EA"/>
    <w:rsid w:val="2C564499"/>
    <w:rsid w:val="2C5D75B5"/>
    <w:rsid w:val="2C6E17C2"/>
    <w:rsid w:val="2C723060"/>
    <w:rsid w:val="2C8608B9"/>
    <w:rsid w:val="2C9E4910"/>
    <w:rsid w:val="2CBC077F"/>
    <w:rsid w:val="2CDA7096"/>
    <w:rsid w:val="2CED26E7"/>
    <w:rsid w:val="2CF15C51"/>
    <w:rsid w:val="2D144117"/>
    <w:rsid w:val="2D173C07"/>
    <w:rsid w:val="2D300825"/>
    <w:rsid w:val="2D314CC9"/>
    <w:rsid w:val="2D320A41"/>
    <w:rsid w:val="2D594220"/>
    <w:rsid w:val="2D5C5764"/>
    <w:rsid w:val="2D940DB4"/>
    <w:rsid w:val="2D947006"/>
    <w:rsid w:val="2DA95D50"/>
    <w:rsid w:val="2DB35663"/>
    <w:rsid w:val="2DD13DB6"/>
    <w:rsid w:val="2DF434B8"/>
    <w:rsid w:val="2E277E7A"/>
    <w:rsid w:val="2E2F063E"/>
    <w:rsid w:val="2E336271"/>
    <w:rsid w:val="2E3A195C"/>
    <w:rsid w:val="2E400F3C"/>
    <w:rsid w:val="2E41718E"/>
    <w:rsid w:val="2E422F06"/>
    <w:rsid w:val="2E527F99"/>
    <w:rsid w:val="2E5C766E"/>
    <w:rsid w:val="2E5E248D"/>
    <w:rsid w:val="2E6609A2"/>
    <w:rsid w:val="2E6B52EA"/>
    <w:rsid w:val="2E6B5FB9"/>
    <w:rsid w:val="2E7A61FC"/>
    <w:rsid w:val="2E870919"/>
    <w:rsid w:val="2E973223"/>
    <w:rsid w:val="2ECE02F6"/>
    <w:rsid w:val="2ED33887"/>
    <w:rsid w:val="2ED40002"/>
    <w:rsid w:val="2EDC6EB7"/>
    <w:rsid w:val="2EE144CD"/>
    <w:rsid w:val="2EF20488"/>
    <w:rsid w:val="2EFD264C"/>
    <w:rsid w:val="2F081A5A"/>
    <w:rsid w:val="2F193C67"/>
    <w:rsid w:val="2F223B86"/>
    <w:rsid w:val="2F2E610F"/>
    <w:rsid w:val="2F6F3887"/>
    <w:rsid w:val="2F835584"/>
    <w:rsid w:val="2F854E58"/>
    <w:rsid w:val="2F874DF5"/>
    <w:rsid w:val="2F882B9B"/>
    <w:rsid w:val="2FB90FA6"/>
    <w:rsid w:val="2FC9593C"/>
    <w:rsid w:val="2FE222AB"/>
    <w:rsid w:val="2FF14658"/>
    <w:rsid w:val="2FF87D20"/>
    <w:rsid w:val="2FFD0E93"/>
    <w:rsid w:val="30110DE2"/>
    <w:rsid w:val="30360848"/>
    <w:rsid w:val="30474804"/>
    <w:rsid w:val="304A60A2"/>
    <w:rsid w:val="304B42F4"/>
    <w:rsid w:val="304D5A02"/>
    <w:rsid w:val="307B44AD"/>
    <w:rsid w:val="309061AB"/>
    <w:rsid w:val="30AB6B41"/>
    <w:rsid w:val="30BA3228"/>
    <w:rsid w:val="30BD4AC6"/>
    <w:rsid w:val="30DF2AB7"/>
    <w:rsid w:val="31093867"/>
    <w:rsid w:val="31101099"/>
    <w:rsid w:val="312E3EDF"/>
    <w:rsid w:val="313308E4"/>
    <w:rsid w:val="317F3B29"/>
    <w:rsid w:val="31842EF7"/>
    <w:rsid w:val="3199108F"/>
    <w:rsid w:val="31A27A28"/>
    <w:rsid w:val="31B71515"/>
    <w:rsid w:val="31B859B9"/>
    <w:rsid w:val="31D04385"/>
    <w:rsid w:val="31E0174B"/>
    <w:rsid w:val="32186458"/>
    <w:rsid w:val="322C5A5F"/>
    <w:rsid w:val="32333292"/>
    <w:rsid w:val="32674CE9"/>
    <w:rsid w:val="326F1DF0"/>
    <w:rsid w:val="3281224F"/>
    <w:rsid w:val="3296737C"/>
    <w:rsid w:val="33022C64"/>
    <w:rsid w:val="33036D6F"/>
    <w:rsid w:val="33095DA0"/>
    <w:rsid w:val="33182487"/>
    <w:rsid w:val="3321133C"/>
    <w:rsid w:val="33263A56"/>
    <w:rsid w:val="333F17C2"/>
    <w:rsid w:val="3344327C"/>
    <w:rsid w:val="33484B1B"/>
    <w:rsid w:val="335A484E"/>
    <w:rsid w:val="33704071"/>
    <w:rsid w:val="339E298D"/>
    <w:rsid w:val="33C70135"/>
    <w:rsid w:val="33CB12A8"/>
    <w:rsid w:val="33DE722D"/>
    <w:rsid w:val="33EA2EAA"/>
    <w:rsid w:val="33F24A86"/>
    <w:rsid w:val="33F64577"/>
    <w:rsid w:val="33FB4F7E"/>
    <w:rsid w:val="34012F1B"/>
    <w:rsid w:val="340B78F6"/>
    <w:rsid w:val="34190265"/>
    <w:rsid w:val="343A7B15"/>
    <w:rsid w:val="34733E4C"/>
    <w:rsid w:val="349618B6"/>
    <w:rsid w:val="34B730B7"/>
    <w:rsid w:val="34BA1A48"/>
    <w:rsid w:val="34C479A9"/>
    <w:rsid w:val="350A7810"/>
    <w:rsid w:val="351849C1"/>
    <w:rsid w:val="35521A6A"/>
    <w:rsid w:val="35661101"/>
    <w:rsid w:val="358C2592"/>
    <w:rsid w:val="359009FB"/>
    <w:rsid w:val="35A63D7A"/>
    <w:rsid w:val="35AD5109"/>
    <w:rsid w:val="35E054DE"/>
    <w:rsid w:val="36017203"/>
    <w:rsid w:val="36037B79"/>
    <w:rsid w:val="362F1FC2"/>
    <w:rsid w:val="363870C8"/>
    <w:rsid w:val="3647730B"/>
    <w:rsid w:val="365437D6"/>
    <w:rsid w:val="365657A0"/>
    <w:rsid w:val="36603F29"/>
    <w:rsid w:val="367154A5"/>
    <w:rsid w:val="36851BE2"/>
    <w:rsid w:val="368A369C"/>
    <w:rsid w:val="3699568D"/>
    <w:rsid w:val="36A858D0"/>
    <w:rsid w:val="36A91D74"/>
    <w:rsid w:val="36B9188B"/>
    <w:rsid w:val="36CA1CEB"/>
    <w:rsid w:val="36DA0180"/>
    <w:rsid w:val="36DF7544"/>
    <w:rsid w:val="36F62AE0"/>
    <w:rsid w:val="372C4753"/>
    <w:rsid w:val="37691503"/>
    <w:rsid w:val="37696403"/>
    <w:rsid w:val="37767DC0"/>
    <w:rsid w:val="377759CE"/>
    <w:rsid w:val="37875BA8"/>
    <w:rsid w:val="37CA5E03"/>
    <w:rsid w:val="37F45271"/>
    <w:rsid w:val="37FA03AE"/>
    <w:rsid w:val="38211DDE"/>
    <w:rsid w:val="38286CC9"/>
    <w:rsid w:val="383C09C6"/>
    <w:rsid w:val="3857135C"/>
    <w:rsid w:val="38B92017"/>
    <w:rsid w:val="38B93DC5"/>
    <w:rsid w:val="39317DFF"/>
    <w:rsid w:val="39380AF8"/>
    <w:rsid w:val="39436E70"/>
    <w:rsid w:val="394B1FD3"/>
    <w:rsid w:val="3956647C"/>
    <w:rsid w:val="395B30CE"/>
    <w:rsid w:val="398C47CD"/>
    <w:rsid w:val="39932868"/>
    <w:rsid w:val="39B12CEE"/>
    <w:rsid w:val="39C46EC5"/>
    <w:rsid w:val="39DE7BA2"/>
    <w:rsid w:val="39E506ED"/>
    <w:rsid w:val="39FE23D7"/>
    <w:rsid w:val="3A322081"/>
    <w:rsid w:val="3A396F6B"/>
    <w:rsid w:val="3A976388"/>
    <w:rsid w:val="3AF21C3E"/>
    <w:rsid w:val="3B131EB2"/>
    <w:rsid w:val="3B2319C9"/>
    <w:rsid w:val="3B426338"/>
    <w:rsid w:val="3B4B164C"/>
    <w:rsid w:val="3B5D45E3"/>
    <w:rsid w:val="3B7010B2"/>
    <w:rsid w:val="3BCE5DD9"/>
    <w:rsid w:val="3BD056AD"/>
    <w:rsid w:val="3BD66A3C"/>
    <w:rsid w:val="3BF05D4F"/>
    <w:rsid w:val="3C0161AE"/>
    <w:rsid w:val="3C025A83"/>
    <w:rsid w:val="3C0D1860"/>
    <w:rsid w:val="3C487939"/>
    <w:rsid w:val="3C575DCE"/>
    <w:rsid w:val="3C7E0814"/>
    <w:rsid w:val="3C9012E0"/>
    <w:rsid w:val="3C9E1C4F"/>
    <w:rsid w:val="3CC66AB0"/>
    <w:rsid w:val="3CD36D63"/>
    <w:rsid w:val="3CDB255C"/>
    <w:rsid w:val="3CF74BE0"/>
    <w:rsid w:val="3CFE26EE"/>
    <w:rsid w:val="3D006466"/>
    <w:rsid w:val="3D0F2205"/>
    <w:rsid w:val="3D0F48FB"/>
    <w:rsid w:val="3D2E2FD3"/>
    <w:rsid w:val="3D580050"/>
    <w:rsid w:val="3DA45043"/>
    <w:rsid w:val="3DB80AEF"/>
    <w:rsid w:val="3DBF00CF"/>
    <w:rsid w:val="3DE859E7"/>
    <w:rsid w:val="3DF77869"/>
    <w:rsid w:val="3E35213F"/>
    <w:rsid w:val="3E390CE4"/>
    <w:rsid w:val="3E3A7756"/>
    <w:rsid w:val="3E4D56DB"/>
    <w:rsid w:val="3E612F34"/>
    <w:rsid w:val="3E7762B4"/>
    <w:rsid w:val="3E87373D"/>
    <w:rsid w:val="3E8D55C0"/>
    <w:rsid w:val="3EA846BF"/>
    <w:rsid w:val="3EB23790"/>
    <w:rsid w:val="3EB33DA1"/>
    <w:rsid w:val="3EF603D9"/>
    <w:rsid w:val="3EF818EE"/>
    <w:rsid w:val="3EFD0EAF"/>
    <w:rsid w:val="3F634A8A"/>
    <w:rsid w:val="3F696545"/>
    <w:rsid w:val="3F80091F"/>
    <w:rsid w:val="3F877AC9"/>
    <w:rsid w:val="3F8B3D4C"/>
    <w:rsid w:val="3FC4377B"/>
    <w:rsid w:val="3FC96FE3"/>
    <w:rsid w:val="3FCE63A8"/>
    <w:rsid w:val="40176265"/>
    <w:rsid w:val="402E6E46"/>
    <w:rsid w:val="406E7B8B"/>
    <w:rsid w:val="407C6106"/>
    <w:rsid w:val="407D392A"/>
    <w:rsid w:val="408B6047"/>
    <w:rsid w:val="409475F1"/>
    <w:rsid w:val="40956EC5"/>
    <w:rsid w:val="40CB28E7"/>
    <w:rsid w:val="40D23C76"/>
    <w:rsid w:val="40DC2D46"/>
    <w:rsid w:val="40F2256A"/>
    <w:rsid w:val="413761CE"/>
    <w:rsid w:val="41406E31"/>
    <w:rsid w:val="417F09E7"/>
    <w:rsid w:val="418A09F4"/>
    <w:rsid w:val="41E06866"/>
    <w:rsid w:val="41EA1493"/>
    <w:rsid w:val="41FF0A9A"/>
    <w:rsid w:val="42417218"/>
    <w:rsid w:val="428471F1"/>
    <w:rsid w:val="42B2515B"/>
    <w:rsid w:val="42FA47E8"/>
    <w:rsid w:val="43120CA1"/>
    <w:rsid w:val="432D1637"/>
    <w:rsid w:val="433429C6"/>
    <w:rsid w:val="433B067B"/>
    <w:rsid w:val="434B5F61"/>
    <w:rsid w:val="4359242C"/>
    <w:rsid w:val="435B4329"/>
    <w:rsid w:val="43745CAA"/>
    <w:rsid w:val="439B0C97"/>
    <w:rsid w:val="43B81849"/>
    <w:rsid w:val="43B9736F"/>
    <w:rsid w:val="4416656F"/>
    <w:rsid w:val="441B3B85"/>
    <w:rsid w:val="441D5A50"/>
    <w:rsid w:val="442E1B0B"/>
    <w:rsid w:val="442F3E85"/>
    <w:rsid w:val="4431500F"/>
    <w:rsid w:val="44366C11"/>
    <w:rsid w:val="4456696C"/>
    <w:rsid w:val="445D419E"/>
    <w:rsid w:val="44735770"/>
    <w:rsid w:val="44872FC9"/>
    <w:rsid w:val="44913E48"/>
    <w:rsid w:val="4492209A"/>
    <w:rsid w:val="44B30262"/>
    <w:rsid w:val="44B33DBE"/>
    <w:rsid w:val="44F42275"/>
    <w:rsid w:val="44FF34A7"/>
    <w:rsid w:val="451900C5"/>
    <w:rsid w:val="451F1453"/>
    <w:rsid w:val="454964D0"/>
    <w:rsid w:val="454D4212"/>
    <w:rsid w:val="45927E77"/>
    <w:rsid w:val="45AC0F39"/>
    <w:rsid w:val="46026DAB"/>
    <w:rsid w:val="462907DC"/>
    <w:rsid w:val="46362EF9"/>
    <w:rsid w:val="46396545"/>
    <w:rsid w:val="4646138E"/>
    <w:rsid w:val="466B316B"/>
    <w:rsid w:val="467557CF"/>
    <w:rsid w:val="46767799"/>
    <w:rsid w:val="46853538"/>
    <w:rsid w:val="4690085B"/>
    <w:rsid w:val="46935C55"/>
    <w:rsid w:val="469C11DF"/>
    <w:rsid w:val="46A71700"/>
    <w:rsid w:val="46D02A05"/>
    <w:rsid w:val="46DE25E4"/>
    <w:rsid w:val="46FA4322"/>
    <w:rsid w:val="46FF778E"/>
    <w:rsid w:val="47044DA5"/>
    <w:rsid w:val="471A1ED2"/>
    <w:rsid w:val="472745EF"/>
    <w:rsid w:val="47541888"/>
    <w:rsid w:val="47695A47"/>
    <w:rsid w:val="4770243A"/>
    <w:rsid w:val="47721D0E"/>
    <w:rsid w:val="478A34FC"/>
    <w:rsid w:val="478B63E3"/>
    <w:rsid w:val="47AF6ABF"/>
    <w:rsid w:val="47FC782A"/>
    <w:rsid w:val="4803505C"/>
    <w:rsid w:val="48254FD3"/>
    <w:rsid w:val="48515DC8"/>
    <w:rsid w:val="48677399"/>
    <w:rsid w:val="486A5FCF"/>
    <w:rsid w:val="48763A80"/>
    <w:rsid w:val="48822425"/>
    <w:rsid w:val="48847F4B"/>
    <w:rsid w:val="489D630D"/>
    <w:rsid w:val="489E242C"/>
    <w:rsid w:val="48BF5427"/>
    <w:rsid w:val="48EE1869"/>
    <w:rsid w:val="48F05136"/>
    <w:rsid w:val="48FE197F"/>
    <w:rsid w:val="49064E04"/>
    <w:rsid w:val="490948F4"/>
    <w:rsid w:val="49211C3E"/>
    <w:rsid w:val="492139EC"/>
    <w:rsid w:val="49382AE4"/>
    <w:rsid w:val="495F2766"/>
    <w:rsid w:val="497E2BEC"/>
    <w:rsid w:val="49865F45"/>
    <w:rsid w:val="49883A6B"/>
    <w:rsid w:val="49916397"/>
    <w:rsid w:val="49A01751"/>
    <w:rsid w:val="49A07007"/>
    <w:rsid w:val="49A60395"/>
    <w:rsid w:val="49BA799D"/>
    <w:rsid w:val="4A0C644A"/>
    <w:rsid w:val="4A1672C9"/>
    <w:rsid w:val="4A275032"/>
    <w:rsid w:val="4A280DAA"/>
    <w:rsid w:val="4A312D2C"/>
    <w:rsid w:val="4A3239D7"/>
    <w:rsid w:val="4A437992"/>
    <w:rsid w:val="4A7432FF"/>
    <w:rsid w:val="4A8204BA"/>
    <w:rsid w:val="4A90057F"/>
    <w:rsid w:val="4AD33858"/>
    <w:rsid w:val="4AD36F68"/>
    <w:rsid w:val="4AD54A8E"/>
    <w:rsid w:val="4AF70DAF"/>
    <w:rsid w:val="4AFD2237"/>
    <w:rsid w:val="4AFF7D5D"/>
    <w:rsid w:val="4B1E6C50"/>
    <w:rsid w:val="4B41632B"/>
    <w:rsid w:val="4B447E66"/>
    <w:rsid w:val="4B5D4A84"/>
    <w:rsid w:val="4B83098E"/>
    <w:rsid w:val="4BAB57EF"/>
    <w:rsid w:val="4BD9235C"/>
    <w:rsid w:val="4BDC7414"/>
    <w:rsid w:val="4BEB6533"/>
    <w:rsid w:val="4BED22AB"/>
    <w:rsid w:val="4C0849EF"/>
    <w:rsid w:val="4C63431C"/>
    <w:rsid w:val="4C8D6FAC"/>
    <w:rsid w:val="4CA24E44"/>
    <w:rsid w:val="4CA6341A"/>
    <w:rsid w:val="4CAD5597"/>
    <w:rsid w:val="4CE95494"/>
    <w:rsid w:val="4CF338F1"/>
    <w:rsid w:val="4CF3569F"/>
    <w:rsid w:val="4CF50A7A"/>
    <w:rsid w:val="4D3857A8"/>
    <w:rsid w:val="4D48675A"/>
    <w:rsid w:val="4D4C3002"/>
    <w:rsid w:val="4D695962"/>
    <w:rsid w:val="4D845251"/>
    <w:rsid w:val="4D994499"/>
    <w:rsid w:val="4DA92202"/>
    <w:rsid w:val="4DCD7C9F"/>
    <w:rsid w:val="4E141D71"/>
    <w:rsid w:val="4E1F24C4"/>
    <w:rsid w:val="4E200716"/>
    <w:rsid w:val="4E277B74"/>
    <w:rsid w:val="4E296E9F"/>
    <w:rsid w:val="4E2D4BE1"/>
    <w:rsid w:val="4E326C84"/>
    <w:rsid w:val="4E45007C"/>
    <w:rsid w:val="4E8547F9"/>
    <w:rsid w:val="4E866633"/>
    <w:rsid w:val="4E8937B7"/>
    <w:rsid w:val="4E962AFD"/>
    <w:rsid w:val="4E9C3B15"/>
    <w:rsid w:val="4EA03605"/>
    <w:rsid w:val="4EAA6232"/>
    <w:rsid w:val="4EC2357B"/>
    <w:rsid w:val="4EFA3A55"/>
    <w:rsid w:val="4EFB6A8D"/>
    <w:rsid w:val="4EFC6374"/>
    <w:rsid w:val="4F0040A4"/>
    <w:rsid w:val="4F206A6C"/>
    <w:rsid w:val="4F3D2C02"/>
    <w:rsid w:val="4F4832B5"/>
    <w:rsid w:val="4F6E54B1"/>
    <w:rsid w:val="4F7E61D1"/>
    <w:rsid w:val="4F7F469D"/>
    <w:rsid w:val="4FA709C3"/>
    <w:rsid w:val="4FB56C3C"/>
    <w:rsid w:val="4FB625D4"/>
    <w:rsid w:val="4FCE41A2"/>
    <w:rsid w:val="4FD03A76"/>
    <w:rsid w:val="4FD95020"/>
    <w:rsid w:val="4FDD43E5"/>
    <w:rsid w:val="4FF57980"/>
    <w:rsid w:val="500D4CCA"/>
    <w:rsid w:val="50146059"/>
    <w:rsid w:val="501871CB"/>
    <w:rsid w:val="50306C0B"/>
    <w:rsid w:val="504306EC"/>
    <w:rsid w:val="509372E2"/>
    <w:rsid w:val="509E5922"/>
    <w:rsid w:val="50B109A1"/>
    <w:rsid w:val="50BA6B94"/>
    <w:rsid w:val="50C01D3C"/>
    <w:rsid w:val="50C64E79"/>
    <w:rsid w:val="50FB2D75"/>
    <w:rsid w:val="51046032"/>
    <w:rsid w:val="511300BE"/>
    <w:rsid w:val="51167BAE"/>
    <w:rsid w:val="51303EAE"/>
    <w:rsid w:val="514209A3"/>
    <w:rsid w:val="514A5AAA"/>
    <w:rsid w:val="514C2F36"/>
    <w:rsid w:val="515801C7"/>
    <w:rsid w:val="5161036C"/>
    <w:rsid w:val="51D05FAF"/>
    <w:rsid w:val="52043713"/>
    <w:rsid w:val="521265C8"/>
    <w:rsid w:val="521E31BF"/>
    <w:rsid w:val="522462FB"/>
    <w:rsid w:val="522B768A"/>
    <w:rsid w:val="52341E6C"/>
    <w:rsid w:val="524948E8"/>
    <w:rsid w:val="524D5852"/>
    <w:rsid w:val="52500E9E"/>
    <w:rsid w:val="5258444A"/>
    <w:rsid w:val="525878B6"/>
    <w:rsid w:val="526B3271"/>
    <w:rsid w:val="52903990"/>
    <w:rsid w:val="5294522F"/>
    <w:rsid w:val="52952D55"/>
    <w:rsid w:val="52A400DA"/>
    <w:rsid w:val="52B551A5"/>
    <w:rsid w:val="52B70F1D"/>
    <w:rsid w:val="52C61160"/>
    <w:rsid w:val="52F201A7"/>
    <w:rsid w:val="533F163E"/>
    <w:rsid w:val="533F4D8D"/>
    <w:rsid w:val="534D3630"/>
    <w:rsid w:val="53986FA1"/>
    <w:rsid w:val="53C102A5"/>
    <w:rsid w:val="53FD5056"/>
    <w:rsid w:val="542F3598"/>
    <w:rsid w:val="54624EB9"/>
    <w:rsid w:val="547C41CC"/>
    <w:rsid w:val="547F3CBD"/>
    <w:rsid w:val="54905ECA"/>
    <w:rsid w:val="54A11E85"/>
    <w:rsid w:val="54AD4386"/>
    <w:rsid w:val="54AD4BA0"/>
    <w:rsid w:val="54D9161F"/>
    <w:rsid w:val="54EA55DA"/>
    <w:rsid w:val="551B39E5"/>
    <w:rsid w:val="55306D12"/>
    <w:rsid w:val="55766E6E"/>
    <w:rsid w:val="55797D86"/>
    <w:rsid w:val="55AE6607"/>
    <w:rsid w:val="55E92891"/>
    <w:rsid w:val="56244B1C"/>
    <w:rsid w:val="56270168"/>
    <w:rsid w:val="563034C0"/>
    <w:rsid w:val="56312D95"/>
    <w:rsid w:val="563306B8"/>
    <w:rsid w:val="563665FD"/>
    <w:rsid w:val="56666EE2"/>
    <w:rsid w:val="56674A08"/>
    <w:rsid w:val="56723AD9"/>
    <w:rsid w:val="568D3381"/>
    <w:rsid w:val="569D042A"/>
    <w:rsid w:val="56A45C5C"/>
    <w:rsid w:val="56AF6ADB"/>
    <w:rsid w:val="56BA414B"/>
    <w:rsid w:val="56F20776"/>
    <w:rsid w:val="573729F0"/>
    <w:rsid w:val="57751339"/>
    <w:rsid w:val="57C02622"/>
    <w:rsid w:val="57C100EB"/>
    <w:rsid w:val="57C32112"/>
    <w:rsid w:val="57C40364"/>
    <w:rsid w:val="580813C9"/>
    <w:rsid w:val="581110D0"/>
    <w:rsid w:val="581F37ED"/>
    <w:rsid w:val="58403664"/>
    <w:rsid w:val="58410767"/>
    <w:rsid w:val="58580AAD"/>
    <w:rsid w:val="586873A2"/>
    <w:rsid w:val="5878114F"/>
    <w:rsid w:val="58BE1257"/>
    <w:rsid w:val="58D5034F"/>
    <w:rsid w:val="58E469F4"/>
    <w:rsid w:val="58F46A27"/>
    <w:rsid w:val="59011144"/>
    <w:rsid w:val="59034EBC"/>
    <w:rsid w:val="59460458"/>
    <w:rsid w:val="59592D2E"/>
    <w:rsid w:val="59682F71"/>
    <w:rsid w:val="59726C85"/>
    <w:rsid w:val="5980650D"/>
    <w:rsid w:val="598D0C2A"/>
    <w:rsid w:val="599B50F5"/>
    <w:rsid w:val="59CD7278"/>
    <w:rsid w:val="59D52E71"/>
    <w:rsid w:val="59F551CE"/>
    <w:rsid w:val="5A096502"/>
    <w:rsid w:val="5A1F7AD4"/>
    <w:rsid w:val="5A4C2893"/>
    <w:rsid w:val="5A6E2809"/>
    <w:rsid w:val="5A6E45B7"/>
    <w:rsid w:val="5A806438"/>
    <w:rsid w:val="5A8D7133"/>
    <w:rsid w:val="5A8E6A07"/>
    <w:rsid w:val="5A9B2ED2"/>
    <w:rsid w:val="5B305D11"/>
    <w:rsid w:val="5B4B4C15"/>
    <w:rsid w:val="5B4F43E9"/>
    <w:rsid w:val="5B501F0F"/>
    <w:rsid w:val="5B540C9C"/>
    <w:rsid w:val="5B5C08B4"/>
    <w:rsid w:val="5B7025B1"/>
    <w:rsid w:val="5BAF4E87"/>
    <w:rsid w:val="5BC052E6"/>
    <w:rsid w:val="5BCB77E7"/>
    <w:rsid w:val="5BE70AC5"/>
    <w:rsid w:val="5BF64864"/>
    <w:rsid w:val="5BF8682E"/>
    <w:rsid w:val="5BF94355"/>
    <w:rsid w:val="5C050F4B"/>
    <w:rsid w:val="5C263110"/>
    <w:rsid w:val="5C2C64D8"/>
    <w:rsid w:val="5C3D2493"/>
    <w:rsid w:val="5C49708A"/>
    <w:rsid w:val="5C5D35F9"/>
    <w:rsid w:val="5C692417"/>
    <w:rsid w:val="5C6A0DAE"/>
    <w:rsid w:val="5C7120A1"/>
    <w:rsid w:val="5C7602FB"/>
    <w:rsid w:val="5C8956D8"/>
    <w:rsid w:val="5C9C6043"/>
    <w:rsid w:val="5CD02259"/>
    <w:rsid w:val="5D164099"/>
    <w:rsid w:val="5D301FF8"/>
    <w:rsid w:val="5D375134"/>
    <w:rsid w:val="5D7243BE"/>
    <w:rsid w:val="5D997103"/>
    <w:rsid w:val="5DA12EF6"/>
    <w:rsid w:val="5DBE5856"/>
    <w:rsid w:val="5DCF7A63"/>
    <w:rsid w:val="5DF66D9E"/>
    <w:rsid w:val="5E0E058B"/>
    <w:rsid w:val="5E145476"/>
    <w:rsid w:val="5E1E4546"/>
    <w:rsid w:val="5E3E72C5"/>
    <w:rsid w:val="5E3F7A02"/>
    <w:rsid w:val="5E744166"/>
    <w:rsid w:val="5E8C7702"/>
    <w:rsid w:val="5E980CC7"/>
    <w:rsid w:val="5EAF519E"/>
    <w:rsid w:val="5EC944B2"/>
    <w:rsid w:val="5ED05841"/>
    <w:rsid w:val="5ED66BCF"/>
    <w:rsid w:val="5EE4309A"/>
    <w:rsid w:val="5EE94B54"/>
    <w:rsid w:val="5F0C6534"/>
    <w:rsid w:val="5F2E2835"/>
    <w:rsid w:val="5F750196"/>
    <w:rsid w:val="5F8623A3"/>
    <w:rsid w:val="5F9B01A4"/>
    <w:rsid w:val="5FB05672"/>
    <w:rsid w:val="5FB707AE"/>
    <w:rsid w:val="5FE5411D"/>
    <w:rsid w:val="5FE570CA"/>
    <w:rsid w:val="5FE64BF0"/>
    <w:rsid w:val="5FF82C8D"/>
    <w:rsid w:val="60104DCE"/>
    <w:rsid w:val="6016065D"/>
    <w:rsid w:val="60363DC9"/>
    <w:rsid w:val="603D5158"/>
    <w:rsid w:val="604457BE"/>
    <w:rsid w:val="604D2EC1"/>
    <w:rsid w:val="60730B79"/>
    <w:rsid w:val="607D5554"/>
    <w:rsid w:val="60820DBC"/>
    <w:rsid w:val="6089666F"/>
    <w:rsid w:val="608E59B3"/>
    <w:rsid w:val="60AA0313"/>
    <w:rsid w:val="60F35816"/>
    <w:rsid w:val="60F4535F"/>
    <w:rsid w:val="60F4722A"/>
    <w:rsid w:val="61316CB8"/>
    <w:rsid w:val="61477910"/>
    <w:rsid w:val="61774160"/>
    <w:rsid w:val="61897F29"/>
    <w:rsid w:val="61C62F2B"/>
    <w:rsid w:val="61D93C05"/>
    <w:rsid w:val="62065A1D"/>
    <w:rsid w:val="62311D7E"/>
    <w:rsid w:val="625004C6"/>
    <w:rsid w:val="62AA23ED"/>
    <w:rsid w:val="62AE1262"/>
    <w:rsid w:val="630B32EB"/>
    <w:rsid w:val="632C3261"/>
    <w:rsid w:val="63727A24"/>
    <w:rsid w:val="63750765"/>
    <w:rsid w:val="63936E3D"/>
    <w:rsid w:val="63AE1EC8"/>
    <w:rsid w:val="63B23767"/>
    <w:rsid w:val="63B514A9"/>
    <w:rsid w:val="63BC45E5"/>
    <w:rsid w:val="63C67212"/>
    <w:rsid w:val="63C96D02"/>
    <w:rsid w:val="63D13A65"/>
    <w:rsid w:val="63D336DD"/>
    <w:rsid w:val="63E61128"/>
    <w:rsid w:val="640F6E0B"/>
    <w:rsid w:val="64170DF4"/>
    <w:rsid w:val="642301C1"/>
    <w:rsid w:val="64236413"/>
    <w:rsid w:val="64430863"/>
    <w:rsid w:val="64572560"/>
    <w:rsid w:val="646B7DB9"/>
    <w:rsid w:val="64874BF3"/>
    <w:rsid w:val="649E1D6E"/>
    <w:rsid w:val="649E3CEB"/>
    <w:rsid w:val="64AA08E2"/>
    <w:rsid w:val="64C86FBA"/>
    <w:rsid w:val="64D15E6F"/>
    <w:rsid w:val="64E70F5A"/>
    <w:rsid w:val="64EE6A20"/>
    <w:rsid w:val="653A7EB8"/>
    <w:rsid w:val="654A023D"/>
    <w:rsid w:val="656F7435"/>
    <w:rsid w:val="657B5DDA"/>
    <w:rsid w:val="65815965"/>
    <w:rsid w:val="65AC2438"/>
    <w:rsid w:val="65B80DDC"/>
    <w:rsid w:val="65B8702E"/>
    <w:rsid w:val="65BC08CD"/>
    <w:rsid w:val="65D06126"/>
    <w:rsid w:val="65D8322D"/>
    <w:rsid w:val="65DC0F6F"/>
    <w:rsid w:val="65ED0EF2"/>
    <w:rsid w:val="66081D64"/>
    <w:rsid w:val="66115E8B"/>
    <w:rsid w:val="662B551D"/>
    <w:rsid w:val="664B1C51"/>
    <w:rsid w:val="66612C7B"/>
    <w:rsid w:val="6683763C"/>
    <w:rsid w:val="668C4743"/>
    <w:rsid w:val="668E18C8"/>
    <w:rsid w:val="66BA2932"/>
    <w:rsid w:val="670D114D"/>
    <w:rsid w:val="67184229"/>
    <w:rsid w:val="6723497B"/>
    <w:rsid w:val="672A5D0A"/>
    <w:rsid w:val="672C55DE"/>
    <w:rsid w:val="672F1572"/>
    <w:rsid w:val="673152EA"/>
    <w:rsid w:val="67374E8C"/>
    <w:rsid w:val="673B7F17"/>
    <w:rsid w:val="6773320D"/>
    <w:rsid w:val="67793F5F"/>
    <w:rsid w:val="67AB6E4B"/>
    <w:rsid w:val="67E265E5"/>
    <w:rsid w:val="67F25FFE"/>
    <w:rsid w:val="680B1697"/>
    <w:rsid w:val="680E1188"/>
    <w:rsid w:val="680F30E4"/>
    <w:rsid w:val="68275C64"/>
    <w:rsid w:val="68331030"/>
    <w:rsid w:val="6852376A"/>
    <w:rsid w:val="68525518"/>
    <w:rsid w:val="685748DD"/>
    <w:rsid w:val="68777B8A"/>
    <w:rsid w:val="687977BA"/>
    <w:rsid w:val="68983D3B"/>
    <w:rsid w:val="68EF2D67"/>
    <w:rsid w:val="68EF4B15"/>
    <w:rsid w:val="68F16ADF"/>
    <w:rsid w:val="690C3919"/>
    <w:rsid w:val="690E77C6"/>
    <w:rsid w:val="6919225D"/>
    <w:rsid w:val="691B590A"/>
    <w:rsid w:val="6958090C"/>
    <w:rsid w:val="69765236"/>
    <w:rsid w:val="69A47FF6"/>
    <w:rsid w:val="69C266CE"/>
    <w:rsid w:val="69D02B99"/>
    <w:rsid w:val="69D43C0A"/>
    <w:rsid w:val="69E91EAC"/>
    <w:rsid w:val="69EA7DE8"/>
    <w:rsid w:val="69EE1271"/>
    <w:rsid w:val="6A050368"/>
    <w:rsid w:val="6A0D5B9B"/>
    <w:rsid w:val="6A3053E5"/>
    <w:rsid w:val="6A357977"/>
    <w:rsid w:val="6A440E91"/>
    <w:rsid w:val="6A7A6958"/>
    <w:rsid w:val="6A90057A"/>
    <w:rsid w:val="6AA656A7"/>
    <w:rsid w:val="6AE85CC0"/>
    <w:rsid w:val="6AFB1E97"/>
    <w:rsid w:val="6B4D72A6"/>
    <w:rsid w:val="6BAE6F0A"/>
    <w:rsid w:val="6BB34520"/>
    <w:rsid w:val="6BB81B36"/>
    <w:rsid w:val="6BC71D79"/>
    <w:rsid w:val="6BCA3618"/>
    <w:rsid w:val="6BD66460"/>
    <w:rsid w:val="6BF3491C"/>
    <w:rsid w:val="6BF76B46"/>
    <w:rsid w:val="6C180827"/>
    <w:rsid w:val="6C186A79"/>
    <w:rsid w:val="6C24541E"/>
    <w:rsid w:val="6C2737D0"/>
    <w:rsid w:val="6C3022B1"/>
    <w:rsid w:val="6C7041BF"/>
    <w:rsid w:val="6C7C0A65"/>
    <w:rsid w:val="6C944351"/>
    <w:rsid w:val="6CA976D1"/>
    <w:rsid w:val="6CBA7B30"/>
    <w:rsid w:val="6CC4450B"/>
    <w:rsid w:val="6CCB3AEB"/>
    <w:rsid w:val="6CCD7863"/>
    <w:rsid w:val="6CF263DD"/>
    <w:rsid w:val="6D4A4A10"/>
    <w:rsid w:val="6D4B5905"/>
    <w:rsid w:val="6D9A7D13"/>
    <w:rsid w:val="6DAF51BB"/>
    <w:rsid w:val="6DBE53FE"/>
    <w:rsid w:val="6E5B75C6"/>
    <w:rsid w:val="6E731484"/>
    <w:rsid w:val="6E8126B3"/>
    <w:rsid w:val="6E82642B"/>
    <w:rsid w:val="6E900B48"/>
    <w:rsid w:val="6ECB6F4F"/>
    <w:rsid w:val="6ECD58F9"/>
    <w:rsid w:val="6EDF387E"/>
    <w:rsid w:val="6EE64C0C"/>
    <w:rsid w:val="6EE844E0"/>
    <w:rsid w:val="6EE90259"/>
    <w:rsid w:val="6F077D6E"/>
    <w:rsid w:val="6F0D03EB"/>
    <w:rsid w:val="6F392F8E"/>
    <w:rsid w:val="6F525DFE"/>
    <w:rsid w:val="6F6049BF"/>
    <w:rsid w:val="6F604F44"/>
    <w:rsid w:val="6F9603E0"/>
    <w:rsid w:val="6FB70357"/>
    <w:rsid w:val="6FB95E7D"/>
    <w:rsid w:val="6FE729EA"/>
    <w:rsid w:val="6FF2580F"/>
    <w:rsid w:val="6FF45107"/>
    <w:rsid w:val="700C1B21"/>
    <w:rsid w:val="7023779A"/>
    <w:rsid w:val="702E686B"/>
    <w:rsid w:val="705D4A5A"/>
    <w:rsid w:val="7082574D"/>
    <w:rsid w:val="709F1517"/>
    <w:rsid w:val="70B7060E"/>
    <w:rsid w:val="70FC24C5"/>
    <w:rsid w:val="711A0B9D"/>
    <w:rsid w:val="7127673B"/>
    <w:rsid w:val="712D6B22"/>
    <w:rsid w:val="712E63F7"/>
    <w:rsid w:val="71341C5F"/>
    <w:rsid w:val="715C2F64"/>
    <w:rsid w:val="716167CC"/>
    <w:rsid w:val="7165558C"/>
    <w:rsid w:val="71724192"/>
    <w:rsid w:val="71836742"/>
    <w:rsid w:val="718633AD"/>
    <w:rsid w:val="71A36DE5"/>
    <w:rsid w:val="71C034F3"/>
    <w:rsid w:val="71CF1988"/>
    <w:rsid w:val="71ED0060"/>
    <w:rsid w:val="72312642"/>
    <w:rsid w:val="723143F0"/>
    <w:rsid w:val="724F2AC9"/>
    <w:rsid w:val="72693B8A"/>
    <w:rsid w:val="7271444E"/>
    <w:rsid w:val="727147ED"/>
    <w:rsid w:val="72750781"/>
    <w:rsid w:val="727B38BE"/>
    <w:rsid w:val="729055BB"/>
    <w:rsid w:val="729F12C5"/>
    <w:rsid w:val="72CE60E3"/>
    <w:rsid w:val="72DB435C"/>
    <w:rsid w:val="72E17BC5"/>
    <w:rsid w:val="72E74AAF"/>
    <w:rsid w:val="7316665A"/>
    <w:rsid w:val="73373C88"/>
    <w:rsid w:val="737547B1"/>
    <w:rsid w:val="7375655F"/>
    <w:rsid w:val="73905147"/>
    <w:rsid w:val="739A5FC5"/>
    <w:rsid w:val="73B76B77"/>
    <w:rsid w:val="73C44DF0"/>
    <w:rsid w:val="73C60B68"/>
    <w:rsid w:val="73D9089C"/>
    <w:rsid w:val="73E7745D"/>
    <w:rsid w:val="73F41B79"/>
    <w:rsid w:val="73FE47A6"/>
    <w:rsid w:val="744F6DB0"/>
    <w:rsid w:val="74624D35"/>
    <w:rsid w:val="74795BDB"/>
    <w:rsid w:val="74820F33"/>
    <w:rsid w:val="748B2A34"/>
    <w:rsid w:val="749206AD"/>
    <w:rsid w:val="74AF0B5E"/>
    <w:rsid w:val="74B858EA"/>
    <w:rsid w:val="74BF4B48"/>
    <w:rsid w:val="74C63BFB"/>
    <w:rsid w:val="74F241A9"/>
    <w:rsid w:val="750B1043"/>
    <w:rsid w:val="751B4072"/>
    <w:rsid w:val="753C37D8"/>
    <w:rsid w:val="753C5F49"/>
    <w:rsid w:val="754B7577"/>
    <w:rsid w:val="75575A69"/>
    <w:rsid w:val="755A65E3"/>
    <w:rsid w:val="755D7EEA"/>
    <w:rsid w:val="75774810"/>
    <w:rsid w:val="75840CDB"/>
    <w:rsid w:val="758D4034"/>
    <w:rsid w:val="75954C96"/>
    <w:rsid w:val="75B01AD0"/>
    <w:rsid w:val="75F145C2"/>
    <w:rsid w:val="75FE283B"/>
    <w:rsid w:val="76053BCA"/>
    <w:rsid w:val="761A519B"/>
    <w:rsid w:val="761C7166"/>
    <w:rsid w:val="76515314"/>
    <w:rsid w:val="765468FF"/>
    <w:rsid w:val="766B4B65"/>
    <w:rsid w:val="768C42EB"/>
    <w:rsid w:val="768E0063"/>
    <w:rsid w:val="76C75323"/>
    <w:rsid w:val="77043E82"/>
    <w:rsid w:val="77075FA4"/>
    <w:rsid w:val="77212C85"/>
    <w:rsid w:val="772207AC"/>
    <w:rsid w:val="773F2553"/>
    <w:rsid w:val="77526FE3"/>
    <w:rsid w:val="77731007"/>
    <w:rsid w:val="778E5E41"/>
    <w:rsid w:val="77A15B74"/>
    <w:rsid w:val="77AB69F3"/>
    <w:rsid w:val="77CD7ADA"/>
    <w:rsid w:val="77EE2098"/>
    <w:rsid w:val="77FA34D6"/>
    <w:rsid w:val="780879A1"/>
    <w:rsid w:val="783E7867"/>
    <w:rsid w:val="785030F6"/>
    <w:rsid w:val="786372CE"/>
    <w:rsid w:val="786F17CF"/>
    <w:rsid w:val="78717243"/>
    <w:rsid w:val="7885169F"/>
    <w:rsid w:val="789B0816"/>
    <w:rsid w:val="789E20B4"/>
    <w:rsid w:val="78B83176"/>
    <w:rsid w:val="78D14237"/>
    <w:rsid w:val="78D45AD6"/>
    <w:rsid w:val="78DE6954"/>
    <w:rsid w:val="793D367B"/>
    <w:rsid w:val="7956473D"/>
    <w:rsid w:val="79570BE0"/>
    <w:rsid w:val="796B468C"/>
    <w:rsid w:val="7980722C"/>
    <w:rsid w:val="798C0398"/>
    <w:rsid w:val="799F7E92"/>
    <w:rsid w:val="79D42231"/>
    <w:rsid w:val="79DA711C"/>
    <w:rsid w:val="79DD09BA"/>
    <w:rsid w:val="7A000410"/>
    <w:rsid w:val="7A0643B5"/>
    <w:rsid w:val="7A287E87"/>
    <w:rsid w:val="7A431165"/>
    <w:rsid w:val="7A8A0B42"/>
    <w:rsid w:val="7AAC28DF"/>
    <w:rsid w:val="7ABB6F4D"/>
    <w:rsid w:val="7AC859D0"/>
    <w:rsid w:val="7AFE508C"/>
    <w:rsid w:val="7B136D89"/>
    <w:rsid w:val="7B241EB4"/>
    <w:rsid w:val="7B2E5971"/>
    <w:rsid w:val="7B4E7DC1"/>
    <w:rsid w:val="7B735A7A"/>
    <w:rsid w:val="7B7A6E08"/>
    <w:rsid w:val="7B981BF3"/>
    <w:rsid w:val="7BA619AB"/>
    <w:rsid w:val="7BE3620D"/>
    <w:rsid w:val="7BE95D3C"/>
    <w:rsid w:val="7BEB3DF4"/>
    <w:rsid w:val="7BF72207"/>
    <w:rsid w:val="7C0B3F04"/>
    <w:rsid w:val="7C6A761C"/>
    <w:rsid w:val="7CB77BE8"/>
    <w:rsid w:val="7CC540B3"/>
    <w:rsid w:val="7D0C7F34"/>
    <w:rsid w:val="7D1D5C9D"/>
    <w:rsid w:val="7D366D5F"/>
    <w:rsid w:val="7D686973"/>
    <w:rsid w:val="7DBC2E84"/>
    <w:rsid w:val="7DD24CD9"/>
    <w:rsid w:val="7DF10ED8"/>
    <w:rsid w:val="7DF80D3A"/>
    <w:rsid w:val="7E096221"/>
    <w:rsid w:val="7E394D59"/>
    <w:rsid w:val="7E3C03A5"/>
    <w:rsid w:val="7E42058F"/>
    <w:rsid w:val="7E521976"/>
    <w:rsid w:val="7E9A331D"/>
    <w:rsid w:val="7EAC1DB5"/>
    <w:rsid w:val="7EE54599"/>
    <w:rsid w:val="7EE822DB"/>
    <w:rsid w:val="7F052E8D"/>
    <w:rsid w:val="7F271055"/>
    <w:rsid w:val="7F3379FA"/>
    <w:rsid w:val="7F3E014D"/>
    <w:rsid w:val="7F3F2DE9"/>
    <w:rsid w:val="7F475253"/>
    <w:rsid w:val="7F5712AE"/>
    <w:rsid w:val="7F5B0CFF"/>
    <w:rsid w:val="7F6D458E"/>
    <w:rsid w:val="7F8A3392"/>
    <w:rsid w:val="7F8E4C30"/>
    <w:rsid w:val="7FA03E88"/>
    <w:rsid w:val="7FB311F7"/>
    <w:rsid w:val="7FC22B2C"/>
    <w:rsid w:val="7FC70142"/>
    <w:rsid w:val="7FD02953"/>
    <w:rsid w:val="7FDB599C"/>
    <w:rsid w:val="7FE707E4"/>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numPr>
        <w:ilvl w:val="0"/>
        <w:numId w:val="1"/>
      </w:numPr>
      <w:outlineLvl w:val="0"/>
    </w:pPr>
    <w:rPr>
      <w:b/>
    </w:rPr>
  </w:style>
  <w:style w:type="paragraph" w:styleId="3">
    <w:name w:val="heading 2"/>
    <w:basedOn w:val="1"/>
    <w:next w:val="1"/>
    <w:link w:val="36"/>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9"/>
    <w:pPr>
      <w:keepNext/>
      <w:keepLines/>
      <w:spacing w:before="260" w:after="260"/>
      <w:ind w:firstLine="482" w:firstLineChars="200"/>
      <w:outlineLvl w:val="2"/>
    </w:pPr>
    <w:rPr>
      <w:rFonts w:ascii="Calibri" w:hAnsi="Calibri"/>
      <w:b/>
      <w:szCs w:val="24"/>
    </w:rPr>
  </w:style>
  <w:style w:type="paragraph" w:styleId="5">
    <w:name w:val="heading 4"/>
    <w:basedOn w:val="1"/>
    <w:next w:val="1"/>
    <w:autoRedefine/>
    <w:qFormat/>
    <w:uiPriority w:val="99"/>
    <w:pPr>
      <w:keepNext/>
      <w:keepLines/>
      <w:numPr>
        <w:ilvl w:val="3"/>
        <w:numId w:val="2"/>
      </w:numPr>
      <w:spacing w:before="260" w:after="260"/>
      <w:ind w:firstLine="482" w:firstLineChars="200"/>
      <w:jc w:val="left"/>
      <w:outlineLvl w:val="3"/>
    </w:pPr>
    <w:rPr>
      <w:rFonts w:ascii="Arial" w:hAnsi="Arial"/>
      <w:b/>
      <w:sz w:val="18"/>
      <w:szCs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rPr>
      <w:szCs w:val="24"/>
    </w:r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qFormat/>
    <w:uiPriority w:val="0"/>
    <w:pPr>
      <w:jc w:val="left"/>
    </w:pPr>
    <w:rPr>
      <w:szCs w:val="24"/>
    </w:rPr>
  </w:style>
  <w:style w:type="paragraph" w:styleId="9">
    <w:name w:val="index 6"/>
    <w:basedOn w:val="1"/>
    <w:next w:val="1"/>
    <w:autoRedefine/>
    <w:qFormat/>
    <w:uiPriority w:val="99"/>
    <w:pPr>
      <w:ind w:left="2100"/>
    </w:pPr>
  </w:style>
  <w:style w:type="paragraph" w:styleId="10">
    <w:name w:val="Salutation"/>
    <w:basedOn w:val="1"/>
    <w:next w:val="1"/>
    <w:autoRedefine/>
    <w:qFormat/>
    <w:uiPriority w:val="99"/>
    <w:rPr>
      <w:rFonts w:ascii="宋体"/>
      <w:b/>
      <w:sz w:val="28"/>
    </w:r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99"/>
    <w:pPr>
      <w:ind w:firstLine="480"/>
    </w:pPr>
    <w:rPr>
      <w:rFonts w:ascii="宋体" w:hAnsi="宋体"/>
      <w:sz w:val="24"/>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qFormat/>
    <w:uiPriority w:val="0"/>
    <w:rPr>
      <w:rFonts w:ascii="宋体" w:hAnsi="Courier New"/>
    </w:rPr>
  </w:style>
  <w:style w:type="paragraph" w:styleId="15">
    <w:name w:val="footer"/>
    <w:basedOn w:val="1"/>
    <w:autoRedefine/>
    <w:qFormat/>
    <w:uiPriority w:val="99"/>
    <w:pPr>
      <w:tabs>
        <w:tab w:val="center" w:pos="4153"/>
        <w:tab w:val="right" w:pos="8306"/>
      </w:tabs>
      <w:snapToGrid w:val="0"/>
      <w:jc w:val="left"/>
    </w:pPr>
    <w:rPr>
      <w:kern w:val="0"/>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kern w:val="0"/>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toc 2"/>
    <w:basedOn w:val="1"/>
    <w:next w:val="1"/>
    <w:autoRedefine/>
    <w:qFormat/>
    <w:uiPriority w:val="39"/>
    <w:pPr>
      <w:tabs>
        <w:tab w:val="right" w:leader="dot" w:pos="9628"/>
      </w:tabs>
      <w:ind w:left="420" w:leftChars="200"/>
    </w:pPr>
  </w:style>
  <w:style w:type="paragraph" w:styleId="19">
    <w:name w:val="Body Text 2"/>
    <w:basedOn w:val="1"/>
    <w:autoRedefine/>
    <w:qFormat/>
    <w:uiPriority w:val="0"/>
    <w:pPr>
      <w:jc w:val="left"/>
    </w:pPr>
    <w:rPr>
      <w:rFonts w:ascii="仿宋_GB2312" w:hAnsi="宋体" w:eastAsia="仿宋_GB231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1"/>
    <w:autoRedefine/>
    <w:qFormat/>
    <w:uiPriority w:val="0"/>
    <w:pPr>
      <w:spacing w:after="120"/>
      <w:ind w:firstLine="420" w:firstLineChars="100"/>
    </w:pPr>
    <w:rPr>
      <w:szCs w:val="20"/>
      <w:lang w:val="en-US" w:eastAsia="zh-CN"/>
    </w:rPr>
  </w:style>
  <w:style w:type="paragraph" w:styleId="22">
    <w:name w:val="Body Text First Indent 2"/>
    <w:basedOn w:val="12"/>
    <w:next w:val="1"/>
    <w:autoRedefine/>
    <w:qFormat/>
    <w:uiPriority w:val="99"/>
    <w:pPr>
      <w:spacing w:after="120" w:line="312" w:lineRule="auto"/>
      <w:ind w:left="420" w:leftChars="200" w:firstLine="420"/>
      <w:jc w:val="both"/>
    </w:pPr>
    <w:rPr>
      <w:sz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cs="Times New Roman"/>
    </w:rPr>
  </w:style>
  <w:style w:type="character" w:styleId="27">
    <w:name w:val="Hyperlink"/>
    <w:autoRedefine/>
    <w:qFormat/>
    <w:uiPriority w:val="99"/>
    <w:rPr>
      <w:rFonts w:cs="Times New Roman"/>
      <w:color w:val="0000FF"/>
      <w:u w:val="single"/>
    </w:rPr>
  </w:style>
  <w:style w:type="paragraph" w:customStyle="1" w:styleId="28">
    <w:name w:val="首行缩进"/>
    <w:basedOn w:val="21"/>
    <w:qFormat/>
    <w:uiPriority w:val="0"/>
    <w:pPr>
      <w:spacing w:after="0" w:line="360" w:lineRule="auto"/>
      <w:ind w:firstLine="200" w:firstLineChars="200"/>
    </w:pPr>
    <w:rPr>
      <w:rFonts w:ascii="Arial" w:hAnsi="Arial"/>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正文文字 Char1"/>
    <w:link w:val="34"/>
    <w:qFormat/>
    <w:locked/>
    <w:uiPriority w:val="99"/>
    <w:rPr>
      <w:rFonts w:ascii="宋体"/>
      <w:color w:val="000000"/>
      <w:kern w:val="0"/>
      <w:sz w:val="28"/>
    </w:rPr>
  </w:style>
  <w:style w:type="paragraph" w:customStyle="1" w:styleId="34">
    <w:name w:val="正文文字"/>
    <w:basedOn w:val="1"/>
    <w:link w:val="33"/>
    <w:qFormat/>
    <w:uiPriority w:val="99"/>
    <w:pPr>
      <w:widowControl/>
      <w:spacing w:line="2375" w:lineRule="atLeast"/>
      <w:ind w:firstLine="419"/>
      <w:textAlignment w:val="baseline"/>
    </w:pPr>
    <w:rPr>
      <w:rFonts w:ascii="宋体"/>
      <w:color w:val="000000"/>
      <w:kern w:val="0"/>
      <w:sz w:val="28"/>
    </w:rPr>
  </w:style>
  <w:style w:type="paragraph" w:styleId="35">
    <w:name w:val="List Paragraph"/>
    <w:basedOn w:val="1"/>
    <w:qFormat/>
    <w:uiPriority w:val="99"/>
    <w:pPr>
      <w:ind w:firstLine="420" w:firstLineChars="200"/>
    </w:pPr>
    <w:rPr>
      <w:rFonts w:ascii="Calibri" w:hAnsi="Calibri"/>
      <w:szCs w:val="22"/>
    </w:rPr>
  </w:style>
  <w:style w:type="character" w:customStyle="1" w:styleId="36">
    <w:name w:val="标题 2 Char"/>
    <w:basedOn w:val="25"/>
    <w:link w:val="3"/>
    <w:autoRedefine/>
    <w:qFormat/>
    <w:locked/>
    <w:uiPriority w:val="99"/>
    <w:rPr>
      <w:rFonts w:ascii="Arial" w:hAnsi="Arial" w:eastAsia="黑体"/>
      <w:b/>
      <w:sz w:val="32"/>
    </w:rPr>
  </w:style>
  <w:style w:type="character" w:customStyle="1" w:styleId="37">
    <w:name w:val="font31"/>
    <w:basedOn w:val="25"/>
    <w:autoRedefine/>
    <w:qFormat/>
    <w:uiPriority w:val="0"/>
    <w:rPr>
      <w:rFonts w:hint="eastAsia" w:ascii="宋体" w:hAnsi="宋体" w:eastAsia="宋体" w:cs="宋体"/>
      <w:color w:val="000000"/>
      <w:sz w:val="24"/>
      <w:szCs w:val="24"/>
      <w:u w:val="none"/>
    </w:rPr>
  </w:style>
  <w:style w:type="character" w:customStyle="1" w:styleId="38">
    <w:name w:val="font41"/>
    <w:basedOn w:val="25"/>
    <w:autoRedefine/>
    <w:qFormat/>
    <w:uiPriority w:val="0"/>
    <w:rPr>
      <w:rFonts w:hint="eastAsia" w:ascii="宋体" w:hAnsi="宋体" w:eastAsia="宋体" w:cs="宋体"/>
      <w:color w:val="FF0000"/>
      <w:sz w:val="24"/>
      <w:szCs w:val="24"/>
      <w:u w:val="none"/>
    </w:rPr>
  </w:style>
  <w:style w:type="character" w:customStyle="1" w:styleId="39">
    <w:name w:val="font61"/>
    <w:basedOn w:val="25"/>
    <w:autoRedefine/>
    <w:qFormat/>
    <w:uiPriority w:val="0"/>
    <w:rPr>
      <w:rFonts w:hint="eastAsia" w:ascii="宋体" w:hAnsi="宋体" w:eastAsia="宋体" w:cs="宋体"/>
      <w:color w:val="FF0000"/>
      <w:sz w:val="24"/>
      <w:szCs w:val="24"/>
      <w:u w:val="single"/>
    </w:rPr>
  </w:style>
  <w:style w:type="paragraph" w:customStyle="1" w:styleId="40">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41">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2">
    <w:name w:val="font01"/>
    <w:basedOn w:val="25"/>
    <w:autoRedefine/>
    <w:qFormat/>
    <w:uiPriority w:val="0"/>
    <w:rPr>
      <w:rFonts w:hint="eastAsia" w:ascii="宋体" w:hAnsi="宋体" w:eastAsia="宋体" w:cs="宋体"/>
      <w:color w:val="000000"/>
      <w:sz w:val="22"/>
      <w:szCs w:val="22"/>
      <w:u w:val="none"/>
    </w:rPr>
  </w:style>
  <w:style w:type="paragraph" w:customStyle="1" w:styleId="43">
    <w:name w:val="Default Tex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45">
    <w:name w:val="font11"/>
    <w:basedOn w:val="25"/>
    <w:autoRedefine/>
    <w:qFormat/>
    <w:uiPriority w:val="0"/>
    <w:rPr>
      <w:rFonts w:hint="eastAsia" w:ascii="宋体" w:hAnsi="宋体" w:eastAsia="宋体" w:cs="宋体"/>
      <w:color w:val="000000"/>
      <w:sz w:val="24"/>
      <w:szCs w:val="24"/>
      <w:u w:val="none"/>
    </w:rPr>
  </w:style>
  <w:style w:type="character" w:customStyle="1" w:styleId="46">
    <w:name w:val="font21"/>
    <w:basedOn w:val="25"/>
    <w:autoRedefine/>
    <w:qFormat/>
    <w:uiPriority w:val="0"/>
    <w:rPr>
      <w:rFonts w:hint="eastAsia" w:ascii="宋体" w:hAnsi="宋体" w:eastAsia="宋体" w:cs="宋体"/>
      <w:color w:val="000000"/>
      <w:sz w:val="24"/>
      <w:szCs w:val="24"/>
      <w:u w:val="none"/>
    </w:rPr>
  </w:style>
  <w:style w:type="paragraph" w:customStyle="1" w:styleId="4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8">
    <w:name w:val="索引 11"/>
    <w:basedOn w:val="1"/>
    <w:next w:val="1"/>
    <w:autoRedefine/>
    <w:qFormat/>
    <w:uiPriority w:val="0"/>
    <w:pPr>
      <w:spacing w:line="360" w:lineRule="auto"/>
    </w:pPr>
    <w:rPr>
      <w:rFonts w:ascii="仿宋_GB2312" w:eastAsia="仿宋_GB2312"/>
      <w:sz w:val="24"/>
      <w:szCs w:val="20"/>
    </w:rPr>
  </w:style>
  <w:style w:type="paragraph" w:customStyle="1" w:styleId="49">
    <w:name w:val="纯文本1"/>
    <w:basedOn w:val="1"/>
    <w:autoRedefine/>
    <w:qFormat/>
    <w:uiPriority w:val="0"/>
    <w:rPr>
      <w:rFonts w:ascii="宋体" w:hAnsi="Courier New"/>
      <w:kern w:val="0"/>
      <w:sz w:val="20"/>
      <w:szCs w:val="20"/>
    </w:rPr>
  </w:style>
  <w:style w:type="paragraph" w:customStyle="1" w:styleId="50">
    <w:name w:val="正文_2"/>
    <w:basedOn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_0"/>
    <w:basedOn w:val="52"/>
    <w:next w:val="54"/>
    <w:autoRedefine/>
    <w:qFormat/>
    <w:uiPriority w:val="0"/>
    <w:rPr>
      <w:rFonts w:ascii="Calibri" w:hAnsi="Calibri" w:cs="Calibri"/>
      <w:szCs w:val="21"/>
      <w:lang w:bidi="ug-CN"/>
    </w:rPr>
  </w:style>
  <w:style w:type="paragraph" w:customStyle="1" w:styleId="52">
    <w:name w:val="正文_1_1"/>
    <w:basedOn w:val="53"/>
    <w:autoRedefine/>
    <w:qFormat/>
    <w:uiPriority w:val="0"/>
    <w:pPr>
      <w:widowControl w:val="0"/>
      <w:jc w:val="both"/>
    </w:pPr>
    <w:rPr>
      <w:kern w:val="2"/>
      <w:sz w:val="21"/>
      <w:szCs w:val="22"/>
      <w:lang w:val="en-US" w:eastAsia="zh-CN" w:bidi="ar-SA"/>
    </w:rPr>
  </w:style>
  <w:style w:type="paragraph" w:customStyle="1" w:styleId="5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1"/>
    <w:basedOn w:val="55"/>
    <w:autoRedefine/>
    <w:unhideWhenUsed/>
    <w:qFormat/>
    <w:uiPriority w:val="99"/>
    <w:pPr>
      <w:ind w:firstLine="420" w:firstLineChars="100"/>
    </w:pPr>
    <w:rPr>
      <w:szCs w:val="22"/>
    </w:rPr>
  </w:style>
  <w:style w:type="paragraph" w:customStyle="1" w:styleId="55">
    <w:name w:val="正文文本_0_0"/>
    <w:basedOn w:val="56"/>
    <w:autoRedefine/>
    <w:qFormat/>
    <w:uiPriority w:val="0"/>
    <w:pPr>
      <w:spacing w:after="120"/>
    </w:pPr>
    <w:rPr>
      <w:rFonts w:ascii="Calibri" w:hAnsi="Calibri"/>
      <w:kern w:val="0"/>
      <w:sz w:val="20"/>
    </w:rPr>
  </w:style>
  <w:style w:type="paragraph" w:customStyle="1" w:styleId="5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NormalCharacter"/>
    <w:autoRedefine/>
    <w:semiHidden/>
    <w:qFormat/>
    <w:uiPriority w:val="0"/>
  </w:style>
  <w:style w:type="paragraph" w:customStyle="1" w:styleId="58">
    <w:name w:val="普通(网站)_0"/>
    <w:basedOn w:val="59"/>
    <w:autoRedefine/>
    <w:qFormat/>
    <w:uiPriority w:val="99"/>
    <w:rPr>
      <w:rFonts w:ascii="Calibri" w:hAnsi="Calibri"/>
      <w:sz w:val="24"/>
      <w:szCs w:val="22"/>
    </w:rPr>
  </w:style>
  <w:style w:type="paragraph" w:customStyle="1" w:styleId="59">
    <w:name w:val="正文_1"/>
    <w:basedOn w:val="50"/>
    <w:next w:val="50"/>
    <w:autoRedefine/>
    <w:qFormat/>
    <w:uiPriority w:val="0"/>
    <w:pPr>
      <w:widowControl w:val="0"/>
      <w:jc w:val="both"/>
    </w:pPr>
    <w:rPr>
      <w:kern w:val="2"/>
      <w:sz w:val="21"/>
      <w:szCs w:val="22"/>
      <w:lang w:val="en-US" w:eastAsia="zh-CN" w:bidi="ar-SA"/>
    </w:rPr>
  </w:style>
  <w:style w:type="paragraph" w:customStyle="1" w:styleId="60">
    <w:name w:val="正文_2_0"/>
    <w:basedOn w:val="52"/>
    <w:autoRedefine/>
    <w:qFormat/>
    <w:uiPriority w:val="0"/>
    <w:rPr>
      <w:rFonts w:ascii="Calibri" w:hAnsi="Calibri"/>
      <w:szCs w:val="21"/>
      <w:lang w:bidi="ug-CN"/>
    </w:rPr>
  </w:style>
  <w:style w:type="paragraph" w:customStyle="1" w:styleId="61">
    <w:name w:val="Normal_1"/>
    <w:autoRedefine/>
    <w:qFormat/>
    <w:uiPriority w:val="0"/>
    <w:rPr>
      <w:rFonts w:ascii="黑体" w:hAnsi="黑体" w:eastAsia="黑体" w:cs="Times New Roman"/>
      <w:b/>
      <w:sz w:val="32"/>
      <w:szCs w:val="24"/>
      <w:lang w:bidi="ar-SA"/>
    </w:rPr>
  </w:style>
  <w:style w:type="paragraph" w:customStyle="1" w:styleId="62">
    <w:name w:val="Normal_2"/>
    <w:autoRedefine/>
    <w:qFormat/>
    <w:uiPriority w:val="0"/>
    <w:rPr>
      <w:rFonts w:ascii="黑体" w:hAnsi="黑体" w:eastAsia="黑体" w:cs="Times New Roman"/>
      <w:b/>
      <w:sz w:val="32"/>
      <w:szCs w:val="24"/>
      <w:lang w:bidi="ar-SA"/>
    </w:rPr>
  </w:style>
  <w:style w:type="paragraph" w:customStyle="1" w:styleId="63">
    <w:name w:val="Normal_3"/>
    <w:autoRedefine/>
    <w:qFormat/>
    <w:uiPriority w:val="0"/>
    <w:rPr>
      <w:rFonts w:ascii="黑体" w:hAnsi="黑体" w:eastAsia="黑体" w:cs="Times New Roman"/>
      <w:b/>
      <w:sz w:val="32"/>
      <w:szCs w:val="24"/>
      <w:lang w:bidi="ar-SA"/>
    </w:rPr>
  </w:style>
  <w:style w:type="paragraph" w:customStyle="1" w:styleId="6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65">
    <w:name w:val="Normal_4"/>
    <w:autoRedefine/>
    <w:qFormat/>
    <w:uiPriority w:val="0"/>
    <w:rPr>
      <w:rFonts w:ascii="黑体" w:hAnsi="黑体" w:eastAsia="黑体" w:cs="Times New Roman"/>
      <w:b/>
      <w:sz w:val="32"/>
      <w:szCs w:val="24"/>
      <w:lang w:bidi="ar-SA"/>
    </w:rPr>
  </w:style>
  <w:style w:type="paragraph" w:customStyle="1" w:styleId="66">
    <w:name w:val="标题 3_0_0"/>
    <w:basedOn w:val="64"/>
    <w:next w:val="64"/>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7">
    <w:name w:val="Normal_5"/>
    <w:autoRedefine/>
    <w:qFormat/>
    <w:uiPriority w:val="0"/>
    <w:rPr>
      <w:rFonts w:ascii="黑体" w:hAnsi="黑体" w:eastAsia="黑体" w:cs="Times New Roman"/>
      <w:b/>
      <w:sz w:val="32"/>
      <w:szCs w:val="24"/>
      <w:lang w:bidi="ar-SA"/>
    </w:rPr>
  </w:style>
  <w:style w:type="paragraph" w:customStyle="1" w:styleId="68">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_0_1"/>
    <w:basedOn w:val="72"/>
    <w:autoRedefine/>
    <w:qFormat/>
    <w:uiPriority w:val="0"/>
    <w:pPr>
      <w:spacing w:line="500" w:lineRule="exact"/>
      <w:ind w:left="1588" w:leftChars="832" w:firstLine="433" w:firstLineChars="196"/>
    </w:pPr>
    <w:rPr>
      <w:rFonts w:ascii="Calibri" w:hAnsi="Calibri" w:eastAsia="宋体"/>
      <w:sz w:val="24"/>
    </w:rPr>
  </w:style>
  <w:style w:type="paragraph" w:customStyle="1" w:styleId="72">
    <w:name w:val="正文_4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0"/>
    <w:autoRedefine/>
    <w:qFormat/>
    <w:uiPriority w:val="0"/>
    <w:rPr>
      <w:rFonts w:ascii="黑体" w:hAnsi="黑体" w:eastAsia="黑体" w:cs="Times New Roman"/>
      <w:b/>
      <w:sz w:val="32"/>
      <w:szCs w:val="24"/>
      <w:lang w:bidi="ar-SA"/>
    </w:rPr>
  </w:style>
  <w:style w:type="paragraph" w:customStyle="1" w:styleId="7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9"/>
    <w:autoRedefine/>
    <w:qFormat/>
    <w:uiPriority w:val="0"/>
    <w:rPr>
      <w:rFonts w:ascii="黑体" w:hAnsi="黑体" w:eastAsia="黑体" w:cs="Times New Roman"/>
      <w:b/>
      <w:sz w:val="32"/>
      <w:szCs w:val="24"/>
      <w:lang w:bidi="ar-SA"/>
    </w:rPr>
  </w:style>
  <w:style w:type="paragraph" w:customStyle="1" w:styleId="77">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_0"/>
    <w:basedOn w:val="79"/>
    <w:autoRedefine/>
    <w:qFormat/>
    <w:uiPriority w:val="0"/>
    <w:pPr>
      <w:widowControl/>
      <w:jc w:val="left"/>
    </w:pPr>
    <w:rPr>
      <w:rFonts w:ascii="黑体" w:hAnsi="黑体" w:eastAsia="黑体" w:cs="宋体"/>
      <w:b/>
      <w:bCs/>
      <w:kern w:val="0"/>
      <w:sz w:val="32"/>
      <w:szCs w:val="32"/>
    </w:rPr>
  </w:style>
  <w:style w:type="paragraph" w:customStyle="1" w:styleId="79">
    <w:name w:val="正文_3_0"/>
    <w:basedOn w:val="50"/>
    <w:next w:val="80"/>
    <w:autoRedefine/>
    <w:qFormat/>
    <w:uiPriority w:val="0"/>
    <w:pPr>
      <w:widowControl w:val="0"/>
      <w:jc w:val="both"/>
    </w:pPr>
    <w:rPr>
      <w:kern w:val="2"/>
      <w:sz w:val="21"/>
      <w:szCs w:val="22"/>
      <w:lang w:val="en-US" w:eastAsia="zh-CN" w:bidi="ar-SA"/>
    </w:rPr>
  </w:style>
  <w:style w:type="paragraph" w:customStyle="1" w:styleId="80">
    <w:name w:val="页脚_2"/>
    <w:basedOn w:val="81"/>
    <w:autoRedefine/>
    <w:unhideWhenUsed/>
    <w:qFormat/>
    <w:uiPriority w:val="0"/>
    <w:pPr>
      <w:tabs>
        <w:tab w:val="center" w:pos="4153"/>
        <w:tab w:val="right" w:pos="8306"/>
      </w:tabs>
      <w:snapToGrid w:val="0"/>
      <w:jc w:val="left"/>
    </w:pPr>
    <w:rPr>
      <w:sz w:val="18"/>
      <w:szCs w:val="18"/>
    </w:rPr>
  </w:style>
  <w:style w:type="paragraph" w:customStyle="1" w:styleId="81">
    <w:name w:val="正文_4"/>
    <w:basedOn w:val="82"/>
    <w:autoRedefine/>
    <w:qFormat/>
    <w:uiPriority w:val="0"/>
    <w:pPr>
      <w:widowControl w:val="0"/>
      <w:jc w:val="both"/>
    </w:pPr>
    <w:rPr>
      <w:kern w:val="2"/>
      <w:sz w:val="21"/>
      <w:szCs w:val="24"/>
      <w:lang w:val="en-US" w:eastAsia="zh-CN" w:bidi="ar-SA"/>
    </w:rPr>
  </w:style>
  <w:style w:type="paragraph" w:customStyle="1" w:styleId="82">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6_0_0"/>
    <w:basedOn w:val="75"/>
    <w:next w:val="84"/>
    <w:autoRedefine/>
    <w:qFormat/>
    <w:uiPriority w:val="0"/>
    <w:rPr>
      <w:rFonts w:ascii="Times New Roman" w:hAnsi="Times New Roman" w:eastAsia="宋体"/>
      <w:szCs w:val="21"/>
    </w:rPr>
  </w:style>
  <w:style w:type="paragraph" w:customStyle="1" w:styleId="84">
    <w:name w:val="页脚_3"/>
    <w:basedOn w:val="83"/>
    <w:autoRedefine/>
    <w:semiHidden/>
    <w:qFormat/>
    <w:uiPriority w:val="0"/>
    <w:pPr>
      <w:snapToGrid w:val="0"/>
      <w:jc w:val="left"/>
    </w:pPr>
    <w:rPr>
      <w:rFonts w:ascii="Times New Roman" w:hAnsi="Times New Roman" w:eastAsia="宋体"/>
      <w:sz w:val="18"/>
      <w:szCs w:val="18"/>
    </w:rPr>
  </w:style>
  <w:style w:type="paragraph" w:customStyle="1" w:styleId="85">
    <w:name w:val="正文_6_0_0_0"/>
    <w:basedOn w:val="75"/>
    <w:autoRedefine/>
    <w:qFormat/>
    <w:uiPriority w:val="0"/>
    <w:rPr>
      <w:rFonts w:ascii="Times New Roman" w:hAnsi="Times New Roman" w:eastAsia="宋体"/>
      <w:szCs w:val="21"/>
    </w:rPr>
  </w:style>
  <w:style w:type="paragraph" w:customStyle="1" w:styleId="86">
    <w:name w:val="Normal_8"/>
    <w:autoRedefine/>
    <w:qFormat/>
    <w:uiPriority w:val="0"/>
    <w:rPr>
      <w:rFonts w:ascii="黑体" w:hAnsi="黑体" w:eastAsia="黑体" w:cs="Times New Roman"/>
      <w:b/>
      <w:sz w:val="32"/>
      <w:szCs w:val="24"/>
      <w:lang w:bidi="ar-SA"/>
    </w:rPr>
  </w:style>
  <w:style w:type="paragraph" w:customStyle="1" w:styleId="87">
    <w:name w:val="Normal_11"/>
    <w:autoRedefine/>
    <w:qFormat/>
    <w:uiPriority w:val="0"/>
    <w:rPr>
      <w:rFonts w:ascii="黑体" w:hAnsi="黑体" w:eastAsia="黑体" w:cs="Times New Roman"/>
      <w:b/>
      <w:sz w:val="32"/>
      <w:szCs w:val="24"/>
      <w:lang w:bidi="ar-SA"/>
    </w:rPr>
  </w:style>
  <w:style w:type="paragraph" w:customStyle="1" w:styleId="88">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9"/>
    <w:autoRedefine/>
    <w:qFormat/>
    <w:uiPriority w:val="0"/>
    <w:rPr>
      <w:rFonts w:ascii="黑体" w:hAnsi="黑体" w:eastAsia="黑体" w:cs="Times New Roman"/>
      <w:b/>
      <w:sz w:val="32"/>
      <w:szCs w:val="24"/>
      <w:lang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Table Text"/>
    <w:basedOn w:val="1"/>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19937</Words>
  <Characters>21482</Characters>
  <Lines>0</Lines>
  <Paragraphs>0</Paragraphs>
  <TotalTime>9</TotalTime>
  <ScaleCrop>false</ScaleCrop>
  <LinksUpToDate>false</LinksUpToDate>
  <CharactersWithSpaces>22007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XHTF</dc:creator>
  <cp:lastModifiedBy>Administrator</cp:lastModifiedBy>
  <cp:lastPrinted>2023-10-17T11:04:00Z</cp:lastPrinted>
  <dcterms:modified xsi:type="dcterms:W3CDTF">2025-06-27T05:54:59Z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6EBB0E723FF749C68EEBDEA908ACAF8D_13</vt:lpwstr>
  </property>
  <property fmtid="{D5CDD505-2E9C-101B-9397-08002B2CF9AE}" pid="4" name="KSOTemplateDocerSaveRecord">
    <vt:lpwstr>eyJoZGlkIjoiOTA0MzE2YjI2YjlhZGNlM2RlNzU0NjU5MTVjYjIwZDIifQ==</vt:lpwstr>
  </property>
</Properties>
</file>