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呼图壁县应急管理局2024年预算公开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w:t>
      </w:r>
      <w:r>
        <w:rPr>
          <w:rFonts w:hint="eastAsia" w:ascii="仿宋_GB2312" w:hAnsi="宋体" w:eastAsia="仿宋_GB2312"/>
          <w:b/>
          <w:kern w:val="0"/>
          <w:sz w:val="32"/>
          <w:szCs w:val="32"/>
        </w:rPr>
        <w:t>呼图壁县应急管理局</w:t>
      </w:r>
      <w:r>
        <w:rPr>
          <w:rFonts w:hint="eastAsia" w:ascii="仿宋_GB2312" w:hAnsi="仿宋_GB2312" w:eastAsia="仿宋_GB2312" w:cs="仿宋_GB2312"/>
          <w:b/>
          <w:kern w:val="0"/>
          <w:sz w:val="32"/>
          <w:szCs w:val="32"/>
        </w:rPr>
        <w:t>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w:t>
      </w:r>
      <w:r>
        <w:rPr>
          <w:rFonts w:hint="eastAsia" w:ascii="仿宋_GB2312" w:hAnsi="宋体" w:eastAsia="仿宋_GB2312"/>
          <w:b/>
          <w:kern w:val="0"/>
          <w:sz w:val="32"/>
          <w:szCs w:val="32"/>
        </w:rPr>
        <w:t>呼图壁县应急管理局</w:t>
      </w:r>
      <w:r>
        <w:rPr>
          <w:rFonts w:hint="eastAsia" w:ascii="仿宋_GB2312" w:hAnsi="仿宋_GB2312" w:eastAsia="仿宋_GB2312" w:cs="仿宋_GB2312"/>
          <w:b/>
          <w:kern w:val="0"/>
          <w:sz w:val="32"/>
          <w:szCs w:val="32"/>
        </w:rPr>
        <w:t>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一、呼图壁县应急管理局收支总体情况表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二、呼图壁县应急管理局收入总体情况表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三、呼图壁县应急管理局支出总体情况表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2024年呼图壁县应急管理局预算情况说明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一、关于呼图壁县应急管理局2024年收支预算情况的总体说明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二、关于呼图壁县应急管理局2024年收入预算情况说明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三、关于呼图壁县应急管理局2024年支出预算情况说明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呼图壁县应急管理局</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呼图壁县应急管理局</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呼图壁县应急管理局</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呼图壁县应急管理局</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八、关于呼图壁县应急管理局2024年政府性基金预算拨款情况说明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九、关于呼图壁县应急管理局2024年国有资本经营预算拨款情况说明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十、关于呼图壁县应急管理局2024年财政拨款“三公”经费预算情况说明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十一、关于呼图壁县应急管理局2024年上年结转结余预算情况说明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2024年呼图壁县应急管理局概况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呼图壁县应急管理局是主管安全生产及应急指挥综合管理的政府单位。呼图壁县应急管理局（以下简称应急局）为呼图壁县人民政府工作单位,履行呼图壁县人民政府应急指挥调度职能和安全生产综合监督管理职能,综合管理全县应急突发事件及安全生产工作。</w:t>
      </w:r>
    </w:p>
    <w:p>
      <w:pPr>
        <w:widowControl/>
        <w:numPr>
          <w:ilvl w:val="0"/>
          <w:numId w:val="1"/>
        </w:numPr>
        <w:spacing w:line="540" w:lineRule="exact"/>
        <w:ind w:firstLine="64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机构设置及人员情况</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呼图壁县应急管理局单位无下属预算单位，下设6个处室，分别是：行政办、综合减灾和风险监测科、安全生产监督管理科、安全生产综合协调科、安全生产执法、煤炭服务监督保障科、地震办公室。</w:t>
      </w: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呼图壁县应急管理局单位编制数59，实有人数71人，其中：在职56人，增加13人；退休15人，增加0人；离休0人，增加0人</w:t>
      </w: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540" w:lineRule="exact"/>
        <w:ind w:firstLine="640" w:firstLineChars="200"/>
        <w:jc w:val="left"/>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2024年呼图壁县应急管理局预算公开表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应急管理局收支总体情况表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编制单位：[053]呼图壁县应急管理局                           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2689.04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50.00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2364.04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2363.03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tabs>
                <w:tab w:val="center" w:pos="742"/>
                <w:tab w:val="right" w:pos="1785"/>
              </w:tabs>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ab/>
            </w:r>
            <w:r>
              <w:rPr>
                <w:rFonts w:hint="eastAsia" w:ascii="仿宋_GB2312" w:hAnsi="宋体" w:eastAsia="仿宋_GB2312" w:cs="宋体"/>
                <w:kern w:val="0"/>
                <w:sz w:val="18"/>
                <w:szCs w:val="18"/>
              </w:rPr>
              <w:t>157.20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101.02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275.00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275.00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50.00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50.00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140.49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2240.33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nil"/>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nil"/>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kern w:val="0"/>
                <w:sz w:val="18"/>
                <w:szCs w:val="18"/>
              </w:rPr>
              <w:t>2689.04</w:t>
            </w:r>
          </w:p>
        </w:tc>
        <w:tc>
          <w:tcPr>
            <w:tcW w:w="2693" w:type="dxa"/>
            <w:tcBorders>
              <w:top w:val="nil"/>
              <w:left w:val="nil"/>
              <w:bottom w:val="nil"/>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nil"/>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2689.04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bl>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呼图壁县应急管理局收入总体情况表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 [053]呼图壁县应急管理局                            单位：万元</w:t>
      </w:r>
    </w:p>
    <w:tbl>
      <w:tblPr>
        <w:tblStyle w:val="6"/>
        <w:tblW w:w="9773" w:type="dxa"/>
        <w:tblInd w:w="-450" w:type="dxa"/>
        <w:tblLayout w:type="fixed"/>
        <w:tblCellMar>
          <w:top w:w="0" w:type="dxa"/>
          <w:left w:w="108" w:type="dxa"/>
          <w:bottom w:w="0" w:type="dxa"/>
          <w:right w:w="108" w:type="dxa"/>
        </w:tblCellMar>
      </w:tblPr>
      <w:tblGrid>
        <w:gridCol w:w="488"/>
        <w:gridCol w:w="346"/>
        <w:gridCol w:w="417"/>
        <w:gridCol w:w="1247"/>
        <w:gridCol w:w="765"/>
        <w:gridCol w:w="735"/>
        <w:gridCol w:w="720"/>
        <w:gridCol w:w="630"/>
        <w:gridCol w:w="375"/>
        <w:gridCol w:w="645"/>
        <w:gridCol w:w="390"/>
        <w:gridCol w:w="795"/>
        <w:gridCol w:w="390"/>
        <w:gridCol w:w="720"/>
        <w:gridCol w:w="757"/>
        <w:gridCol w:w="353"/>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24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29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39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7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75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5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488"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346"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1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124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6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3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3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39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9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39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5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5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34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一般公共服务支出</w:t>
            </w:r>
          </w:p>
        </w:tc>
        <w:tc>
          <w:tcPr>
            <w:tcW w:w="76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50.00　</w:t>
            </w:r>
          </w:p>
        </w:tc>
        <w:tc>
          <w:tcPr>
            <w:tcW w:w="73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7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63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50.00</w:t>
            </w:r>
          </w:p>
        </w:tc>
        <w:tc>
          <w:tcPr>
            <w:tcW w:w="35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04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发展与改革事务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50.00</w:t>
            </w: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04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其他发展与改革事务支出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50.00</w:t>
            </w: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社会保障和就业支出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97.20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97.20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60.00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行政事业单位养老支出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97.20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97.20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60.00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行政单位离退休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9.65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9.65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9.65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事业单位离退休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3.35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3.35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3.35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机关事业单位基本养老保险缴费支出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124.21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84.21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84.21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40.00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机关事业单位职业年金缴费支出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20.00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卫生健康支出</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54.02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54.02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47.00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rPr>
              <w:t>210</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行政事业单位医疗</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54.02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54.02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47.00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行政单位医疗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45.67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13.67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13.67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32.00</w:t>
            </w: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1247"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事业单位医疗　</w:t>
            </w:r>
          </w:p>
        </w:tc>
        <w:tc>
          <w:tcPr>
            <w:tcW w:w="76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28.43　</w:t>
            </w:r>
          </w:p>
        </w:tc>
        <w:tc>
          <w:tcPr>
            <w:tcW w:w="73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28.43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28.43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6"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1247"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公务员医疗补助　</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26.58　</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11.58　</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11.58　</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15</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6"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其他行政事业单位医疗支出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6"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住房保障支出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70.00</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6"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12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住房改革支出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70.00</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6"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1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12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住房公积金</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70.00</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　</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灾害防治及应急管理支出</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2240.33</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2142.33</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2142.33</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98</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　</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应急管理事务</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2239.32</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2141.32</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2141.32</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98</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　</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　</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行政运行</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824.15</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726.15</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726.15</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98</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　</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06　</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安全监管</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01　</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50　</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事业运行</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415.17</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415.17</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415.17</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05</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地震事务</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w:t>
            </w:r>
          </w:p>
        </w:tc>
        <w:tc>
          <w:tcPr>
            <w:tcW w:w="346"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05</w:t>
            </w:r>
          </w:p>
        </w:tc>
        <w:tc>
          <w:tcPr>
            <w:tcW w:w="417" w:type="dxa"/>
            <w:tcBorders>
              <w:top w:val="single" w:color="auto" w:sz="4" w:space="0"/>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50</w:t>
            </w:r>
          </w:p>
        </w:tc>
        <w:tc>
          <w:tcPr>
            <w:tcW w:w="1247"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地震事业机构</w:t>
            </w:r>
          </w:p>
        </w:tc>
        <w:tc>
          <w:tcPr>
            <w:tcW w:w="76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73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63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37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488"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46"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417"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1247" w:type="dxa"/>
            <w:tcBorders>
              <w:top w:val="single" w:color="auto" w:sz="4" w:space="0"/>
              <w:left w:val="nil"/>
              <w:bottom w:val="single" w:color="auto" w:sz="4" w:space="0"/>
              <w:right w:val="single" w:color="auto" w:sz="4" w:space="0"/>
            </w:tcBorders>
            <w:vAlign w:val="center"/>
          </w:tcPr>
          <w:p>
            <w:pPr>
              <w:jc w:val="center"/>
              <w:rPr>
                <w:rFonts w:ascii="仿宋_GB2312" w:eastAsia="仿宋_GB2312"/>
                <w:b/>
                <w:bCs/>
                <w:sz w:val="20"/>
                <w:szCs w:val="20"/>
              </w:rPr>
            </w:pPr>
            <w:r>
              <w:rPr>
                <w:rFonts w:hint="eastAsia" w:ascii="仿宋_GB2312" w:eastAsia="仿宋_GB2312"/>
                <w:b/>
                <w:bCs/>
                <w:sz w:val="20"/>
                <w:szCs w:val="20"/>
              </w:rPr>
              <w:t>合  计</w:t>
            </w:r>
          </w:p>
        </w:tc>
        <w:tc>
          <w:tcPr>
            <w:tcW w:w="765"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2689.04</w:t>
            </w:r>
          </w:p>
        </w:tc>
        <w:tc>
          <w:tcPr>
            <w:tcW w:w="735"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2364.04</w:t>
            </w:r>
          </w:p>
        </w:tc>
        <w:tc>
          <w:tcPr>
            <w:tcW w:w="720"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2364.04</w:t>
            </w:r>
          </w:p>
        </w:tc>
        <w:tc>
          <w:tcPr>
            <w:tcW w:w="630"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1.01</w:t>
            </w:r>
          </w:p>
        </w:tc>
        <w:tc>
          <w:tcPr>
            <w:tcW w:w="375"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645"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795" w:type="dxa"/>
            <w:tcBorders>
              <w:top w:val="single" w:color="auto" w:sz="4" w:space="0"/>
              <w:left w:val="nil"/>
              <w:bottom w:val="single" w:color="auto" w:sz="4" w:space="0"/>
              <w:right w:val="single" w:color="auto" w:sz="4" w:space="0"/>
            </w:tcBorders>
            <w:vAlign w:val="center"/>
          </w:tcPr>
          <w:p>
            <w:pPr>
              <w:jc w:val="right"/>
              <w:rPr>
                <w:rFonts w:ascii="仿宋_GB2312" w:eastAsia="仿宋_GB2312"/>
                <w:sz w:val="20"/>
                <w:szCs w:val="20"/>
              </w:rPr>
            </w:pPr>
          </w:p>
        </w:tc>
        <w:tc>
          <w:tcPr>
            <w:tcW w:w="39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275.00</w:t>
            </w:r>
          </w:p>
        </w:tc>
        <w:tc>
          <w:tcPr>
            <w:tcW w:w="757" w:type="dxa"/>
            <w:tcBorders>
              <w:top w:val="single" w:color="auto" w:sz="4" w:space="0"/>
              <w:left w:val="single" w:color="auto" w:sz="4" w:space="0"/>
              <w:bottom w:val="single" w:color="auto" w:sz="4" w:space="0"/>
              <w:right w:val="single" w:color="auto" w:sz="4" w:space="0"/>
            </w:tcBorders>
            <w:vAlign w:val="center"/>
          </w:tcPr>
          <w:p>
            <w:pPr>
              <w:jc w:val="right"/>
              <w:rPr>
                <w:rFonts w:hint="default" w:ascii="仿宋_GB2312" w:eastAsia="仿宋_GB2312"/>
                <w:sz w:val="20"/>
                <w:szCs w:val="20"/>
                <w:lang w:val="en-US" w:eastAsia="zh-CN"/>
              </w:rPr>
            </w:pPr>
            <w:r>
              <w:rPr>
                <w:rFonts w:hint="eastAsia" w:ascii="仿宋_GB2312" w:eastAsia="仿宋_GB2312"/>
                <w:sz w:val="20"/>
                <w:szCs w:val="20"/>
                <w:lang w:val="en-US" w:eastAsia="zh-CN"/>
              </w:rPr>
              <w:t>50.00</w:t>
            </w:r>
          </w:p>
        </w:tc>
        <w:tc>
          <w:tcPr>
            <w:tcW w:w="353" w:type="dxa"/>
            <w:tcBorders>
              <w:top w:val="single" w:color="auto" w:sz="4" w:space="0"/>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呼图壁县应急管理局支出总体情况表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编制单位：[053]呼图壁县应急管理局                            单位：万元</w:t>
      </w:r>
    </w:p>
    <w:tbl>
      <w:tblPr>
        <w:tblStyle w:val="6"/>
        <w:tblW w:w="9420" w:type="dxa"/>
        <w:tblInd w:w="-240" w:type="dxa"/>
        <w:tblLayout w:type="fixed"/>
        <w:tblCellMar>
          <w:top w:w="0" w:type="dxa"/>
          <w:left w:w="108" w:type="dxa"/>
          <w:bottom w:w="0" w:type="dxa"/>
          <w:right w:w="108" w:type="dxa"/>
        </w:tblCellMar>
      </w:tblPr>
      <w:tblGrid>
        <w:gridCol w:w="531"/>
        <w:gridCol w:w="417"/>
        <w:gridCol w:w="417"/>
        <w:gridCol w:w="2549"/>
        <w:gridCol w:w="1819"/>
        <w:gridCol w:w="1820"/>
        <w:gridCol w:w="1867"/>
      </w:tblGrid>
      <w:tr>
        <w:tblPrEx>
          <w:tblLayout w:type="fixed"/>
          <w:tblCellMar>
            <w:top w:w="0" w:type="dxa"/>
            <w:left w:w="108" w:type="dxa"/>
            <w:bottom w:w="0" w:type="dxa"/>
            <w:right w:w="108" w:type="dxa"/>
          </w:tblCellMar>
        </w:tblPrEx>
        <w:trPr>
          <w:trHeight w:val="328" w:hRule="atLeast"/>
        </w:trPr>
        <w:tc>
          <w:tcPr>
            <w:tcW w:w="391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0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36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4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1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2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6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4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1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6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31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一般公共服务支出</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04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发展与改革事务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04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其他发展与改革事务支出</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c>
          <w:tcPr>
            <w:tcW w:w="182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　社会保障和就业支出</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行政事业单位养老支出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157.20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行政单位离退休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9.65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9.65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事业单位离退休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3.35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3.35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机关事业单位基本养老保险缴费支出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124.21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124.21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机关事业单位职业年金缴费支出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20.00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20.00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34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卫生健康支出</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6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rPr>
              <w:t>210</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行政事业单位医疗</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101.02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1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行政单位医疗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45.67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45.67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4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事业单位医疗　</w:t>
            </w:r>
          </w:p>
        </w:tc>
        <w:tc>
          <w:tcPr>
            <w:tcW w:w="181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28.43　</w:t>
            </w:r>
          </w:p>
        </w:tc>
        <w:tc>
          <w:tcPr>
            <w:tcW w:w="18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28.43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3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2549"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eastAsia="仿宋_GB2312"/>
                <w:sz w:val="20"/>
                <w:szCs w:val="20"/>
              </w:rPr>
              <w:t>公务员医疗补助　</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26.58　</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26.58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　</w:t>
            </w: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其他行政事业单位医疗支出</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3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住房保障支出</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住房改革支出</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仿宋_GB2312" w:eastAsia="仿宋_GB2312" w:cs="仿宋_GB2312"/>
                <w:color w:val="000000"/>
                <w:sz w:val="18"/>
                <w:szCs w:val="18"/>
              </w:rPr>
            </w:pPr>
            <w:r>
              <w:rPr>
                <w:rFonts w:hint="eastAsia" w:ascii="仿宋_GB2312" w:eastAsia="仿宋_GB2312"/>
                <w:sz w:val="20"/>
                <w:szCs w:val="20"/>
              </w:rPr>
              <w:t>221</w:t>
            </w:r>
          </w:p>
        </w:tc>
        <w:tc>
          <w:tcPr>
            <w:tcW w:w="417" w:type="dxa"/>
            <w:tcBorders>
              <w:top w:val="nil"/>
              <w:left w:val="nil"/>
              <w:bottom w:val="single" w:color="auto" w:sz="4" w:space="0"/>
              <w:right w:val="single" w:color="auto" w:sz="4" w:space="0"/>
            </w:tcBorders>
            <w:vAlign w:val="center"/>
          </w:tcPr>
          <w:p>
            <w:pPr>
              <w:jc w:val="right"/>
              <w:rPr>
                <w:rFonts w:ascii="仿宋_GB2312" w:hAnsi="仿宋_GB2312" w:eastAsia="仿宋_GB2312" w:cs="仿宋_GB2312"/>
                <w:color w:val="000000"/>
                <w:sz w:val="18"/>
                <w:szCs w:val="18"/>
              </w:rPr>
            </w:pPr>
            <w:r>
              <w:rPr>
                <w:rFonts w:hint="eastAsia" w:ascii="仿宋_GB2312" w:eastAsia="仿宋_GB2312"/>
                <w:sz w:val="20"/>
                <w:szCs w:val="20"/>
              </w:rPr>
              <w:t>02</w:t>
            </w:r>
          </w:p>
        </w:tc>
        <w:tc>
          <w:tcPr>
            <w:tcW w:w="417" w:type="dxa"/>
            <w:tcBorders>
              <w:top w:val="nil"/>
              <w:left w:val="nil"/>
              <w:bottom w:val="single" w:color="auto" w:sz="4" w:space="0"/>
              <w:right w:val="single" w:color="auto" w:sz="4" w:space="0"/>
            </w:tcBorders>
            <w:vAlign w:val="center"/>
          </w:tcPr>
          <w:p>
            <w:pPr>
              <w:jc w:val="right"/>
              <w:rPr>
                <w:rFonts w:ascii="仿宋_GB2312" w:hAnsi="仿宋_GB2312" w:eastAsia="仿宋_GB2312" w:cs="仿宋_GB2312"/>
                <w:color w:val="000000"/>
                <w:sz w:val="18"/>
                <w:szCs w:val="18"/>
              </w:rPr>
            </w:pPr>
            <w:r>
              <w:rPr>
                <w:rFonts w:hint="eastAsia" w:ascii="仿宋_GB2312" w:eastAsia="仿宋_GB2312"/>
                <w:sz w:val="20"/>
                <w:szCs w:val="20"/>
              </w:rPr>
              <w:t>01</w:t>
            </w:r>
          </w:p>
        </w:tc>
        <w:tc>
          <w:tcPr>
            <w:tcW w:w="2549" w:type="dxa"/>
            <w:tcBorders>
              <w:top w:val="nil"/>
              <w:left w:val="nil"/>
              <w:bottom w:val="single" w:color="auto" w:sz="4" w:space="0"/>
              <w:right w:val="single" w:color="auto" w:sz="4" w:space="0"/>
            </w:tcBorders>
            <w:vAlign w:val="center"/>
          </w:tcPr>
          <w:p>
            <w:pPr>
              <w:jc w:val="center"/>
              <w:rPr>
                <w:rFonts w:ascii="仿宋_GB2312" w:hAnsi="仿宋_GB2312" w:eastAsia="仿宋_GB2312" w:cs="仿宋_GB2312"/>
                <w:color w:val="000000"/>
                <w:sz w:val="18"/>
                <w:szCs w:val="18"/>
              </w:rPr>
            </w:pPr>
            <w:r>
              <w:rPr>
                <w:rFonts w:hint="eastAsia" w:ascii="仿宋_GB2312" w:hAnsi="宋体" w:eastAsia="仿宋_GB2312" w:cs="宋体"/>
                <w:sz w:val="20"/>
                <w:szCs w:val="20"/>
              </w:rPr>
              <w:t>住房公积金</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140.49</w:t>
            </w:r>
          </w:p>
        </w:tc>
        <w:tc>
          <w:tcPr>
            <w:tcW w:w="186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224　</w:t>
            </w:r>
          </w:p>
        </w:tc>
        <w:tc>
          <w:tcPr>
            <w:tcW w:w="417" w:type="dxa"/>
            <w:tcBorders>
              <w:top w:val="nil"/>
              <w:left w:val="nil"/>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vAlign w:val="center"/>
          </w:tcPr>
          <w:p>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灾害防治及应急管理支出</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2240.33</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1239.32</w:t>
            </w: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1001.01</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应急管理事务</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2239.32</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1239.32</w:t>
            </w: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　</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行政运行</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824.15</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824.15</w:t>
            </w: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06　</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安全监管</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1000.00</w:t>
            </w: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　</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事业运行</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415.17</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415.17</w:t>
            </w: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r>
      <w:tr>
        <w:tblPrEx>
          <w:tblLayout w:type="fixed"/>
          <w:tblCellMar>
            <w:top w:w="0" w:type="dxa"/>
            <w:left w:w="108" w:type="dxa"/>
            <w:bottom w:w="0" w:type="dxa"/>
            <w:right w:w="108" w:type="dxa"/>
          </w:tblCellMar>
        </w:tblPrEx>
        <w:trPr>
          <w:trHeight w:val="9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地震事务</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r>
      <w:tr>
        <w:tblPrEx>
          <w:tblLayout w:type="fixed"/>
          <w:tblCellMar>
            <w:top w:w="0" w:type="dxa"/>
            <w:left w:w="108" w:type="dxa"/>
            <w:bottom w:w="0" w:type="dxa"/>
            <w:right w:w="108" w:type="dxa"/>
          </w:tblCellMar>
        </w:tblPrEx>
        <w:trPr>
          <w:trHeight w:val="31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224</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w:t>
            </w:r>
          </w:p>
        </w:tc>
        <w:tc>
          <w:tcPr>
            <w:tcW w:w="2549" w:type="dxa"/>
            <w:tcBorders>
              <w:top w:val="nil"/>
              <w:left w:val="nil"/>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地震事业机构</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1.01</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254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合  计</w:t>
            </w:r>
          </w:p>
        </w:tc>
        <w:tc>
          <w:tcPr>
            <w:tcW w:w="181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2689.04</w:t>
            </w:r>
          </w:p>
        </w:tc>
        <w:tc>
          <w:tcPr>
            <w:tcW w:w="18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1638.03</w:t>
            </w:r>
          </w:p>
        </w:tc>
        <w:tc>
          <w:tcPr>
            <w:tcW w:w="186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1051.01</w:t>
            </w:r>
          </w:p>
        </w:tc>
      </w:tr>
    </w:tbl>
    <w:p>
      <w:pPr>
        <w:jc w:val="right"/>
        <w:rPr>
          <w:rFonts w:ascii="仿宋_GB2312" w:eastAsia="仿宋_GB2312"/>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 [053]呼图壁县应急管理局                          单位：万元</w:t>
      </w:r>
    </w:p>
    <w:tbl>
      <w:tblPr>
        <w:tblStyle w:val="6"/>
        <w:tblW w:w="9449" w:type="dxa"/>
        <w:tblInd w:w="-240" w:type="dxa"/>
        <w:tblLayout w:type="fixed"/>
        <w:tblCellMar>
          <w:top w:w="0" w:type="dxa"/>
          <w:left w:w="108" w:type="dxa"/>
          <w:bottom w:w="0" w:type="dxa"/>
          <w:right w:w="108" w:type="dxa"/>
        </w:tblCellMar>
      </w:tblPr>
      <w:tblGrid>
        <w:gridCol w:w="1872"/>
        <w:gridCol w:w="922"/>
        <w:gridCol w:w="2482"/>
        <w:gridCol w:w="986"/>
        <w:gridCol w:w="986"/>
        <w:gridCol w:w="1100"/>
        <w:gridCol w:w="1101"/>
      </w:tblGrid>
      <w:tr>
        <w:tblPrEx>
          <w:tblLayout w:type="fixed"/>
          <w:tblCellMar>
            <w:top w:w="0" w:type="dxa"/>
            <w:left w:w="108" w:type="dxa"/>
            <w:bottom w:w="0" w:type="dxa"/>
            <w:right w:w="108" w:type="dxa"/>
          </w:tblCellMar>
        </w:tblPrEx>
        <w:trPr>
          <w:trHeight w:val="285" w:hRule="atLeast"/>
        </w:trPr>
        <w:tc>
          <w:tcPr>
            <w:tcW w:w="2794"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55"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8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1"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2414.04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50.00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50.00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2414.04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97.20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97.20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54.02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54.02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70.49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70.49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2142.33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2142.33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2414.04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2414.04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2414.04　</w:t>
            </w:r>
          </w:p>
        </w:tc>
        <w:tc>
          <w:tcPr>
            <w:tcW w:w="220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6"/>
        <w:tblW w:w="9214" w:type="dxa"/>
        <w:tblInd w:w="-34" w:type="dxa"/>
        <w:tblLayout w:type="fixed"/>
        <w:tblCellMar>
          <w:top w:w="0" w:type="dxa"/>
          <w:left w:w="108" w:type="dxa"/>
          <w:bottom w:w="0" w:type="dxa"/>
          <w:right w:w="108" w:type="dxa"/>
        </w:tblCellMar>
      </w:tblPr>
      <w:tblGrid>
        <w:gridCol w:w="531"/>
        <w:gridCol w:w="499"/>
        <w:gridCol w:w="502"/>
        <w:gridCol w:w="2591"/>
        <w:gridCol w:w="550"/>
        <w:gridCol w:w="1017"/>
        <w:gridCol w:w="216"/>
        <w:gridCol w:w="1616"/>
        <w:gridCol w:w="1692"/>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123"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[053]呼图壁县应急管理局</w:t>
            </w:r>
          </w:p>
        </w:tc>
        <w:tc>
          <w:tcPr>
            <w:tcW w:w="550"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33"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08"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123"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91"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32"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5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567"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5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56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eastAsia="仿宋_GB2312"/>
                <w:sz w:val="20"/>
                <w:szCs w:val="20"/>
              </w:rPr>
              <w:t>201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jc w:val="center"/>
              <w:rPr>
                <w:rFonts w:ascii="仿宋_GB2312" w:hAnsi="宋体" w:eastAsia="仿宋_GB2312" w:cs="宋体"/>
                <w:b/>
                <w:kern w:val="0"/>
                <w:sz w:val="20"/>
                <w:szCs w:val="20"/>
              </w:rPr>
            </w:pPr>
            <w:r>
              <w:rPr>
                <w:rFonts w:hint="eastAsia" w:ascii="仿宋_GB2312" w:hAnsi="宋体" w:eastAsia="仿宋_GB2312" w:cs="宋体"/>
                <w:sz w:val="20"/>
                <w:szCs w:val="20"/>
              </w:rPr>
              <w:t>一般公共服务支出</w:t>
            </w:r>
          </w:p>
        </w:tc>
        <w:tc>
          <w:tcPr>
            <w:tcW w:w="156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eastAsia="仿宋_GB2312"/>
                <w:sz w:val="20"/>
                <w:szCs w:val="20"/>
              </w:rPr>
              <w:t>50.00　</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宋体" w:hAnsi="宋体" w:cs="宋体"/>
                <w:b/>
                <w:bCs/>
                <w:kern w:val="0"/>
                <w:sz w:val="22"/>
                <w:szCs w:val="22"/>
              </w:rPr>
              <w:t>　</w:t>
            </w:r>
          </w:p>
        </w:tc>
        <w:tc>
          <w:tcPr>
            <w:tcW w:w="1692" w:type="dxa"/>
            <w:tcBorders>
              <w:top w:val="nil"/>
              <w:left w:val="nil"/>
              <w:bottom w:val="single" w:color="auto" w:sz="4" w:space="0"/>
              <w:right w:val="single" w:color="auto" w:sz="4" w:space="0"/>
            </w:tcBorders>
            <w:vAlign w:val="center"/>
          </w:tcPr>
          <w:p>
            <w:pPr>
              <w:jc w:val="right"/>
              <w:rPr>
                <w:rFonts w:ascii="仿宋_GB2312" w:hAnsi="宋体" w:eastAsia="仿宋_GB2312" w:cs="宋体"/>
                <w:b/>
                <w:kern w:val="0"/>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201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04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发展与改革事务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50.00　</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c>
          <w:tcPr>
            <w:tcW w:w="169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201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04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99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其他发展与改革事务支出</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50.00　</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c>
          <w:tcPr>
            <w:tcW w:w="169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50.00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center"/>
              <w:rPr>
                <w:rFonts w:ascii="宋体" w:hAnsi="宋体" w:cs="宋体"/>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　社会保障和就业支出</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97.20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97.20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05</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行政事业单位养老支出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97.20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97.20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05</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01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行政单位离退休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9.65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9.65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05</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02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事业单位离退休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3.35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3.35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05</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05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机关事业单位基本养老保险缴费支出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84.21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84.21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卫生健康支出</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54.02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54.02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宋体" w:hAnsi="宋体" w:cs="宋体"/>
                <w:b/>
                <w:bCs/>
                <w:kern w:val="0"/>
                <w:sz w:val="22"/>
                <w:szCs w:val="22"/>
              </w:rPr>
              <w:t>　</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rPr>
              <w:t>210</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行政事业单位医疗</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54.02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54.02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01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行政单位医疗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13.67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13.67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02　</w:t>
            </w:r>
          </w:p>
        </w:tc>
        <w:tc>
          <w:tcPr>
            <w:tcW w:w="2591" w:type="dxa"/>
            <w:tcBorders>
              <w:top w:val="nil"/>
              <w:left w:val="nil"/>
              <w:bottom w:val="single" w:color="auto" w:sz="4" w:space="0"/>
              <w:right w:val="single" w:color="auto" w:sz="4" w:space="0"/>
            </w:tcBorders>
            <w:vAlign w:val="center"/>
          </w:tcPr>
          <w:p>
            <w:pPr>
              <w:rPr>
                <w:rFonts w:ascii="宋体" w:hAnsi="宋体" w:cs="宋体"/>
                <w:kern w:val="0"/>
                <w:sz w:val="20"/>
                <w:szCs w:val="20"/>
              </w:rPr>
            </w:pPr>
            <w:r>
              <w:rPr>
                <w:rFonts w:hint="eastAsia" w:ascii="仿宋_GB2312" w:eastAsia="仿宋_GB2312"/>
                <w:sz w:val="20"/>
                <w:szCs w:val="20"/>
              </w:rPr>
              <w:t>事业单位医疗　</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28.43　</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28.43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7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　</w:t>
            </w:r>
          </w:p>
        </w:tc>
        <w:tc>
          <w:tcPr>
            <w:tcW w:w="2591" w:type="dxa"/>
            <w:tcBorders>
              <w:top w:val="nil"/>
              <w:left w:val="nil"/>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公务员医疗补助　</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11.58　</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11.58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　</w:t>
            </w:r>
          </w:p>
        </w:tc>
        <w:tc>
          <w:tcPr>
            <w:tcW w:w="2591"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hAnsi="宋体" w:eastAsia="仿宋_GB2312" w:cs="宋体"/>
                <w:sz w:val="20"/>
                <w:szCs w:val="20"/>
              </w:rPr>
              <w:t>其他行政事业单位医疗支出</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0.34　</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30"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50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591"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hAnsi="宋体" w:eastAsia="仿宋_GB2312" w:cs="宋体"/>
                <w:sz w:val="20"/>
                <w:szCs w:val="20"/>
              </w:rPr>
              <w:t>住房保障支出</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7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591"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hAnsi="宋体" w:eastAsia="仿宋_GB2312" w:cs="宋体"/>
                <w:sz w:val="20"/>
                <w:szCs w:val="20"/>
              </w:rPr>
              <w:t>住房改革支出</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45" w:hRule="atLeast"/>
        </w:trPr>
        <w:tc>
          <w:tcPr>
            <w:tcW w:w="53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2591"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hAnsi="宋体" w:eastAsia="仿宋_GB2312" w:cs="宋体"/>
                <w:sz w:val="20"/>
                <w:szCs w:val="20"/>
              </w:rPr>
              <w:t>住房公积金</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70.49</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15" w:hRule="atLeast"/>
        </w:trPr>
        <w:tc>
          <w:tcPr>
            <w:tcW w:w="531" w:type="dxa"/>
            <w:tcBorders>
              <w:top w:val="nil"/>
              <w:left w:val="single" w:color="auto" w:sz="4" w:space="0"/>
              <w:bottom w:val="single" w:color="auto" w:sz="4" w:space="0"/>
              <w:right w:val="single" w:color="auto" w:sz="4" w:space="0"/>
            </w:tcBorders>
            <w:vAlign w:val="center"/>
          </w:tcPr>
          <w:p>
            <w:pPr>
              <w:jc w:val="left"/>
              <w:rPr>
                <w:rFonts w:ascii="仿宋_GB2312" w:eastAsia="仿宋_GB2312"/>
                <w:sz w:val="20"/>
                <w:szCs w:val="20"/>
              </w:rPr>
            </w:pPr>
            <w:r>
              <w:rPr>
                <w:rFonts w:hint="eastAsia" w:ascii="仿宋_GB2312" w:hAnsi="仿宋_GB2312" w:eastAsia="仿宋_GB2312" w:cs="仿宋_GB2312"/>
                <w:color w:val="000000"/>
                <w:sz w:val="18"/>
                <w:szCs w:val="18"/>
              </w:rPr>
              <w:t>224　</w:t>
            </w:r>
          </w:p>
        </w:tc>
        <w:tc>
          <w:tcPr>
            <w:tcW w:w="499" w:type="dxa"/>
            <w:tcBorders>
              <w:top w:val="nil"/>
              <w:left w:val="nil"/>
              <w:bottom w:val="single" w:color="auto" w:sz="4" w:space="0"/>
              <w:right w:val="single" w:color="auto" w:sz="4" w:space="0"/>
            </w:tcBorders>
            <w:vAlign w:val="center"/>
          </w:tcPr>
          <w:p>
            <w:pPr>
              <w:jc w:val="left"/>
              <w:rPr>
                <w:rFonts w:ascii="仿宋_GB2312" w:eastAsia="仿宋_GB2312"/>
                <w:sz w:val="20"/>
                <w:szCs w:val="20"/>
              </w:rPr>
            </w:pPr>
            <w:r>
              <w:rPr>
                <w:rFonts w:hint="eastAsia" w:ascii="仿宋_GB2312" w:hAnsi="仿宋_GB2312" w:eastAsia="仿宋_GB2312" w:cs="仿宋_GB2312"/>
                <w:color w:val="000000"/>
                <w:sz w:val="18"/>
                <w:szCs w:val="18"/>
              </w:rPr>
              <w:t>　</w:t>
            </w:r>
          </w:p>
        </w:tc>
        <w:tc>
          <w:tcPr>
            <w:tcW w:w="502" w:type="dxa"/>
            <w:tcBorders>
              <w:top w:val="nil"/>
              <w:left w:val="nil"/>
              <w:bottom w:val="single" w:color="auto" w:sz="4" w:space="0"/>
              <w:right w:val="single" w:color="auto" w:sz="4" w:space="0"/>
            </w:tcBorders>
            <w:vAlign w:val="center"/>
          </w:tcPr>
          <w:p>
            <w:pPr>
              <w:jc w:val="left"/>
              <w:rPr>
                <w:rFonts w:ascii="仿宋_GB2312" w:eastAsia="仿宋_GB2312"/>
                <w:sz w:val="20"/>
                <w:szCs w:val="20"/>
              </w:rPr>
            </w:pPr>
            <w:r>
              <w:rPr>
                <w:rFonts w:hint="eastAsia" w:ascii="仿宋_GB2312" w:hAnsi="仿宋_GB2312" w:eastAsia="仿宋_GB2312" w:cs="仿宋_GB2312"/>
                <w:color w:val="000000"/>
                <w:sz w:val="18"/>
                <w:szCs w:val="18"/>
              </w:rPr>
              <w:t>　</w:t>
            </w:r>
          </w:p>
        </w:tc>
        <w:tc>
          <w:tcPr>
            <w:tcW w:w="2591" w:type="dxa"/>
            <w:tcBorders>
              <w:top w:val="nil"/>
              <w:left w:val="nil"/>
              <w:bottom w:val="single" w:color="auto" w:sz="4" w:space="0"/>
              <w:right w:val="single" w:color="auto" w:sz="4" w:space="0"/>
            </w:tcBorders>
          </w:tcPr>
          <w:p>
            <w:pPr>
              <w:jc w:val="center"/>
              <w:rPr>
                <w:rFonts w:ascii="仿宋_GB2312" w:eastAsia="仿宋_GB2312"/>
                <w:sz w:val="20"/>
                <w:szCs w:val="20"/>
              </w:rPr>
            </w:pPr>
            <w:r>
              <w:rPr>
                <w:rFonts w:hint="eastAsia" w:ascii="仿宋_GB2312" w:hAnsi="仿宋_GB2312" w:eastAsia="仿宋_GB2312" w:cs="仿宋_GB2312"/>
                <w:color w:val="000000"/>
                <w:sz w:val="18"/>
                <w:szCs w:val="18"/>
              </w:rPr>
              <w:t>灾害防治及应急管理支出</w:t>
            </w:r>
          </w:p>
        </w:tc>
        <w:tc>
          <w:tcPr>
            <w:tcW w:w="1567"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2142.33</w:t>
            </w:r>
          </w:p>
        </w:tc>
        <w:tc>
          <w:tcPr>
            <w:tcW w:w="1832"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2142.33</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3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01　</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　</w:t>
            </w: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应急管理事务</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2141.32</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2141.32</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3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01　</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01　</w:t>
            </w: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行政运行</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726.15</w:t>
            </w:r>
          </w:p>
        </w:tc>
        <w:tc>
          <w:tcPr>
            <w:tcW w:w="1832"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726.15</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45"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01　</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06　</w:t>
            </w: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安全监管</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1000.00</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eastAsia="仿宋_GB2312"/>
                <w:sz w:val="20"/>
                <w:szCs w:val="20"/>
              </w:rPr>
              <w:t>1000.00</w:t>
            </w:r>
          </w:p>
        </w:tc>
      </w:tr>
      <w:tr>
        <w:tblPrEx>
          <w:tblLayout w:type="fixed"/>
          <w:tblCellMar>
            <w:top w:w="0" w:type="dxa"/>
            <w:left w:w="108" w:type="dxa"/>
            <w:bottom w:w="0" w:type="dxa"/>
            <w:right w:w="108" w:type="dxa"/>
          </w:tblCellMar>
        </w:tblPrEx>
        <w:trPr>
          <w:trHeight w:val="315"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01　</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50　</w:t>
            </w: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事业运行</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415.17</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eastAsia="仿宋_GB2312"/>
                <w:sz w:val="20"/>
                <w:szCs w:val="20"/>
              </w:rPr>
              <w:t>415.17</w:t>
            </w: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36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05</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地震事务</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1.01</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eastAsia="仿宋_GB2312"/>
                <w:sz w:val="20"/>
                <w:szCs w:val="20"/>
              </w:rPr>
              <w:t>1.01</w:t>
            </w:r>
          </w:p>
        </w:tc>
      </w:tr>
      <w:tr>
        <w:tblPrEx>
          <w:tblLayout w:type="fixed"/>
          <w:tblCellMar>
            <w:top w:w="0" w:type="dxa"/>
            <w:left w:w="108" w:type="dxa"/>
            <w:bottom w:w="0" w:type="dxa"/>
            <w:right w:w="108" w:type="dxa"/>
          </w:tblCellMar>
        </w:tblPrEx>
        <w:trPr>
          <w:trHeight w:val="90" w:hRule="atLeast"/>
        </w:trPr>
        <w:tc>
          <w:tcPr>
            <w:tcW w:w="531" w:type="dxa"/>
            <w:tcBorders>
              <w:top w:val="nil"/>
              <w:left w:val="single" w:color="auto" w:sz="4" w:space="0"/>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224</w:t>
            </w:r>
          </w:p>
        </w:tc>
        <w:tc>
          <w:tcPr>
            <w:tcW w:w="499"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05</w:t>
            </w:r>
          </w:p>
        </w:tc>
        <w:tc>
          <w:tcPr>
            <w:tcW w:w="502" w:type="dxa"/>
            <w:tcBorders>
              <w:top w:val="nil"/>
              <w:left w:val="nil"/>
              <w:bottom w:val="single" w:color="auto" w:sz="4" w:space="0"/>
              <w:right w:val="single" w:color="auto" w:sz="4" w:space="0"/>
            </w:tcBorders>
            <w:vAlign w:val="center"/>
          </w:tcPr>
          <w:p>
            <w:pPr>
              <w:jc w:val="left"/>
              <w:rPr>
                <w:rFonts w:ascii="宋体" w:hAnsi="宋体" w:cs="宋体"/>
                <w:kern w:val="0"/>
                <w:sz w:val="20"/>
                <w:szCs w:val="20"/>
              </w:rPr>
            </w:pPr>
            <w:r>
              <w:rPr>
                <w:rFonts w:hint="eastAsia" w:ascii="仿宋_GB2312" w:hAnsi="仿宋_GB2312" w:eastAsia="仿宋_GB2312" w:cs="仿宋_GB2312"/>
                <w:color w:val="000000"/>
                <w:sz w:val="18"/>
                <w:szCs w:val="18"/>
              </w:rPr>
              <w:t>50</w:t>
            </w:r>
          </w:p>
        </w:tc>
        <w:tc>
          <w:tcPr>
            <w:tcW w:w="2591" w:type="dxa"/>
            <w:tcBorders>
              <w:top w:val="nil"/>
              <w:left w:val="nil"/>
              <w:bottom w:val="single" w:color="auto" w:sz="4" w:space="0"/>
              <w:right w:val="single" w:color="auto" w:sz="4" w:space="0"/>
            </w:tcBorders>
          </w:tcPr>
          <w:p>
            <w:pPr>
              <w:jc w:val="center"/>
              <w:rPr>
                <w:rFonts w:ascii="宋体" w:hAnsi="宋体" w:cs="宋体"/>
                <w:kern w:val="0"/>
                <w:sz w:val="20"/>
                <w:szCs w:val="20"/>
              </w:rPr>
            </w:pPr>
            <w:r>
              <w:rPr>
                <w:rFonts w:hint="eastAsia" w:ascii="仿宋_GB2312" w:hAnsi="仿宋_GB2312" w:eastAsia="仿宋_GB2312" w:cs="仿宋_GB2312"/>
                <w:color w:val="000000"/>
                <w:sz w:val="18"/>
                <w:szCs w:val="18"/>
              </w:rPr>
              <w:t>地震事业机构</w:t>
            </w:r>
          </w:p>
        </w:tc>
        <w:tc>
          <w:tcPr>
            <w:tcW w:w="1567" w:type="dxa"/>
            <w:gridSpan w:val="2"/>
            <w:tcBorders>
              <w:top w:val="nil"/>
              <w:left w:val="nil"/>
              <w:bottom w:val="single" w:color="auto" w:sz="4" w:space="0"/>
              <w:right w:val="single" w:color="auto" w:sz="4" w:space="0"/>
            </w:tcBorders>
            <w:vAlign w:val="center"/>
          </w:tcPr>
          <w:p>
            <w:pPr>
              <w:jc w:val="right"/>
              <w:rPr>
                <w:rFonts w:ascii="宋体" w:hAnsi="宋体" w:cs="宋体"/>
                <w:kern w:val="0"/>
                <w:sz w:val="20"/>
                <w:szCs w:val="20"/>
              </w:rPr>
            </w:pPr>
            <w:r>
              <w:rPr>
                <w:rFonts w:hint="eastAsia" w:ascii="仿宋_GB2312" w:eastAsia="仿宋_GB2312"/>
                <w:sz w:val="20"/>
                <w:szCs w:val="20"/>
              </w:rPr>
              <w:t>1.01</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p>
        </w:tc>
        <w:tc>
          <w:tcPr>
            <w:tcW w:w="169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eastAsia="仿宋_GB2312"/>
                <w:sz w:val="20"/>
                <w:szCs w:val="20"/>
              </w:rPr>
              <w:t>1.01</w:t>
            </w:r>
          </w:p>
        </w:tc>
      </w:tr>
      <w:tr>
        <w:tblPrEx>
          <w:tblLayout w:type="fixed"/>
          <w:tblCellMar>
            <w:top w:w="0" w:type="dxa"/>
            <w:left w:w="108" w:type="dxa"/>
            <w:bottom w:w="0" w:type="dxa"/>
            <w:right w:w="108" w:type="dxa"/>
          </w:tblCellMar>
        </w:tblPrEx>
        <w:trPr>
          <w:trHeight w:val="400" w:hRule="atLeast"/>
        </w:trPr>
        <w:tc>
          <w:tcPr>
            <w:tcW w:w="53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2"/>
                <w:szCs w:val="22"/>
              </w:rPr>
              <w:t>　</w:t>
            </w:r>
          </w:p>
        </w:tc>
        <w:tc>
          <w:tcPr>
            <w:tcW w:w="499"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2"/>
                <w:szCs w:val="22"/>
              </w:rPr>
              <w:t>　</w:t>
            </w:r>
          </w:p>
        </w:tc>
        <w:tc>
          <w:tcPr>
            <w:tcW w:w="50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4"/>
              </w:rPr>
              <w:t>　</w:t>
            </w:r>
          </w:p>
        </w:tc>
        <w:tc>
          <w:tcPr>
            <w:tcW w:w="259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567" w:type="dxa"/>
            <w:gridSpan w:val="2"/>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4"/>
              </w:rPr>
              <w:t>　2414.04</w:t>
            </w:r>
          </w:p>
        </w:tc>
        <w:tc>
          <w:tcPr>
            <w:tcW w:w="1832" w:type="dxa"/>
            <w:gridSpan w:val="2"/>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4"/>
              </w:rPr>
              <w:t>　1363.03</w:t>
            </w:r>
          </w:p>
        </w:tc>
        <w:tc>
          <w:tcPr>
            <w:tcW w:w="1692"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4"/>
              </w:rPr>
              <w:t>　1051.01</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[053]呼图壁县应急管理局</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工资福利支出</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1225.91</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1225.91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基本工资</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198.45</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198.45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02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津贴补贴</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132.35</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132.35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3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奖金</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176.35</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176.35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绩效工资</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96.22</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96.22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84.21</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84.21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10</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42.10</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42.10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公务员医疗补助缴费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11.58</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11.58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12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4.22</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4.22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2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住房公积金</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70.49</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70.49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99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409.94</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409.94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商品和服务支出</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40.85</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40.85</w:t>
            </w:r>
          </w:p>
        </w:tc>
      </w:tr>
      <w:tr>
        <w:tblPrEx>
          <w:tblLayout w:type="fixed"/>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01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办公费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3.30</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3.30</w:t>
            </w:r>
          </w:p>
        </w:tc>
      </w:tr>
      <w:tr>
        <w:tblPrEx>
          <w:tblLayout w:type="fixed"/>
          <w:tblCellMar>
            <w:top w:w="0" w:type="dxa"/>
            <w:left w:w="108" w:type="dxa"/>
            <w:bottom w:w="0" w:type="dxa"/>
            <w:right w:w="108" w:type="dxa"/>
          </w:tblCellMar>
        </w:tblPrEx>
        <w:trPr>
          <w:trHeight w:val="25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05</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水费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0.67</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0.67</w:t>
            </w:r>
          </w:p>
        </w:tc>
      </w:tr>
      <w:tr>
        <w:tblPrEx>
          <w:tblLayout w:type="fixed"/>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06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电费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0.69</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0.69</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邮电费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3.90</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3.90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08</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取暖费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9.92</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9.92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11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差旅费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3.25</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13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维修（护）费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1.00</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1.00</w:t>
            </w:r>
          </w:p>
        </w:tc>
      </w:tr>
      <w:tr>
        <w:tblPrEx>
          <w:tblLayout w:type="fixed"/>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28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工会经费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10.51</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10.51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31　</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公务用车运行维护费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3.60</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3.60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其他交通费用</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4.00</w:t>
            </w:r>
          </w:p>
        </w:tc>
        <w:tc>
          <w:tcPr>
            <w:tcW w:w="1701" w:type="dxa"/>
            <w:gridSpan w:val="2"/>
            <w:tcBorders>
              <w:top w:val="nil"/>
              <w:left w:val="nil"/>
              <w:bottom w:val="single" w:color="auto" w:sz="4" w:space="0"/>
              <w:right w:val="single" w:color="auto" w:sz="4" w:space="0"/>
            </w:tcBorders>
          </w:tcPr>
          <w:p>
            <w:pPr>
              <w:jc w:val="right"/>
              <w:rPr>
                <w:rFonts w:ascii="宋体" w:hAnsi="宋体" w:cs="宋体"/>
                <w:kern w:val="0"/>
                <w:sz w:val="20"/>
                <w:szCs w:val="20"/>
              </w:rPr>
            </w:pP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对个人和家庭的补助</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96.28</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96.28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退休费</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12.19</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12.19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医疗费补助</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83.28</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83.28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09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奖励金</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0.81</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0.81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1363.03</w:t>
            </w:r>
          </w:p>
        </w:tc>
        <w:tc>
          <w:tcPr>
            <w:tcW w:w="1701" w:type="dxa"/>
            <w:gridSpan w:val="2"/>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1322.19</w:t>
            </w:r>
          </w:p>
        </w:tc>
        <w:tc>
          <w:tcPr>
            <w:tcW w:w="1701" w:type="dxa"/>
            <w:tcBorders>
              <w:top w:val="nil"/>
              <w:left w:val="nil"/>
              <w:bottom w:val="single" w:color="auto" w:sz="4" w:space="0"/>
              <w:right w:val="single" w:color="auto" w:sz="4" w:space="0"/>
            </w:tcBorders>
          </w:tcPr>
          <w:p>
            <w:pPr>
              <w:widowControl/>
              <w:jc w:val="right"/>
              <w:textAlignment w:val="top"/>
              <w:rPr>
                <w:rFonts w:ascii="宋体" w:hAnsi="宋体" w:cs="宋体"/>
                <w:kern w:val="0"/>
                <w:sz w:val="20"/>
                <w:szCs w:val="20"/>
              </w:rPr>
            </w:pPr>
            <w:r>
              <w:rPr>
                <w:rFonts w:ascii="Calibri" w:hAnsi="Calibri" w:cs="Calibri"/>
                <w:color w:val="000000"/>
                <w:kern w:val="0"/>
                <w:sz w:val="22"/>
                <w:szCs w:val="22"/>
              </w:rPr>
              <w:t>40.85</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6"/>
        <w:tblW w:w="9540" w:type="dxa"/>
        <w:tblInd w:w="-360" w:type="dxa"/>
        <w:tblLayout w:type="fixed"/>
        <w:tblCellMar>
          <w:top w:w="0" w:type="dxa"/>
          <w:left w:w="108" w:type="dxa"/>
          <w:bottom w:w="0" w:type="dxa"/>
          <w:right w:w="108" w:type="dxa"/>
        </w:tblCellMar>
      </w:tblPr>
      <w:tblGrid>
        <w:gridCol w:w="10"/>
        <w:gridCol w:w="506"/>
        <w:gridCol w:w="417"/>
        <w:gridCol w:w="417"/>
        <w:gridCol w:w="909"/>
        <w:gridCol w:w="1845"/>
        <w:gridCol w:w="840"/>
        <w:gridCol w:w="360"/>
        <w:gridCol w:w="660"/>
        <w:gridCol w:w="645"/>
        <w:gridCol w:w="315"/>
        <w:gridCol w:w="630"/>
        <w:gridCol w:w="711"/>
        <w:gridCol w:w="294"/>
        <w:gridCol w:w="360"/>
        <w:gridCol w:w="345"/>
        <w:gridCol w:w="221"/>
        <w:gridCol w:w="55"/>
      </w:tblGrid>
      <w:tr>
        <w:tblPrEx>
          <w:tblLayout w:type="fixed"/>
          <w:tblCellMar>
            <w:top w:w="0" w:type="dxa"/>
            <w:left w:w="108" w:type="dxa"/>
            <w:bottom w:w="0" w:type="dxa"/>
            <w:right w:w="108" w:type="dxa"/>
          </w:tblCellMar>
        </w:tblPrEx>
        <w:trPr>
          <w:gridBefore w:val="1"/>
          <w:gridAfter w:val="1"/>
          <w:wBefore w:w="10" w:type="dxa"/>
          <w:wAfter w:w="55" w:type="dxa"/>
          <w:trHeight w:val="375" w:hRule="atLeast"/>
        </w:trPr>
        <w:tc>
          <w:tcPr>
            <w:tcW w:w="9475" w:type="dxa"/>
            <w:gridSpan w:val="16"/>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55" w:type="dxa"/>
          <w:trHeight w:val="405" w:hRule="atLeast"/>
        </w:trPr>
        <w:tc>
          <w:tcPr>
            <w:tcW w:w="4094" w:type="dxa"/>
            <w:gridSpan w:val="5"/>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编制单位：[053]呼图壁县应急管理局</w:t>
            </w:r>
          </w:p>
        </w:tc>
        <w:tc>
          <w:tcPr>
            <w:tcW w:w="1860" w:type="dxa"/>
            <w:gridSpan w:val="3"/>
            <w:tcBorders>
              <w:top w:val="nil"/>
              <w:left w:val="nil"/>
              <w:bottom w:val="nil"/>
              <w:right w:val="nil"/>
            </w:tcBorders>
            <w:vAlign w:val="center"/>
          </w:tcPr>
          <w:p>
            <w:pPr>
              <w:widowControl/>
              <w:jc w:val="left"/>
              <w:rPr>
                <w:rFonts w:ascii="仿宋_GB2312" w:hAnsi="宋体" w:eastAsia="仿宋_GB2312" w:cs="宋体"/>
                <w:kern w:val="0"/>
                <w:sz w:val="24"/>
              </w:rPr>
            </w:pPr>
          </w:p>
        </w:tc>
        <w:tc>
          <w:tcPr>
            <w:tcW w:w="645" w:type="dxa"/>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876" w:type="dxa"/>
            <w:gridSpan w:val="7"/>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50" w:type="dxa"/>
            <w:gridSpan w:val="4"/>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90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名称</w:t>
            </w:r>
          </w:p>
        </w:tc>
        <w:tc>
          <w:tcPr>
            <w:tcW w:w="1845" w:type="dxa"/>
            <w:vMerge w:val="restart"/>
            <w:vAlign w:val="center"/>
          </w:tcPr>
          <w:p>
            <w:pPr>
              <w:jc w:val="center"/>
              <w:rPr>
                <w:rFonts w:ascii="Calibri" w:hAnsi="Calibri"/>
                <w:sz w:val="18"/>
                <w:szCs w:val="18"/>
              </w:rPr>
            </w:pPr>
            <w:r>
              <w:rPr>
                <w:rFonts w:hint="eastAsia" w:ascii="仿宋_GB2312" w:hAnsi="宋体" w:eastAsia="仿宋_GB2312"/>
                <w:b/>
                <w:kern w:val="0"/>
                <w:sz w:val="18"/>
                <w:szCs w:val="18"/>
              </w:rPr>
              <w:t>项目名称</w:t>
            </w:r>
          </w:p>
        </w:tc>
        <w:tc>
          <w:tcPr>
            <w:tcW w:w="84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36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66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45"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315"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63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71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294"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36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345"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276"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16" w:type="dxa"/>
            <w:gridSpan w:val="2"/>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909"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845"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84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36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6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45"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315"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3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711"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294"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36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345"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276"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vAlign w:val="center"/>
          </w:tcPr>
          <w:p>
            <w:pPr>
              <w:jc w:val="right"/>
              <w:rPr>
                <w:rFonts w:ascii="仿宋_GB2312" w:hAnsi="宋体" w:eastAsia="仿宋_GB2312" w:cs="宋体"/>
                <w:b/>
                <w:kern w:val="0"/>
                <w:sz w:val="15"/>
                <w:szCs w:val="15"/>
              </w:rPr>
            </w:pPr>
            <w:r>
              <w:rPr>
                <w:rFonts w:hint="eastAsia" w:ascii="仿宋_GB2312" w:eastAsia="仿宋_GB2312"/>
                <w:sz w:val="15"/>
                <w:szCs w:val="15"/>
              </w:rPr>
              <w:t>201　</w:t>
            </w:r>
          </w:p>
        </w:tc>
        <w:tc>
          <w:tcPr>
            <w:tcW w:w="417" w:type="dxa"/>
            <w:vAlign w:val="center"/>
          </w:tcPr>
          <w:p>
            <w:pPr>
              <w:jc w:val="right"/>
              <w:rPr>
                <w:rFonts w:ascii="仿宋_GB2312" w:hAnsi="宋体" w:eastAsia="仿宋_GB2312" w:cs="宋体"/>
                <w:b/>
                <w:kern w:val="0"/>
                <w:sz w:val="15"/>
                <w:szCs w:val="15"/>
              </w:rPr>
            </w:pPr>
            <w:r>
              <w:rPr>
                <w:rFonts w:hint="eastAsia" w:ascii="仿宋_GB2312" w:eastAsia="仿宋_GB2312"/>
                <w:sz w:val="15"/>
                <w:szCs w:val="15"/>
              </w:rPr>
              <w:t>　</w:t>
            </w:r>
          </w:p>
        </w:tc>
        <w:tc>
          <w:tcPr>
            <w:tcW w:w="417" w:type="dxa"/>
            <w:vAlign w:val="center"/>
          </w:tcPr>
          <w:p>
            <w:pPr>
              <w:jc w:val="right"/>
              <w:rPr>
                <w:rFonts w:ascii="仿宋_GB2312" w:hAnsi="宋体" w:eastAsia="仿宋_GB2312" w:cs="宋体"/>
                <w:b/>
                <w:kern w:val="0"/>
                <w:sz w:val="15"/>
                <w:szCs w:val="15"/>
              </w:rPr>
            </w:pPr>
            <w:r>
              <w:rPr>
                <w:rFonts w:hint="eastAsia" w:ascii="仿宋_GB2312" w:eastAsia="仿宋_GB2312"/>
                <w:sz w:val="15"/>
                <w:szCs w:val="15"/>
              </w:rPr>
              <w:t>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一般公共服务支出</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vAlign w:val="center"/>
          </w:tcPr>
          <w:p>
            <w:pPr>
              <w:jc w:val="right"/>
              <w:rPr>
                <w:rFonts w:ascii="宋体" w:hAnsi="宋体" w:cs="宋体"/>
                <w:kern w:val="0"/>
                <w:sz w:val="15"/>
                <w:szCs w:val="15"/>
              </w:rPr>
            </w:pPr>
            <w:r>
              <w:rPr>
                <w:rFonts w:hint="eastAsia" w:ascii="仿宋_GB2312" w:eastAsia="仿宋_GB2312"/>
                <w:sz w:val="15"/>
                <w:szCs w:val="15"/>
              </w:rPr>
              <w:t>201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04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发展与改革事务</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vAlign w:val="center"/>
          </w:tcPr>
          <w:p>
            <w:pPr>
              <w:jc w:val="right"/>
              <w:rPr>
                <w:rFonts w:ascii="宋体" w:hAnsi="宋体" w:cs="宋体"/>
                <w:kern w:val="0"/>
                <w:sz w:val="15"/>
                <w:szCs w:val="15"/>
              </w:rPr>
            </w:pPr>
            <w:r>
              <w:rPr>
                <w:rFonts w:hint="eastAsia" w:ascii="仿宋_GB2312" w:eastAsia="仿宋_GB2312"/>
                <w:sz w:val="15"/>
                <w:szCs w:val="15"/>
              </w:rPr>
              <w:t>201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04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99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其他发展与改革事务支出</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vAlign w:val="center"/>
          </w:tcPr>
          <w:p>
            <w:pPr>
              <w:jc w:val="right"/>
              <w:rPr>
                <w:rFonts w:ascii="宋体" w:hAnsi="宋体" w:cs="宋体"/>
                <w:kern w:val="0"/>
                <w:sz w:val="15"/>
                <w:szCs w:val="15"/>
              </w:rPr>
            </w:pPr>
            <w:r>
              <w:rPr>
                <w:rFonts w:hint="eastAsia" w:ascii="仿宋_GB2312" w:eastAsia="仿宋_GB2312"/>
                <w:sz w:val="15"/>
                <w:szCs w:val="15"/>
              </w:rPr>
              <w:t>201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04　</w:t>
            </w:r>
          </w:p>
        </w:tc>
        <w:tc>
          <w:tcPr>
            <w:tcW w:w="417" w:type="dxa"/>
            <w:vAlign w:val="center"/>
          </w:tcPr>
          <w:p>
            <w:pPr>
              <w:jc w:val="right"/>
              <w:rPr>
                <w:rFonts w:ascii="宋体" w:hAnsi="宋体" w:cs="宋体"/>
                <w:kern w:val="0"/>
                <w:sz w:val="15"/>
                <w:szCs w:val="15"/>
              </w:rPr>
            </w:pPr>
            <w:r>
              <w:rPr>
                <w:rFonts w:hint="eastAsia" w:ascii="仿宋_GB2312" w:eastAsia="仿宋_GB2312"/>
                <w:sz w:val="15"/>
                <w:szCs w:val="15"/>
              </w:rPr>
              <w:t>99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其他发展与改革事务支出</w:t>
            </w:r>
          </w:p>
        </w:tc>
        <w:tc>
          <w:tcPr>
            <w:tcW w:w="1845"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2023年第六批自治区预算内投资的通知-昌吉州呼图壁县灾害救援和应急能力提升项目</w:t>
            </w: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　</w:t>
            </w:r>
          </w:p>
        </w:tc>
        <w:tc>
          <w:tcPr>
            <w:tcW w:w="417" w:type="dxa"/>
          </w:tcPr>
          <w:p>
            <w:pPr>
              <w:jc w:val="right"/>
              <w:rPr>
                <w:rFonts w:ascii="仿宋_GB2312" w:eastAsia="仿宋_GB2312"/>
                <w:sz w:val="15"/>
                <w:szCs w:val="15"/>
              </w:rPr>
            </w:pPr>
            <w:r>
              <w:rPr>
                <w:rFonts w:hint="eastAsia" w:ascii="仿宋_GB2312" w:eastAsia="仿宋_GB2312"/>
                <w:sz w:val="15"/>
                <w:szCs w:val="15"/>
              </w:rPr>
              <w:t>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灾害防治及应急管理支出</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1001.01</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935.00</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16.01</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01　</w:t>
            </w:r>
          </w:p>
        </w:tc>
        <w:tc>
          <w:tcPr>
            <w:tcW w:w="417" w:type="dxa"/>
          </w:tcPr>
          <w:p>
            <w:pPr>
              <w:jc w:val="right"/>
              <w:rPr>
                <w:rFonts w:ascii="仿宋_GB2312" w:eastAsia="仿宋_GB2312"/>
                <w:sz w:val="15"/>
                <w:szCs w:val="15"/>
              </w:rPr>
            </w:pPr>
            <w:r>
              <w:rPr>
                <w:rFonts w:hint="eastAsia" w:ascii="仿宋_GB2312" w:eastAsia="仿宋_GB2312"/>
                <w:sz w:val="15"/>
                <w:szCs w:val="15"/>
              </w:rPr>
              <w:t>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应急管理事务</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1000.00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935.00</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15.00</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01　</w:t>
            </w:r>
          </w:p>
        </w:tc>
        <w:tc>
          <w:tcPr>
            <w:tcW w:w="417" w:type="dxa"/>
          </w:tcPr>
          <w:p>
            <w:pPr>
              <w:jc w:val="right"/>
              <w:rPr>
                <w:rFonts w:ascii="仿宋_GB2312" w:eastAsia="仿宋_GB2312"/>
                <w:sz w:val="15"/>
                <w:szCs w:val="15"/>
              </w:rPr>
            </w:pPr>
            <w:r>
              <w:rPr>
                <w:rFonts w:hint="eastAsia" w:ascii="仿宋_GB2312" w:eastAsia="仿宋_GB2312"/>
                <w:sz w:val="15"/>
                <w:szCs w:val="15"/>
              </w:rPr>
              <w:t>06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安全监管</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1000.00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935.00</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15.00</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01　</w:t>
            </w:r>
          </w:p>
        </w:tc>
        <w:tc>
          <w:tcPr>
            <w:tcW w:w="417" w:type="dxa"/>
          </w:tcPr>
          <w:p>
            <w:pPr>
              <w:jc w:val="right"/>
              <w:rPr>
                <w:rFonts w:ascii="仿宋_GB2312" w:eastAsia="仿宋_GB2312"/>
                <w:sz w:val="15"/>
                <w:szCs w:val="15"/>
              </w:rPr>
            </w:pPr>
            <w:r>
              <w:rPr>
                <w:rFonts w:hint="eastAsia" w:ascii="仿宋_GB2312" w:eastAsia="仿宋_GB2312"/>
                <w:sz w:val="15"/>
                <w:szCs w:val="15"/>
              </w:rPr>
              <w:t>06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安全监管</w:t>
            </w:r>
          </w:p>
        </w:tc>
        <w:tc>
          <w:tcPr>
            <w:tcW w:w="1845"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2024年县级安全生产经费项目（非定额）</w:t>
            </w: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1000.00</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935.00</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15.00</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05　</w:t>
            </w:r>
          </w:p>
        </w:tc>
        <w:tc>
          <w:tcPr>
            <w:tcW w:w="417" w:type="dxa"/>
          </w:tcPr>
          <w:p>
            <w:pPr>
              <w:jc w:val="right"/>
              <w:rPr>
                <w:rFonts w:ascii="仿宋_GB2312" w:eastAsia="仿宋_GB2312"/>
                <w:sz w:val="15"/>
                <w:szCs w:val="15"/>
              </w:rPr>
            </w:pPr>
            <w:r>
              <w:rPr>
                <w:rFonts w:hint="eastAsia" w:ascii="仿宋_GB2312" w:eastAsia="仿宋_GB2312"/>
                <w:sz w:val="15"/>
                <w:szCs w:val="15"/>
              </w:rPr>
              <w:t>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地震事务</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05　</w:t>
            </w:r>
          </w:p>
        </w:tc>
        <w:tc>
          <w:tcPr>
            <w:tcW w:w="417" w:type="dxa"/>
          </w:tcPr>
          <w:p>
            <w:pPr>
              <w:jc w:val="right"/>
              <w:rPr>
                <w:rFonts w:ascii="仿宋_GB2312" w:eastAsia="仿宋_GB2312"/>
                <w:sz w:val="15"/>
                <w:szCs w:val="15"/>
              </w:rPr>
            </w:pPr>
            <w:r>
              <w:rPr>
                <w:rFonts w:hint="eastAsia" w:ascii="仿宋_GB2312" w:eastAsia="仿宋_GB2312"/>
                <w:sz w:val="15"/>
                <w:szCs w:val="15"/>
              </w:rPr>
              <w:t>50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地震事业机构</w:t>
            </w:r>
          </w:p>
        </w:tc>
        <w:tc>
          <w:tcPr>
            <w:tcW w:w="1845" w:type="dxa"/>
            <w:vAlign w:val="center"/>
          </w:tcPr>
          <w:p>
            <w:pPr>
              <w:jc w:val="left"/>
              <w:rPr>
                <w:rFonts w:ascii="仿宋_GB2312" w:hAnsi="宋体" w:eastAsia="仿宋_GB2312"/>
                <w:kern w:val="0"/>
                <w:sz w:val="22"/>
                <w:szCs w:val="22"/>
              </w:rPr>
            </w:pP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516" w:type="dxa"/>
            <w:gridSpan w:val="2"/>
          </w:tcPr>
          <w:p>
            <w:pPr>
              <w:jc w:val="right"/>
              <w:rPr>
                <w:rFonts w:ascii="仿宋_GB2312" w:eastAsia="仿宋_GB2312"/>
                <w:sz w:val="15"/>
                <w:szCs w:val="15"/>
              </w:rPr>
            </w:pPr>
            <w:r>
              <w:rPr>
                <w:rFonts w:hint="eastAsia" w:ascii="仿宋_GB2312" w:eastAsia="仿宋_GB2312"/>
                <w:sz w:val="15"/>
                <w:szCs w:val="15"/>
              </w:rPr>
              <w:t>224　</w:t>
            </w:r>
          </w:p>
        </w:tc>
        <w:tc>
          <w:tcPr>
            <w:tcW w:w="417" w:type="dxa"/>
          </w:tcPr>
          <w:p>
            <w:pPr>
              <w:jc w:val="right"/>
              <w:rPr>
                <w:rFonts w:ascii="仿宋_GB2312" w:eastAsia="仿宋_GB2312"/>
                <w:sz w:val="15"/>
                <w:szCs w:val="15"/>
              </w:rPr>
            </w:pPr>
            <w:r>
              <w:rPr>
                <w:rFonts w:hint="eastAsia" w:ascii="仿宋_GB2312" w:eastAsia="仿宋_GB2312"/>
                <w:sz w:val="15"/>
                <w:szCs w:val="15"/>
              </w:rPr>
              <w:t>05　</w:t>
            </w:r>
          </w:p>
        </w:tc>
        <w:tc>
          <w:tcPr>
            <w:tcW w:w="417" w:type="dxa"/>
          </w:tcPr>
          <w:p>
            <w:pPr>
              <w:jc w:val="right"/>
              <w:rPr>
                <w:rFonts w:ascii="仿宋_GB2312" w:eastAsia="仿宋_GB2312"/>
                <w:sz w:val="15"/>
                <w:szCs w:val="15"/>
              </w:rPr>
            </w:pPr>
            <w:r>
              <w:rPr>
                <w:rFonts w:hint="eastAsia" w:ascii="仿宋_GB2312" w:eastAsia="仿宋_GB2312"/>
                <w:sz w:val="15"/>
                <w:szCs w:val="15"/>
              </w:rPr>
              <w:t>50　</w:t>
            </w:r>
          </w:p>
        </w:tc>
        <w:tc>
          <w:tcPr>
            <w:tcW w:w="909"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地震事业机构</w:t>
            </w:r>
          </w:p>
        </w:tc>
        <w:tc>
          <w:tcPr>
            <w:tcW w:w="1845" w:type="dxa"/>
            <w:vAlign w:val="center"/>
          </w:tcPr>
          <w:p>
            <w:pPr>
              <w:widowControl/>
              <w:jc w:val="left"/>
              <w:textAlignment w:val="center"/>
              <w:rPr>
                <w:rFonts w:ascii="仿宋_GB2312" w:hAnsi="宋体" w:eastAsia="仿宋_GB2312"/>
                <w:kern w:val="0"/>
                <w:sz w:val="22"/>
                <w:szCs w:val="22"/>
              </w:rPr>
            </w:pPr>
            <w:r>
              <w:rPr>
                <w:rFonts w:hint="eastAsia" w:ascii="宋体" w:hAnsi="宋体" w:cs="宋体"/>
                <w:color w:val="000000"/>
                <w:kern w:val="0"/>
                <w:sz w:val="18"/>
                <w:szCs w:val="18"/>
              </w:rPr>
              <w:t>提前下达2024年自治区防灾减灾“三网一员”工作经费</w:t>
            </w:r>
          </w:p>
        </w:tc>
        <w:tc>
          <w:tcPr>
            <w:tcW w:w="84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1.01</w:t>
            </w:r>
          </w:p>
        </w:tc>
        <w:tc>
          <w:tcPr>
            <w:tcW w:w="31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63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711"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1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417"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417"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909"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1845" w:type="dxa"/>
            <w:vAlign w:val="center"/>
          </w:tcPr>
          <w:p>
            <w:pPr>
              <w:widowControl/>
              <w:jc w:val="center"/>
              <w:outlineLvl w:val="1"/>
              <w:rPr>
                <w:rFonts w:ascii="仿宋_GB2312" w:hAnsi="宋体" w:eastAsia="仿宋_GB2312"/>
                <w:kern w:val="0"/>
                <w:sz w:val="22"/>
                <w:szCs w:val="22"/>
              </w:rPr>
            </w:pPr>
            <w:r>
              <w:rPr>
                <w:rFonts w:hint="eastAsia" w:ascii="仿宋_GB2312" w:hAnsi="宋体" w:eastAsia="仿宋_GB2312"/>
                <w:b/>
                <w:bCs/>
                <w:kern w:val="0"/>
                <w:sz w:val="15"/>
                <w:szCs w:val="15"/>
              </w:rPr>
              <w:t>合 计</w:t>
            </w:r>
          </w:p>
        </w:tc>
        <w:tc>
          <w:tcPr>
            <w:tcW w:w="840" w:type="dxa"/>
          </w:tcPr>
          <w:p>
            <w:pPr>
              <w:widowControl/>
              <w:jc w:val="right"/>
              <w:textAlignment w:val="top"/>
              <w:rPr>
                <w:rFonts w:ascii="仿宋_GB2312" w:hAnsi="宋体" w:eastAsia="仿宋_GB2312"/>
                <w:kern w:val="0"/>
                <w:sz w:val="16"/>
                <w:szCs w:val="16"/>
              </w:rPr>
            </w:pPr>
            <w:r>
              <w:rPr>
                <w:rFonts w:ascii="Calibri" w:hAnsi="Calibri" w:cs="Calibri"/>
                <w:color w:val="000000"/>
                <w:kern w:val="0"/>
                <w:sz w:val="18"/>
                <w:szCs w:val="18"/>
              </w:rPr>
              <w:t>1051.01</w:t>
            </w:r>
          </w:p>
        </w:tc>
        <w:tc>
          <w:tcPr>
            <w:tcW w:w="360" w:type="dxa"/>
          </w:tcPr>
          <w:p>
            <w:pPr>
              <w:jc w:val="right"/>
              <w:rPr>
                <w:rFonts w:ascii="仿宋_GB2312" w:hAnsi="宋体" w:eastAsia="仿宋_GB2312"/>
                <w:kern w:val="0"/>
                <w:sz w:val="22"/>
                <w:szCs w:val="22"/>
              </w:rPr>
            </w:pPr>
          </w:p>
        </w:tc>
        <w:tc>
          <w:tcPr>
            <w:tcW w:w="66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935.00</w:t>
            </w:r>
          </w:p>
        </w:tc>
        <w:tc>
          <w:tcPr>
            <w:tcW w:w="645"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16.01</w:t>
            </w:r>
          </w:p>
        </w:tc>
        <w:tc>
          <w:tcPr>
            <w:tcW w:w="315" w:type="dxa"/>
          </w:tcPr>
          <w:p>
            <w:pPr>
              <w:jc w:val="right"/>
              <w:rPr>
                <w:rFonts w:ascii="仿宋_GB2312" w:hAnsi="宋体" w:eastAsia="仿宋_GB2312"/>
                <w:kern w:val="0"/>
                <w:sz w:val="22"/>
                <w:szCs w:val="22"/>
              </w:rPr>
            </w:pPr>
          </w:p>
        </w:tc>
        <w:tc>
          <w:tcPr>
            <w:tcW w:w="630" w:type="dxa"/>
          </w:tcPr>
          <w:p>
            <w:pPr>
              <w:widowControl/>
              <w:jc w:val="right"/>
              <w:textAlignment w:val="top"/>
              <w:rPr>
                <w:rFonts w:ascii="仿宋_GB2312" w:hAnsi="宋体" w:eastAsia="仿宋_GB2312"/>
                <w:kern w:val="0"/>
                <w:sz w:val="22"/>
                <w:szCs w:val="22"/>
              </w:rPr>
            </w:pPr>
            <w:r>
              <w:rPr>
                <w:rFonts w:ascii="Calibri" w:hAnsi="Calibri" w:cs="Calibri"/>
                <w:color w:val="000000"/>
                <w:kern w:val="0"/>
                <w:sz w:val="18"/>
                <w:szCs w:val="18"/>
              </w:rPr>
              <w:t>50.00</w:t>
            </w:r>
          </w:p>
        </w:tc>
        <w:tc>
          <w:tcPr>
            <w:tcW w:w="711" w:type="dxa"/>
          </w:tcPr>
          <w:p>
            <w:pPr>
              <w:widowControl/>
              <w:jc w:val="center"/>
              <w:outlineLvl w:val="1"/>
              <w:rPr>
                <w:rFonts w:ascii="仿宋_GB2312" w:hAnsi="宋体" w:eastAsia="仿宋_GB2312"/>
                <w:kern w:val="0"/>
                <w:sz w:val="22"/>
                <w:szCs w:val="22"/>
              </w:rPr>
            </w:pPr>
            <w:r>
              <w:rPr>
                <w:rFonts w:hint="eastAsia" w:ascii="Calibri" w:hAnsi="Calibri" w:cs="Calibri"/>
                <w:color w:val="000000"/>
                <w:kern w:val="0"/>
                <w:sz w:val="18"/>
                <w:szCs w:val="18"/>
              </w:rPr>
              <w:t>50.00</w:t>
            </w:r>
          </w:p>
        </w:tc>
        <w:tc>
          <w:tcPr>
            <w:tcW w:w="294"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60"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345" w:type="dxa"/>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c>
          <w:tcPr>
            <w:tcW w:w="276" w:type="dxa"/>
            <w:gridSpan w:val="2"/>
          </w:tcPr>
          <w:p>
            <w:pPr>
              <w:widowControl/>
              <w:jc w:val="left"/>
              <w:outlineLvl w:val="1"/>
              <w:rPr>
                <w:rFonts w:ascii="仿宋_GB2312" w:hAnsi="宋体" w:eastAsia="仿宋_GB2312"/>
                <w:kern w:val="0"/>
                <w:sz w:val="22"/>
                <w:szCs w:val="22"/>
              </w:rPr>
            </w:pPr>
            <w:r>
              <w:rPr>
                <w:rFonts w:hint="eastAsia" w:ascii="仿宋_GB2312" w:hAnsi="宋体" w:eastAsia="仿宋_GB2312"/>
                <w:kern w:val="0"/>
                <w:sz w:val="22"/>
                <w:szCs w:val="22"/>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编制单位：[053]呼图壁县应急管理局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仿宋_GB2312" w:hAnsi="宋体" w:eastAsia="仿宋_GB2312"/>
          <w:b/>
          <w:kern w:val="0"/>
          <w:sz w:val="28"/>
          <w:szCs w:val="32"/>
        </w:rPr>
        <w:t>备注：2024年未安排政府性基金支出预算，此表没有数据</w:t>
      </w: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 [053]呼图壁县应急管理局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kern w:val="0"/>
          <w:sz w:val="32"/>
          <w:szCs w:val="32"/>
        </w:rPr>
      </w:pPr>
      <w:r>
        <w:rPr>
          <w:rFonts w:hint="eastAsia" w:ascii="仿宋_GB2312" w:hAnsi="宋体" w:eastAsia="仿宋_GB2312"/>
          <w:b/>
          <w:kern w:val="0"/>
          <w:sz w:val="28"/>
          <w:szCs w:val="32"/>
        </w:rPr>
        <w:t>备注：2024年未安排</w:t>
      </w:r>
      <w:r>
        <w:rPr>
          <w:rFonts w:hint="eastAsia" w:ascii="仿宋_GB2312" w:hAnsi="宋体" w:eastAsia="仿宋_GB2312"/>
          <w:b/>
          <w:kern w:val="0"/>
          <w:sz w:val="32"/>
          <w:szCs w:val="32"/>
        </w:rPr>
        <w:t>国有资本经营预算</w:t>
      </w:r>
      <w:r>
        <w:rPr>
          <w:rFonts w:hint="eastAsia" w:ascii="仿宋_GB2312" w:hAnsi="宋体" w:eastAsia="仿宋_GB2312"/>
          <w:b/>
          <w:kern w:val="0"/>
          <w:sz w:val="28"/>
          <w:szCs w:val="32"/>
        </w:rPr>
        <w:t>支出预算，此表没有数据。</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 [053]呼图壁县应急管理局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3.6</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Cs w:val="21"/>
              </w:rPr>
            </w:pPr>
            <w:r>
              <w:rPr>
                <w:rFonts w:hint="eastAsia" w:ascii="仿宋" w:hAnsi="仿宋" w:eastAsia="仿宋" w:cs="仿宋_GB2312"/>
                <w:bCs/>
                <w:kern w:val="0"/>
                <w:szCs w:val="21"/>
              </w:rPr>
              <w:t>2023年第六批自治区预算内投资的通知-昌吉州呼图壁县灾害救援和应急能力提升项目</w:t>
            </w:r>
          </w:p>
        </w:tc>
        <w:tc>
          <w:tcPr>
            <w:tcW w:w="850" w:type="dxa"/>
            <w:vAlign w:val="center"/>
          </w:tcPr>
          <w:p>
            <w:pPr>
              <w:spacing w:line="600" w:lineRule="exact"/>
              <w:jc w:val="center"/>
              <w:rPr>
                <w:rFonts w:ascii="仿宋" w:hAnsi="仿宋" w:eastAsia="仿宋" w:cs="仿宋_GB2312"/>
                <w:bCs/>
                <w:kern w:val="0"/>
                <w:szCs w:val="21"/>
              </w:rPr>
            </w:pPr>
            <w:r>
              <w:rPr>
                <w:rFonts w:hint="eastAsia" w:ascii="仿宋" w:hAnsi="仿宋" w:eastAsia="仿宋" w:cs="仿宋_GB2312"/>
                <w:bCs/>
                <w:kern w:val="0"/>
                <w:szCs w:val="21"/>
              </w:rPr>
              <w:t>50.00</w:t>
            </w:r>
          </w:p>
        </w:tc>
        <w:tc>
          <w:tcPr>
            <w:tcW w:w="1054" w:type="dxa"/>
            <w:vAlign w:val="center"/>
          </w:tcPr>
          <w:p>
            <w:pPr>
              <w:spacing w:line="600" w:lineRule="exact"/>
              <w:jc w:val="center"/>
              <w:rPr>
                <w:rFonts w:ascii="仿宋" w:hAnsi="仿宋" w:eastAsia="仿宋" w:cs="仿宋_GB2312"/>
                <w:bCs/>
                <w:kern w:val="0"/>
                <w:szCs w:val="21"/>
              </w:rPr>
            </w:pPr>
            <w:r>
              <w:rPr>
                <w:rFonts w:hint="eastAsia" w:ascii="仿宋" w:hAnsi="仿宋" w:eastAsia="仿宋" w:cs="仿宋_GB2312"/>
                <w:bCs/>
                <w:kern w:val="0"/>
                <w:szCs w:val="21"/>
              </w:rPr>
              <w:t>50.00</w:t>
            </w:r>
          </w:p>
        </w:tc>
        <w:tc>
          <w:tcPr>
            <w:tcW w:w="890" w:type="dxa"/>
            <w:vAlign w:val="center"/>
          </w:tcPr>
          <w:p>
            <w:pPr>
              <w:widowControl/>
              <w:spacing w:line="280" w:lineRule="exact"/>
              <w:jc w:val="center"/>
              <w:rPr>
                <w:rFonts w:ascii="仿宋_GB2312" w:hAnsi="宋体" w:eastAsia="仿宋_GB2312" w:cs="宋体"/>
                <w:b/>
                <w:bCs/>
                <w:kern w:val="0"/>
                <w:sz w:val="15"/>
                <w:szCs w:val="15"/>
              </w:rPr>
            </w:pPr>
          </w:p>
        </w:tc>
        <w:tc>
          <w:tcPr>
            <w:tcW w:w="714" w:type="dxa"/>
            <w:vAlign w:val="center"/>
          </w:tcPr>
          <w:p>
            <w:pPr>
              <w:widowControl/>
              <w:spacing w:line="280" w:lineRule="exact"/>
              <w:jc w:val="center"/>
              <w:rPr>
                <w:rFonts w:ascii="仿宋_GB2312" w:hAnsi="宋体" w:eastAsia="仿宋_GB2312" w:cs="宋体"/>
                <w:b/>
                <w:bCs/>
                <w:kern w:val="0"/>
                <w:sz w:val="15"/>
                <w:szCs w:val="15"/>
              </w:rPr>
            </w:pPr>
          </w:p>
        </w:tc>
        <w:tc>
          <w:tcPr>
            <w:tcW w:w="1211" w:type="dxa"/>
            <w:vAlign w:val="center"/>
          </w:tcPr>
          <w:p>
            <w:pPr>
              <w:spacing w:line="600" w:lineRule="exact"/>
              <w:jc w:val="center"/>
              <w:rPr>
                <w:rFonts w:ascii="仿宋" w:hAnsi="仿宋" w:eastAsia="仿宋" w:cs="仿宋_GB2312"/>
                <w:bCs/>
                <w:kern w:val="0"/>
                <w:szCs w:val="21"/>
              </w:rPr>
            </w:pPr>
            <w:r>
              <w:rPr>
                <w:rFonts w:hint="eastAsia" w:ascii="仿宋" w:hAnsi="仿宋" w:eastAsia="仿宋" w:cs="仿宋_GB2312"/>
                <w:bCs/>
                <w:kern w:val="0"/>
                <w:szCs w:val="21"/>
              </w:rPr>
              <w:t>50.00</w:t>
            </w:r>
          </w:p>
        </w:tc>
        <w:tc>
          <w:tcPr>
            <w:tcW w:w="797" w:type="dxa"/>
            <w:vAlign w:val="center"/>
          </w:tcPr>
          <w:p>
            <w:pPr>
              <w:spacing w:line="600" w:lineRule="exact"/>
              <w:jc w:val="center"/>
              <w:rPr>
                <w:rFonts w:ascii="仿宋" w:hAnsi="仿宋" w:eastAsia="仿宋" w:cs="仿宋_GB2312"/>
                <w:bCs/>
                <w:kern w:val="0"/>
                <w:szCs w:val="21"/>
              </w:rPr>
            </w:pPr>
          </w:p>
        </w:tc>
        <w:tc>
          <w:tcPr>
            <w:tcW w:w="723" w:type="dxa"/>
            <w:vAlign w:val="center"/>
          </w:tcPr>
          <w:p>
            <w:pPr>
              <w:spacing w:line="600" w:lineRule="exact"/>
              <w:jc w:val="center"/>
              <w:rPr>
                <w:rFonts w:ascii="仿宋" w:hAnsi="仿宋" w:eastAsia="仿宋" w:cs="仿宋_GB2312"/>
                <w:bCs/>
                <w:kern w:val="0"/>
                <w:szCs w:val="21"/>
              </w:rPr>
            </w:pPr>
          </w:p>
        </w:tc>
        <w:tc>
          <w:tcPr>
            <w:tcW w:w="881" w:type="dxa"/>
            <w:vAlign w:val="center"/>
          </w:tcPr>
          <w:p>
            <w:pPr>
              <w:spacing w:line="600" w:lineRule="exact"/>
              <w:jc w:val="center"/>
              <w:rPr>
                <w:rFonts w:ascii="仿宋" w:hAnsi="仿宋" w:eastAsia="仿宋" w:cs="仿宋_GB2312"/>
                <w:bCs/>
                <w:kern w:val="0"/>
                <w:szCs w:val="21"/>
              </w:rPr>
            </w:pPr>
          </w:p>
        </w:tc>
        <w:tc>
          <w:tcPr>
            <w:tcW w:w="1211" w:type="dxa"/>
            <w:vAlign w:val="center"/>
          </w:tcPr>
          <w:p>
            <w:pPr>
              <w:spacing w:line="600" w:lineRule="exact"/>
              <w:jc w:val="center"/>
              <w:rPr>
                <w:rFonts w:ascii="仿宋" w:hAnsi="仿宋" w:eastAsia="仿宋" w:cs="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2024年呼图壁县应急管理局预算情况说明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一、关于呼图壁县应急管理局2024年收支预算情况的总体说明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按照全口径预算的原则，呼图壁县应急管理局2024年所有收入和支出均纳入单位预算管理。收支总预算2689.04万元。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收入预算包括：一般公共预算2364.04万元、单位资金275万元、财政拨款结转结余50万元。</w:t>
      </w:r>
    </w:p>
    <w:p>
      <w:pPr>
        <w:spacing w:line="600" w:lineRule="exact"/>
        <w:ind w:firstLine="640" w:firstLineChars="200"/>
        <w:rPr>
          <w:rFonts w:ascii="宋体" w:hAnsi="宋体" w:cs="宋体"/>
          <w:kern w:val="0"/>
          <w:sz w:val="20"/>
          <w:szCs w:val="20"/>
        </w:rPr>
      </w:pPr>
      <w:r>
        <w:rPr>
          <w:rFonts w:hint="eastAsia" w:ascii="仿宋_GB2312" w:hAnsi="宋体" w:eastAsia="仿宋_GB2312" w:cs="宋体"/>
          <w:kern w:val="0"/>
          <w:sz w:val="32"/>
          <w:szCs w:val="32"/>
        </w:rPr>
        <w:t>支出预算包括：一般公共服务支出50万元、社会保障和就业支出157.20万元、卫生健康支出101.02万元、住房保障支出140.49万元、灾害防治及应急管理支出2240.33万元。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呼图壁县应急管理局</w:t>
      </w:r>
      <w:r>
        <w:rPr>
          <w:rFonts w:hint="eastAsia" w:ascii="楷体_GB2312" w:hAnsi="楷体_GB2312" w:eastAsia="楷体_GB2312" w:cs="楷体_GB2312"/>
          <w:b/>
          <w:bCs/>
          <w:kern w:val="0"/>
          <w:sz w:val="32"/>
          <w:szCs w:val="32"/>
        </w:rPr>
        <w:t>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呼图壁县应急管理局收入预算2689.04万元，其中：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一般公共预算2363.3万元，占87.89 %，比上年预算增加681.5万元，增长40.52 %，主要原因是202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 xml:space="preserve">年增加在职人员13人以及将26名在职消防员的基础绩效奖安排由应急管理局进行发放；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上级一般公共预算安排的转移支付资金1.01万元，占0.04%，比上年预算增加1.01万元，增长100%，主要原因是2024年“三网一员”经费随文件正常下达，故列入预算；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上级政府性基金安排的转移支付资金未安排。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单位资金275万元，占10.23 %，比上年预算减68.95万元，下降20.05%，主要原因是对单位资金预算安排趋于成熟，向真实合理性方向靠拢；</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财政拨款结转50万元，占1.86 %，比上年预算增加50万元，增长100%，主要原因是随文件下发资金，2023年度内没有财政拨款结转；</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三、关于呼图壁县应急管理局2024年支出预算情况说明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呼图壁县应急管理局2024年支出预算2689.04万元，其中：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基本支出1638.03万元，占60.92%，比上年预算增加956.17万元，增长140.23%，主要原因是</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消防大队合同制消防员28人工资相关经费、</w:t>
      </w:r>
      <w:r>
        <w:rPr>
          <w:rFonts w:hint="eastAsia" w:ascii="仿宋_GB2312" w:hAnsi="宋体" w:eastAsia="仿宋_GB2312" w:cs="宋体"/>
          <w:kern w:val="0"/>
          <w:sz w:val="32"/>
          <w:szCs w:val="32"/>
          <w:lang w:eastAsia="zh-CN"/>
        </w:rPr>
        <w:t>并且</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年应急管理局新增13名在职人员。</w:t>
      </w:r>
    </w:p>
    <w:p>
      <w:pPr>
        <w:widowControl/>
        <w:ind w:firstLine="640" w:firstLineChars="200"/>
        <w:jc w:val="left"/>
        <w:textAlignment w:val="bottom"/>
        <w:rPr>
          <w:rFonts w:ascii="仿宋_GB2312" w:hAnsi="宋体" w:eastAsia="仿宋_GB2312" w:cs="宋体"/>
          <w:kern w:val="0"/>
          <w:sz w:val="32"/>
          <w:szCs w:val="32"/>
        </w:rPr>
      </w:pPr>
      <w:r>
        <w:rPr>
          <w:rFonts w:hint="eastAsia" w:ascii="仿宋_GB2312" w:hAnsi="宋体" w:eastAsia="仿宋_GB2312" w:cs="宋体"/>
          <w:kern w:val="0"/>
          <w:sz w:val="32"/>
          <w:szCs w:val="32"/>
        </w:rPr>
        <w:t>项目支出1051.01万元，占39.08%，比上年预算减少   292.94万元，下降</w:t>
      </w:r>
      <w:r>
        <w:rPr>
          <w:rFonts w:hint="eastAsia" w:ascii="仿宋_GB2312" w:hAnsi="宋体" w:eastAsia="仿宋_GB2312" w:cs="宋体"/>
          <w:kern w:val="0"/>
          <w:sz w:val="32"/>
          <w:szCs w:val="32"/>
          <w:lang w:val="en-US" w:eastAsia="zh-CN"/>
        </w:rPr>
        <w:t>21.8</w:t>
      </w:r>
      <w:r>
        <w:rPr>
          <w:rFonts w:hint="eastAsia" w:ascii="仿宋_GB2312" w:hAnsi="宋体" w:eastAsia="仿宋_GB2312" w:cs="宋体"/>
          <w:kern w:val="0"/>
          <w:sz w:val="32"/>
          <w:szCs w:val="32"/>
        </w:rPr>
        <w:t>%，主要原因是单位资金支出预算由2023年的项目支出口径变为2024年的基本支出口径，故预算减少。</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四、关于呼图壁县应急管理局2024年财政拨款收支预算情况的总体说明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2024年财政拨款收支总预算2414.04万元。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收入预算包括：一般公共预算拨款2414.04万元。</w:t>
      </w:r>
    </w:p>
    <w:p>
      <w:pPr>
        <w:widowControl/>
        <w:ind w:firstLine="640" w:firstLineChars="200"/>
        <w:jc w:val="left"/>
        <w:textAlignment w:val="bottom"/>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一般公共预算支出包括：一般公共服务支出50.00万元，</w:t>
      </w:r>
      <w:r>
        <w:rPr>
          <w:rFonts w:hint="eastAsia" w:ascii="仿宋_GB2312" w:hAnsi="宋体" w:eastAsia="仿宋_GB2312" w:cs="宋体"/>
          <w:kern w:val="0"/>
          <w:sz w:val="32"/>
          <w:szCs w:val="32"/>
          <w:lang w:eastAsia="zh-CN"/>
        </w:rPr>
        <w:t>主要用于本单位基本工资发放及运转经费，</w:t>
      </w:r>
      <w:r>
        <w:rPr>
          <w:rFonts w:hint="eastAsia" w:ascii="仿宋_GB2312" w:hAnsi="仿宋_GB2312" w:eastAsia="仿宋_GB2312" w:cs="仿宋_GB2312"/>
          <w:kern w:val="0"/>
          <w:sz w:val="32"/>
          <w:szCs w:val="32"/>
        </w:rPr>
        <w:t>社会保障和就业支出97.20万元，主要用于单位职工社会保险缴费，</w:t>
      </w:r>
      <w:r>
        <w:rPr>
          <w:rFonts w:hint="eastAsia" w:ascii="仿宋_GB2312" w:hAnsi="宋体" w:eastAsia="仿宋_GB2312" w:cs="宋体"/>
          <w:kern w:val="0"/>
          <w:sz w:val="32"/>
          <w:szCs w:val="32"/>
        </w:rPr>
        <w:t>卫生健康支出54.02万元</w:t>
      </w:r>
      <w:r>
        <w:rPr>
          <w:rFonts w:hint="eastAsia" w:ascii="仿宋_GB2312" w:hAnsi="仿宋_GB2312" w:eastAsia="仿宋_GB2312" w:cs="仿宋_GB2312"/>
          <w:kern w:val="0"/>
          <w:sz w:val="32"/>
          <w:szCs w:val="32"/>
        </w:rPr>
        <w:t>主要用于单位职工医疗保险缴费。灾害防治及应急管理支出2142.33元，主要用于人员经费、办公经费及商品与服务支出。住房保障支出70.49万元，主要用于人员住房公积金支出</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呼图壁县应急管理局</w:t>
      </w:r>
      <w:r>
        <w:rPr>
          <w:rFonts w:hint="eastAsia" w:ascii="楷体_GB2312" w:hAnsi="楷体_GB2312" w:eastAsia="楷体_GB2312" w:cs="楷体_GB2312"/>
          <w:b/>
          <w:bCs/>
          <w:spacing w:val="-6"/>
          <w:kern w:val="0"/>
          <w:sz w:val="32"/>
          <w:szCs w:val="32"/>
        </w:rPr>
        <w:t>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呼图壁县应急管理局2024年一般公共预算拨款合计  2414.04万元，其中：基本支出1363.03万元，比上年预算增加681.17 万元，增长99.90%。主要原因是：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年增加在职人员13人以及将26名在职消防员的基础绩效奖安排由应急管理局进行发放；</w:t>
      </w:r>
      <w:r>
        <w:rPr>
          <w:rFonts w:hint="eastAsia" w:ascii="仿宋_GB2312" w:hAnsi="仿宋_GB2312" w:eastAsia="仿宋_GB2312" w:cs="仿宋_GB2312"/>
          <w:kern w:val="0"/>
          <w:sz w:val="32"/>
          <w:szCs w:val="32"/>
        </w:rPr>
        <w:t>项目支出</w:t>
      </w:r>
      <w:r>
        <w:rPr>
          <w:rFonts w:hint="eastAsia" w:ascii="宋体" w:hAnsi="宋体" w:cs="宋体"/>
          <w:kern w:val="0"/>
          <w:sz w:val="24"/>
        </w:rPr>
        <w:t>1051.01</w:t>
      </w:r>
      <w:r>
        <w:rPr>
          <w:rFonts w:hint="eastAsia" w:ascii="仿宋_GB2312" w:hAnsi="仿宋_GB2312" w:eastAsia="仿宋_GB2312" w:cs="仿宋_GB2312"/>
          <w:kern w:val="0"/>
          <w:sz w:val="32"/>
          <w:szCs w:val="32"/>
        </w:rPr>
        <w:t>万元，比上年预算减少</w:t>
      </w:r>
      <w:r>
        <w:rPr>
          <w:rFonts w:hint="eastAsia" w:ascii="仿宋_GB2312" w:hAnsi="宋体" w:eastAsia="仿宋_GB2312" w:cs="宋体"/>
          <w:kern w:val="0"/>
          <w:sz w:val="32"/>
          <w:szCs w:val="32"/>
        </w:rPr>
        <w:t>292.94</w:t>
      </w:r>
      <w:r>
        <w:rPr>
          <w:rFonts w:hint="eastAsia" w:ascii="仿宋_GB2312" w:hAnsi="仿宋_GB2312" w:eastAsia="仿宋_GB2312" w:cs="仿宋_GB2312"/>
          <w:kern w:val="0"/>
          <w:sz w:val="32"/>
          <w:szCs w:val="32"/>
        </w:rPr>
        <w:t>万元，下降</w:t>
      </w:r>
      <w:r>
        <w:rPr>
          <w:rFonts w:hint="eastAsia" w:ascii="仿宋_GB2312" w:hAnsi="宋体" w:eastAsia="仿宋_GB2312" w:cs="宋体"/>
          <w:kern w:val="0"/>
          <w:sz w:val="32"/>
          <w:szCs w:val="32"/>
          <w:lang w:val="en-US" w:eastAsia="zh-CN"/>
        </w:rPr>
        <w:t>21.8</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单位资金支出预算由2023年的项目支出口径变为2024年的基本支出口径，故预算减少</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1.一般公共服务（类）50</w:t>
      </w:r>
      <w:r>
        <w:rPr>
          <w:rFonts w:hint="eastAsia" w:ascii="仿宋_GB2312" w:hAnsi="仿宋_GB2312" w:eastAsia="仿宋_GB2312" w:cs="仿宋_GB2312"/>
          <w:kern w:val="0"/>
          <w:sz w:val="32"/>
          <w:szCs w:val="32"/>
        </w:rPr>
        <w:t>万元，占2.07%。</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kern w:val="0"/>
          <w:sz w:val="32"/>
          <w:szCs w:val="32"/>
        </w:rPr>
        <w:t>2.</w:t>
      </w:r>
      <w:r>
        <w:rPr>
          <w:rFonts w:hint="eastAsia" w:ascii="仿宋_GB2312" w:eastAsia="仿宋_GB2312"/>
          <w:sz w:val="32"/>
          <w:szCs w:val="32"/>
        </w:rPr>
        <w:t>社会保障和就业支出(类)97.20万元，占4.03%。</w:t>
      </w:r>
    </w:p>
    <w:p>
      <w:pPr>
        <w:spacing w:line="560" w:lineRule="exact"/>
        <w:ind w:left="638" w:leftChars="304"/>
        <w:rPr>
          <w:rFonts w:ascii="仿宋_GB2312" w:eastAsia="仿宋_GB2312"/>
          <w:sz w:val="32"/>
          <w:szCs w:val="32"/>
        </w:rPr>
      </w:pPr>
      <w:r>
        <w:rPr>
          <w:rFonts w:hint="eastAsia" w:ascii="仿宋_GB2312" w:eastAsia="仿宋_GB2312"/>
          <w:sz w:val="32"/>
          <w:szCs w:val="32"/>
        </w:rPr>
        <w:t>3.</w:t>
      </w:r>
      <w:r>
        <w:rPr>
          <w:rFonts w:hint="eastAsia" w:ascii="仿宋_GB2312" w:hAnsi="宋体" w:eastAsia="仿宋_GB2312" w:cs="宋体"/>
          <w:spacing w:val="-6"/>
          <w:kern w:val="0"/>
          <w:sz w:val="32"/>
          <w:szCs w:val="32"/>
        </w:rPr>
        <w:t>卫生健康支出</w:t>
      </w:r>
      <w:r>
        <w:rPr>
          <w:rFonts w:hint="eastAsia" w:ascii="仿宋_GB2312" w:eastAsia="仿宋_GB2312"/>
          <w:sz w:val="32"/>
          <w:szCs w:val="32"/>
        </w:rPr>
        <w:t>（类）54.02万元，占2.24%。</w:t>
      </w:r>
    </w:p>
    <w:p>
      <w:pPr>
        <w:spacing w:line="560" w:lineRule="exact"/>
        <w:ind w:left="638" w:leftChars="304"/>
        <w:rPr>
          <w:rFonts w:ascii="仿宋_GB2312" w:eastAsia="仿宋_GB2312"/>
          <w:b/>
          <w:sz w:val="32"/>
          <w:szCs w:val="32"/>
        </w:rPr>
      </w:pPr>
      <w:r>
        <w:rPr>
          <w:rFonts w:hint="eastAsia" w:ascii="仿宋_GB2312" w:eastAsia="仿宋_GB2312"/>
          <w:sz w:val="32"/>
          <w:szCs w:val="32"/>
        </w:rPr>
        <w:t>4.</w:t>
      </w:r>
      <w:r>
        <w:rPr>
          <w:rFonts w:hint="eastAsia" w:ascii="仿宋_GB2312" w:hAnsi="宋体" w:eastAsia="仿宋_GB2312" w:cs="宋体"/>
          <w:spacing w:val="-6"/>
          <w:kern w:val="0"/>
          <w:sz w:val="32"/>
          <w:szCs w:val="32"/>
        </w:rPr>
        <w:t>住房保障支出</w:t>
      </w:r>
      <w:r>
        <w:rPr>
          <w:rFonts w:hint="eastAsia" w:ascii="仿宋_GB2312" w:eastAsia="仿宋_GB2312"/>
          <w:sz w:val="32"/>
          <w:szCs w:val="32"/>
        </w:rPr>
        <w:t>（类）70.49万元，占2.92%。</w:t>
      </w:r>
    </w:p>
    <w:p>
      <w:pPr>
        <w:spacing w:line="600" w:lineRule="exact"/>
        <w:ind w:firstLine="640" w:firstLineChars="200"/>
        <w:rPr>
          <w:rFonts w:ascii="仿宋_GB2312" w:hAnsi="仿宋_GB2312" w:eastAsia="仿宋_GB2312" w:cs="仿宋_GB2312"/>
          <w:kern w:val="0"/>
          <w:sz w:val="32"/>
          <w:szCs w:val="32"/>
        </w:rPr>
      </w:pPr>
      <w:r>
        <w:rPr>
          <w:rFonts w:hint="eastAsia" w:ascii="仿宋_GB2312" w:eastAsia="仿宋_GB2312"/>
          <w:sz w:val="32"/>
          <w:szCs w:val="32"/>
        </w:rPr>
        <w:t>5.</w:t>
      </w:r>
      <w:r>
        <w:rPr>
          <w:rFonts w:hint="eastAsia" w:ascii="仿宋_GB2312" w:hAnsi="宋体" w:eastAsia="仿宋_GB2312" w:cs="宋体"/>
          <w:spacing w:val="-6"/>
          <w:kern w:val="0"/>
          <w:sz w:val="32"/>
          <w:szCs w:val="32"/>
        </w:rPr>
        <w:t>灾害防治及应急管理支出</w:t>
      </w:r>
      <w:r>
        <w:rPr>
          <w:rFonts w:hint="eastAsia" w:ascii="仿宋_GB2312" w:eastAsia="仿宋_GB2312"/>
          <w:sz w:val="32"/>
          <w:szCs w:val="32"/>
        </w:rPr>
        <w:t>（类）2142.33万元，占88.74%。</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1.一般公共服务（201类）发展与改革事务（04款）其他发展与改革事务支出（99项）:2024年预算数为50万元，比上年预算增加50万元，增长100 %，主要原因是：</w:t>
      </w:r>
      <w:r>
        <w:rPr>
          <w:rFonts w:hint="eastAsia" w:ascii="仿宋_GB2312" w:hAnsi="宋体" w:eastAsia="仿宋_GB2312" w:cs="宋体"/>
          <w:kern w:val="0"/>
          <w:sz w:val="32"/>
          <w:szCs w:val="32"/>
        </w:rPr>
        <w:t>随文件下发资金，2023年度内没有财政拨款结转。</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宋体" w:eastAsia="仿宋_GB2312" w:cs="宋体"/>
          <w:kern w:val="0"/>
          <w:sz w:val="32"/>
          <w:szCs w:val="32"/>
        </w:rPr>
        <w:t>社会保障和就业支出（208类）行政事业离退休（05款）行政单位离退休（01项）：2024年预算数为9.65万元，比上年预算数增加9.65万元，增加100%，主要原因是：将行政退休人员年终绩效重新划转功能分类。</w:t>
      </w:r>
      <w:r>
        <w:rPr>
          <w:rFonts w:hint="eastAsia" w:ascii="仿宋_GB2312" w:hAnsi="仿宋_GB2312" w:eastAsia="仿宋_GB2312" w:cs="仿宋_GB2312"/>
          <w:kern w:val="0"/>
          <w:sz w:val="32"/>
          <w:szCs w:val="32"/>
        </w:rPr>
        <w:t xml:space="preserve">     </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3.</w:t>
      </w:r>
      <w:r>
        <w:rPr>
          <w:rFonts w:hint="eastAsia" w:ascii="仿宋_GB2312" w:hAnsi="宋体" w:eastAsia="仿宋_GB2312" w:cs="宋体"/>
          <w:kern w:val="0"/>
          <w:sz w:val="32"/>
          <w:szCs w:val="32"/>
        </w:rPr>
        <w:t>社会保障和就业支出（208类）行政事业离退休（05款）事业单位离退休（02项）：2024年预算数为3.35万元，比上年预算数增加3.35万元，增加100%，主要原因是：将事业退休人员年终绩效重新划转功能分类。</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4.</w:t>
      </w:r>
      <w:r>
        <w:rPr>
          <w:rFonts w:hint="eastAsia" w:ascii="仿宋_GB2312" w:hAnsi="宋体" w:eastAsia="仿宋_GB2312" w:cs="宋体"/>
          <w:kern w:val="0"/>
          <w:sz w:val="32"/>
          <w:szCs w:val="32"/>
        </w:rPr>
        <w:t>社会保障和就业支出（208类）行政事业离退休（05款）机关事业单位基本养老保险缴费支出（05项）：2024年预算数为84.21万元，比上年预算数增加25.32万元，增加43.00%，主要原因是：单位增加职工13人使单位基本养老保险经费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w:t>
      </w:r>
      <w:r>
        <w:rPr>
          <w:rFonts w:hint="eastAsia" w:ascii="仿宋_GB2312" w:hAnsi="宋体" w:eastAsia="仿宋_GB2312" w:cs="宋体"/>
          <w:spacing w:val="-6"/>
          <w:kern w:val="0"/>
          <w:sz w:val="32"/>
          <w:szCs w:val="32"/>
        </w:rPr>
        <w:t>卫生健康支出（210类）11行政事业单位医疗（01款）行政单位医疗</w:t>
      </w:r>
      <w:r>
        <w:rPr>
          <w:rFonts w:hint="eastAsia" w:ascii="仿宋_GB2312" w:hAnsi="宋体" w:eastAsia="仿宋_GB2312" w:cs="宋体"/>
          <w:kern w:val="0"/>
          <w:sz w:val="32"/>
          <w:szCs w:val="32"/>
        </w:rPr>
        <w:t>（01项）：2024年预算数为13.67万元,比上年预算数减少23.76万元，减少63.48%，主要原因是：2024年相较2023年功能分类</w:t>
      </w:r>
      <w:r>
        <w:rPr>
          <w:rFonts w:hint="eastAsia" w:ascii="仿宋_GB2312" w:hAnsi="宋体" w:eastAsia="仿宋_GB2312" w:cs="宋体"/>
          <w:kern w:val="0"/>
          <w:sz w:val="32"/>
          <w:szCs w:val="32"/>
          <w:lang w:eastAsia="zh-CN"/>
        </w:rPr>
        <w:t>分得更加详细</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2023年医疗保险只做了行政单位医疗款项，2024年</w:t>
      </w:r>
      <w:r>
        <w:rPr>
          <w:rFonts w:hint="eastAsia" w:ascii="仿宋_GB2312" w:hAnsi="宋体" w:eastAsia="仿宋_GB2312" w:cs="宋体"/>
          <w:kern w:val="0"/>
          <w:sz w:val="32"/>
          <w:szCs w:val="32"/>
        </w:rPr>
        <w:t>将单位医疗</w:t>
      </w:r>
      <w:r>
        <w:rPr>
          <w:rFonts w:hint="eastAsia" w:ascii="仿宋_GB2312" w:hAnsi="宋体" w:eastAsia="仿宋_GB2312" w:cs="宋体"/>
          <w:kern w:val="0"/>
          <w:sz w:val="32"/>
          <w:szCs w:val="32"/>
          <w:lang w:eastAsia="zh-CN"/>
        </w:rPr>
        <w:t>分别做了行政款和事业款</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w:t>
      </w:r>
      <w:r>
        <w:rPr>
          <w:rFonts w:hint="eastAsia" w:ascii="仿宋_GB2312" w:hAnsi="宋体" w:eastAsia="仿宋_GB2312" w:cs="宋体"/>
          <w:spacing w:val="-6"/>
          <w:kern w:val="0"/>
          <w:sz w:val="32"/>
          <w:szCs w:val="32"/>
        </w:rPr>
        <w:t>卫生健康支出（210类）11行政事业单位医疗（01款）事业单位医疗</w:t>
      </w:r>
      <w:r>
        <w:rPr>
          <w:rFonts w:hint="eastAsia" w:ascii="仿宋_GB2312" w:hAnsi="宋体" w:eastAsia="仿宋_GB2312" w:cs="宋体"/>
          <w:kern w:val="0"/>
          <w:sz w:val="32"/>
          <w:szCs w:val="32"/>
        </w:rPr>
        <w:t>（02项）：2024年预算数为28.43万元,比上年预算数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28.43万元，增</w:t>
      </w:r>
      <w:r>
        <w:rPr>
          <w:rFonts w:hint="eastAsia" w:ascii="仿宋_GB2312" w:hAnsi="宋体" w:eastAsia="仿宋_GB2312" w:cs="宋体"/>
          <w:kern w:val="0"/>
          <w:sz w:val="32"/>
          <w:szCs w:val="32"/>
          <w:lang w:eastAsia="zh-CN"/>
        </w:rPr>
        <w:t>长</w:t>
      </w:r>
      <w:r>
        <w:rPr>
          <w:rFonts w:hint="eastAsia" w:ascii="仿宋_GB2312" w:hAnsi="宋体" w:eastAsia="仿宋_GB2312" w:cs="宋体"/>
          <w:kern w:val="0"/>
          <w:sz w:val="32"/>
          <w:szCs w:val="32"/>
        </w:rPr>
        <w:t>100%，主要原因是：2024年相较2023年功能分类完备，将单位事业医疗单独做功能分类。</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w:t>
      </w:r>
      <w:r>
        <w:rPr>
          <w:rFonts w:hint="eastAsia" w:ascii="仿宋_GB2312" w:hAnsi="宋体" w:eastAsia="仿宋_GB2312" w:cs="宋体"/>
          <w:spacing w:val="-6"/>
          <w:kern w:val="0"/>
          <w:sz w:val="32"/>
          <w:szCs w:val="32"/>
        </w:rPr>
        <w:t>卫生健康支出（210类）11行政事业单位医疗（01款）公务员医疗补助</w:t>
      </w:r>
      <w:r>
        <w:rPr>
          <w:rFonts w:hint="eastAsia" w:ascii="仿宋_GB2312" w:hAnsi="宋体" w:eastAsia="仿宋_GB2312" w:cs="宋体"/>
          <w:kern w:val="0"/>
          <w:sz w:val="32"/>
          <w:szCs w:val="32"/>
        </w:rPr>
        <w:t>（03项）：2024年预算数为11.58万元,比上年预算数增加1.29万元，增加12.54%，主要原因是：单位增加职工13人使单位</w:t>
      </w:r>
      <w:r>
        <w:rPr>
          <w:rFonts w:hint="eastAsia" w:ascii="仿宋_GB2312" w:hAnsi="宋体" w:eastAsia="仿宋_GB2312" w:cs="宋体"/>
          <w:spacing w:val="-6"/>
          <w:kern w:val="0"/>
          <w:sz w:val="32"/>
          <w:szCs w:val="32"/>
        </w:rPr>
        <w:t>公务员医疗补助</w:t>
      </w:r>
      <w:r>
        <w:rPr>
          <w:rFonts w:hint="eastAsia" w:ascii="仿宋_GB2312" w:hAnsi="宋体" w:eastAsia="仿宋_GB2312" w:cs="宋体"/>
          <w:kern w:val="0"/>
          <w:sz w:val="32"/>
          <w:szCs w:val="32"/>
        </w:rPr>
        <w:t>经费支出增加。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w:t>
      </w:r>
      <w:r>
        <w:rPr>
          <w:rFonts w:hint="eastAsia" w:ascii="仿宋_GB2312" w:hAnsi="宋体" w:eastAsia="仿宋_GB2312" w:cs="宋体"/>
          <w:spacing w:val="-6"/>
          <w:kern w:val="0"/>
          <w:sz w:val="32"/>
          <w:szCs w:val="32"/>
        </w:rPr>
        <w:t>卫生健康支出（210类）11行政事业单位医疗（01款）其他行政事业单位医疗支出</w:t>
      </w:r>
      <w:r>
        <w:rPr>
          <w:rFonts w:hint="eastAsia" w:ascii="仿宋_GB2312" w:hAnsi="宋体" w:eastAsia="仿宋_GB2312" w:cs="宋体"/>
          <w:kern w:val="0"/>
          <w:sz w:val="32"/>
          <w:szCs w:val="32"/>
        </w:rPr>
        <w:t>（</w:t>
      </w:r>
      <w:r>
        <w:rPr>
          <w:rFonts w:hint="eastAsia" w:ascii="仿宋_GB2312" w:hAnsi="宋体" w:eastAsia="仿宋_GB2312" w:cs="宋体"/>
          <w:spacing w:val="-6"/>
          <w:kern w:val="0"/>
          <w:sz w:val="32"/>
          <w:szCs w:val="32"/>
        </w:rPr>
        <w:t>99</w:t>
      </w:r>
      <w:r>
        <w:rPr>
          <w:rFonts w:hint="eastAsia" w:ascii="仿宋_GB2312" w:hAnsi="宋体" w:eastAsia="仿宋_GB2312" w:cs="宋体"/>
          <w:kern w:val="0"/>
          <w:sz w:val="32"/>
          <w:szCs w:val="32"/>
        </w:rPr>
        <w:t>项）：2024年预算数为0.34万元,比上年预算数增加0.34万元，增加100%，主要原因是：2024年相较2023年功能分类完备，将大病医疗等单独做功能分类。</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w:t>
      </w:r>
      <w:r>
        <w:rPr>
          <w:rFonts w:hint="eastAsia" w:ascii="仿宋_GB2312" w:hAnsi="宋体" w:eastAsia="仿宋_GB2312" w:cs="宋体"/>
          <w:spacing w:val="-6"/>
          <w:kern w:val="0"/>
          <w:sz w:val="32"/>
          <w:szCs w:val="32"/>
        </w:rPr>
        <w:t>住房保障支出（221类）住房改革支出（02款）住房公积金</w:t>
      </w:r>
      <w:r>
        <w:rPr>
          <w:rFonts w:hint="eastAsia" w:ascii="仿宋_GB2312" w:hAnsi="宋体" w:eastAsia="仿宋_GB2312" w:cs="宋体"/>
          <w:kern w:val="0"/>
          <w:sz w:val="32"/>
          <w:szCs w:val="32"/>
        </w:rPr>
        <w:t>（01项）：2024年预算数为70.49万元,比上年预算数增加22.72万元，增长47.56%，主要原因是：单位增加职工13人使单位</w:t>
      </w:r>
      <w:r>
        <w:rPr>
          <w:rFonts w:hint="eastAsia" w:ascii="仿宋_GB2312" w:hAnsi="宋体" w:eastAsia="仿宋_GB2312" w:cs="宋体"/>
          <w:spacing w:val="-6"/>
          <w:kern w:val="0"/>
          <w:sz w:val="32"/>
          <w:szCs w:val="32"/>
        </w:rPr>
        <w:t>住房公积金</w:t>
      </w:r>
      <w:r>
        <w:rPr>
          <w:rFonts w:hint="eastAsia" w:ascii="仿宋_GB2312" w:hAnsi="宋体" w:eastAsia="仿宋_GB2312" w:cs="宋体"/>
          <w:kern w:val="0"/>
          <w:sz w:val="32"/>
          <w:szCs w:val="32"/>
        </w:rPr>
        <w:t>经费支出增加。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10.灾害防治及应急管理支出（224类）应急管理事务（01款）行政运行（01项）：2024年预算数为726.15万元,比上年预算数增加463.09万元，增加176.04%，主要原因是：202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年增加在职人员13人以及将26名在职消防员的基础绩效奖安排由应急管理局进行发放；</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11.灾害防治及应急管理支出（224类）应急管理事务（01款）安全监管（06项）：2024年预算数为1000万元,比上年预算数增加0万元，增长0%。主要原因是：经县财经会议决议与去年预算保持不变。</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12.灾害防治及应急管理支出（224类）应急管理事务（01款）事业运行（50项）：2024年预算数为415.17万元,比上年</w:t>
      </w:r>
      <w:r>
        <w:rPr>
          <w:rFonts w:hint="eastAsia" w:ascii="仿宋_GB2312" w:hAnsi="宋体" w:eastAsia="仿宋_GB2312" w:cs="宋体"/>
          <w:kern w:val="0"/>
          <w:sz w:val="32"/>
          <w:szCs w:val="32"/>
          <w:lang w:eastAsia="zh-CN"/>
        </w:rPr>
        <w:t>预算数</w:t>
      </w:r>
      <w:r>
        <w:rPr>
          <w:rFonts w:hint="eastAsia" w:ascii="仿宋_GB2312" w:hAnsi="宋体" w:eastAsia="仿宋_GB2312" w:cs="宋体"/>
          <w:kern w:val="0"/>
          <w:sz w:val="32"/>
          <w:szCs w:val="32"/>
        </w:rPr>
        <w:t>增加150.54万元，增加56.8</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%。主要原因是：新招录11人至事业运行增加。</w:t>
      </w:r>
    </w:p>
    <w:p>
      <w:pPr>
        <w:spacing w:line="560" w:lineRule="exact"/>
        <w:ind w:firstLine="640" w:firstLineChars="200"/>
        <w:rPr>
          <w:rFonts w:ascii="仿宋_GB2312" w:hAnsi="仿宋_GB2312" w:eastAsia="仿宋_GB2312" w:cs="仿宋_GB2312"/>
          <w:b/>
          <w:color w:val="FF0000"/>
          <w:kern w:val="0"/>
          <w:sz w:val="32"/>
          <w:szCs w:val="32"/>
        </w:rPr>
      </w:pPr>
      <w:r>
        <w:rPr>
          <w:rFonts w:hint="eastAsia" w:ascii="仿宋_GB2312" w:hAnsi="宋体" w:eastAsia="仿宋_GB2312" w:cs="宋体"/>
          <w:kern w:val="0"/>
          <w:sz w:val="32"/>
          <w:szCs w:val="32"/>
        </w:rPr>
        <w:t>13.灾害防治及应急管理支出（224类）地震事务（05款）地震事业机构（50项）：2024年预算数为1.01万元,比上年</w:t>
      </w:r>
      <w:r>
        <w:rPr>
          <w:rFonts w:hint="eastAsia" w:ascii="仿宋_GB2312" w:hAnsi="宋体" w:eastAsia="仿宋_GB2312" w:cs="宋体"/>
          <w:kern w:val="0"/>
          <w:sz w:val="32"/>
          <w:szCs w:val="32"/>
          <w:lang w:eastAsia="zh-CN"/>
        </w:rPr>
        <w:t>预算数</w:t>
      </w:r>
      <w:r>
        <w:rPr>
          <w:rFonts w:hint="eastAsia" w:ascii="仿宋_GB2312" w:hAnsi="宋体" w:eastAsia="仿宋_GB2312" w:cs="宋体"/>
          <w:kern w:val="0"/>
          <w:sz w:val="32"/>
          <w:szCs w:val="32"/>
        </w:rPr>
        <w:t>增加1.01万元，增加100%。主要原因是：随文件下发资金，2023年度内没有地震事业机构预算支出。</w:t>
      </w:r>
    </w:p>
    <w:p>
      <w:pPr>
        <w:spacing w:line="560" w:lineRule="exact"/>
        <w:ind w:firstLine="643" w:firstLineChars="200"/>
        <w:rPr>
          <w:rFonts w:ascii="仿宋_GB2312" w:hAnsi="仿宋_GB2312" w:eastAsia="仿宋_GB2312" w:cs="仿宋_GB2312"/>
          <w:b/>
          <w:color w:val="FF0000"/>
          <w:kern w:val="0"/>
          <w:sz w:val="32"/>
          <w:szCs w:val="32"/>
        </w:rPr>
      </w:pP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关于呼图壁县应急管理局2024年一般公共预算基本支出情况说明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呼图壁县应急管理局2024年一般公共预算基本支出    1363.03万元， 其中：</w:t>
      </w:r>
    </w:p>
    <w:p>
      <w:pPr>
        <w:pStyle w:val="5"/>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1322.19万元，主要包括：基本工资198.45万元、津贴补贴132.35万元、奖金176.35万元、绩效工资96.22万元、机关事业单位基本养老保险缴费84.21万元、职工基本医疗保险缴费42.10万元、公务员医疗补助缴费11.58万元、其他社会保障缴费4.22万元、住房公积金70.49万元、其他工资福利支出409.94万元、退休费12.19万元、医疗费补助83.28万元、奖励金0.81万元等。</w:t>
      </w:r>
    </w:p>
    <w:p>
      <w:pPr>
        <w:spacing w:line="60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公用经费40.85万元，主要包括：办公费</w:t>
      </w:r>
      <w:r>
        <w:rPr>
          <w:rFonts w:ascii="仿宋_GB2312" w:hAnsi="宋体" w:eastAsia="仿宋_GB2312" w:cs="宋体"/>
          <w:kern w:val="0"/>
          <w:sz w:val="32"/>
          <w:szCs w:val="32"/>
        </w:rPr>
        <w:t>3.3</w:t>
      </w:r>
      <w:r>
        <w:rPr>
          <w:rFonts w:hint="eastAsia" w:ascii="仿宋_GB2312" w:hAnsi="宋体" w:eastAsia="仿宋_GB2312" w:cs="宋体"/>
          <w:kern w:val="0"/>
          <w:sz w:val="32"/>
          <w:szCs w:val="32"/>
        </w:rPr>
        <w:t>万元、水费</w:t>
      </w:r>
      <w:r>
        <w:rPr>
          <w:rFonts w:ascii="仿宋_GB2312" w:hAnsi="宋体" w:eastAsia="仿宋_GB2312" w:cs="宋体"/>
          <w:kern w:val="0"/>
          <w:sz w:val="32"/>
          <w:szCs w:val="32"/>
        </w:rPr>
        <w:t>0.67</w:t>
      </w:r>
      <w:r>
        <w:rPr>
          <w:rFonts w:hint="eastAsia" w:ascii="仿宋_GB2312" w:hAnsi="宋体" w:eastAsia="仿宋_GB2312" w:cs="宋体"/>
          <w:kern w:val="0"/>
          <w:sz w:val="32"/>
          <w:szCs w:val="32"/>
        </w:rPr>
        <w:t>万元、电费</w:t>
      </w:r>
      <w:r>
        <w:rPr>
          <w:rFonts w:ascii="仿宋_GB2312" w:hAnsi="宋体" w:eastAsia="仿宋_GB2312" w:cs="宋体"/>
          <w:kern w:val="0"/>
          <w:sz w:val="32"/>
          <w:szCs w:val="32"/>
        </w:rPr>
        <w:t>0.69</w:t>
      </w:r>
      <w:r>
        <w:rPr>
          <w:rFonts w:hint="eastAsia" w:ascii="仿宋_GB2312" w:hAnsi="宋体" w:eastAsia="仿宋_GB2312" w:cs="宋体"/>
          <w:kern w:val="0"/>
          <w:sz w:val="32"/>
          <w:szCs w:val="32"/>
        </w:rPr>
        <w:t>万元万元、邮电费</w:t>
      </w:r>
      <w:r>
        <w:rPr>
          <w:rFonts w:ascii="仿宋_GB2312" w:hAnsi="宋体" w:eastAsia="仿宋_GB2312" w:cs="宋体"/>
          <w:kern w:val="0"/>
          <w:sz w:val="32"/>
          <w:szCs w:val="32"/>
        </w:rPr>
        <w:t>3.9</w:t>
      </w:r>
      <w:r>
        <w:rPr>
          <w:rFonts w:hint="eastAsia" w:ascii="仿宋_GB2312" w:hAnsi="宋体" w:eastAsia="仿宋_GB2312" w:cs="宋体"/>
          <w:kern w:val="0"/>
          <w:sz w:val="32"/>
          <w:szCs w:val="32"/>
        </w:rPr>
        <w:t>万元、取暖费</w:t>
      </w:r>
      <w:r>
        <w:rPr>
          <w:rFonts w:ascii="仿宋_GB2312" w:hAnsi="宋体" w:eastAsia="仿宋_GB2312" w:cs="宋体"/>
          <w:kern w:val="0"/>
          <w:sz w:val="32"/>
          <w:szCs w:val="32"/>
        </w:rPr>
        <w:t>9.92</w:t>
      </w:r>
      <w:r>
        <w:rPr>
          <w:rFonts w:hint="eastAsia" w:ascii="仿宋_GB2312" w:hAnsi="宋体" w:eastAsia="仿宋_GB2312" w:cs="宋体"/>
          <w:kern w:val="0"/>
          <w:sz w:val="32"/>
          <w:szCs w:val="32"/>
        </w:rPr>
        <w:t>万元、差旅费</w:t>
      </w:r>
      <w:r>
        <w:rPr>
          <w:rFonts w:ascii="仿宋_GB2312" w:hAnsi="宋体" w:eastAsia="仿宋_GB2312" w:cs="宋体"/>
          <w:kern w:val="0"/>
          <w:sz w:val="32"/>
          <w:szCs w:val="32"/>
        </w:rPr>
        <w:t>3.25</w:t>
      </w:r>
      <w:r>
        <w:rPr>
          <w:rFonts w:hint="eastAsia" w:ascii="仿宋_GB2312" w:hAnsi="宋体" w:eastAsia="仿宋_GB2312" w:cs="宋体"/>
          <w:kern w:val="0"/>
          <w:sz w:val="32"/>
          <w:szCs w:val="32"/>
        </w:rPr>
        <w:t>万元、维修（护）费</w:t>
      </w:r>
      <w:r>
        <w:rPr>
          <w:rFonts w:ascii="仿宋_GB2312" w:hAnsi="宋体" w:eastAsia="仿宋_GB2312" w:cs="宋体"/>
          <w:kern w:val="0"/>
          <w:sz w:val="32"/>
          <w:szCs w:val="32"/>
        </w:rPr>
        <w:t>1</w:t>
      </w:r>
      <w:r>
        <w:rPr>
          <w:rFonts w:hint="eastAsia" w:ascii="仿宋_GB2312" w:hAnsi="宋体" w:eastAsia="仿宋_GB2312" w:cs="宋体"/>
          <w:kern w:val="0"/>
          <w:sz w:val="32"/>
          <w:szCs w:val="32"/>
        </w:rPr>
        <w:t>万元、工会经费</w:t>
      </w:r>
      <w:r>
        <w:rPr>
          <w:rFonts w:ascii="仿宋_GB2312" w:hAnsi="宋体" w:eastAsia="仿宋_GB2312" w:cs="宋体"/>
          <w:kern w:val="0"/>
          <w:sz w:val="32"/>
          <w:szCs w:val="32"/>
        </w:rPr>
        <w:t>10.51</w:t>
      </w:r>
      <w:r>
        <w:rPr>
          <w:rFonts w:hint="eastAsia" w:ascii="仿宋_GB2312" w:hAnsi="宋体" w:eastAsia="仿宋_GB2312" w:cs="宋体"/>
          <w:kern w:val="0"/>
          <w:sz w:val="32"/>
          <w:szCs w:val="32"/>
        </w:rPr>
        <w:t>万元、公务用车运行维护费</w:t>
      </w:r>
      <w:r>
        <w:rPr>
          <w:rFonts w:ascii="仿宋_GB2312" w:hAnsi="宋体" w:eastAsia="仿宋_GB2312" w:cs="宋体"/>
          <w:kern w:val="0"/>
          <w:sz w:val="32"/>
          <w:szCs w:val="32"/>
        </w:rPr>
        <w:t>3.6</w:t>
      </w:r>
      <w:r>
        <w:rPr>
          <w:rFonts w:hint="eastAsia" w:ascii="仿宋_GB2312" w:hAnsi="宋体" w:eastAsia="仿宋_GB2312" w:cs="宋体"/>
          <w:kern w:val="0"/>
          <w:sz w:val="32"/>
          <w:szCs w:val="32"/>
        </w:rPr>
        <w:t>万元、其他交通费用</w:t>
      </w:r>
      <w:r>
        <w:rPr>
          <w:rFonts w:ascii="仿宋_GB2312" w:hAnsi="宋体" w:eastAsia="仿宋_GB2312" w:cs="宋体"/>
          <w:kern w:val="0"/>
          <w:sz w:val="32"/>
          <w:szCs w:val="32"/>
        </w:rPr>
        <w:t>4.0</w:t>
      </w:r>
      <w:r>
        <w:rPr>
          <w:rFonts w:hint="eastAsia" w:ascii="仿宋_GB2312" w:hAnsi="宋体" w:eastAsia="仿宋_GB2312" w:cs="宋体"/>
          <w:kern w:val="0"/>
          <w:sz w:val="32"/>
          <w:szCs w:val="32"/>
        </w:rPr>
        <w:t>万元等。</w:t>
      </w:r>
    </w:p>
    <w:p>
      <w:pPr>
        <w:spacing w:line="600" w:lineRule="exact"/>
        <w:ind w:firstLine="643" w:firstLineChars="200"/>
        <w:rPr>
          <w:rFonts w:ascii="仿宋_GB2312" w:hAnsi="黑体" w:eastAsia="仿宋_GB2312"/>
          <w:b/>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关于呼图壁县应急管理局2024年一般公共预算项目支出情况说明</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1.项目名称：安全经费</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设立的政策依据：县财经会议</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预算安排规模：1000万元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项目承担单位：呼图壁县应急管理局</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资金分配情况：呼图壁县安全生产委员会所有成员单位均可申请就安全生产活动投入资金，预计支出安全经费1000万元。</w:t>
      </w:r>
    </w:p>
    <w:p>
      <w:pPr>
        <w:spacing w:line="560" w:lineRule="exact"/>
        <w:ind w:left="638" w:leftChars="304"/>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资金执行时间：2024年1月1日至2024年12月31日2.项目名称：提前下达2024年自治区防灾减灾“三网一员”工作经费</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设立的政策依据：昌州财建[2023]156号</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预算安排规模：1.0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项目承担单位：呼图壁县应急管理局</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资金分配情况：</w:t>
      </w:r>
      <w:r>
        <w:rPr>
          <w:rFonts w:hint="eastAsia" w:ascii="仿宋_GB2312" w:hAnsi="仿宋_GB2312" w:eastAsia="仿宋_GB2312" w:cs="仿宋_GB2312"/>
          <w:kern w:val="0"/>
          <w:sz w:val="32"/>
          <w:szCs w:val="32"/>
          <w:lang w:eastAsia="zh-CN"/>
        </w:rPr>
        <w:t>用于</w:t>
      </w:r>
      <w:r>
        <w:rPr>
          <w:rFonts w:hint="eastAsia" w:ascii="仿宋_GB2312" w:hAnsi="仿宋_GB2312" w:eastAsia="仿宋_GB2312" w:cs="仿宋_GB2312"/>
          <w:kern w:val="0"/>
          <w:sz w:val="32"/>
          <w:szCs w:val="32"/>
        </w:rPr>
        <w:t>发放6名联络员</w:t>
      </w:r>
      <w:r>
        <w:rPr>
          <w:rFonts w:hint="eastAsia" w:ascii="仿宋_GB2312" w:hAnsi="仿宋_GB2312" w:eastAsia="仿宋_GB2312" w:cs="仿宋_GB2312"/>
          <w:kern w:val="0"/>
          <w:sz w:val="32"/>
          <w:szCs w:val="32"/>
          <w:lang w:eastAsia="zh-CN"/>
        </w:rPr>
        <w:t>的工作经费</w:t>
      </w:r>
      <w:r>
        <w:rPr>
          <w:rFonts w:hint="eastAsia" w:ascii="仿宋_GB2312" w:hAnsi="仿宋_GB2312" w:eastAsia="仿宋_GB2312" w:cs="仿宋_GB2312"/>
          <w:kern w:val="0"/>
          <w:sz w:val="32"/>
          <w:szCs w:val="32"/>
        </w:rPr>
        <w:t>，预计支出1.</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万元。</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资金执行时间：2024年1月1日至2024年12月31日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w:t>
      </w:r>
      <w:r>
        <w:rPr>
          <w:rFonts w:hint="eastAsia" w:ascii="楷体_GB2312" w:hAnsi="楷体_GB2312" w:eastAsia="楷体_GB2312" w:cs="楷体_GB2312"/>
          <w:b/>
          <w:bCs/>
          <w:spacing w:val="-6"/>
          <w:kern w:val="0"/>
          <w:sz w:val="32"/>
          <w:szCs w:val="32"/>
        </w:rPr>
        <w:t>呼图壁县应急管理局</w:t>
      </w:r>
      <w:r>
        <w:rPr>
          <w:rFonts w:hint="eastAsia" w:ascii="楷体_GB2312" w:hAnsi="楷体_GB2312" w:eastAsia="楷体_GB2312" w:cs="楷体_GB2312"/>
          <w:b/>
          <w:bCs/>
          <w:kern w:val="0"/>
          <w:sz w:val="32"/>
          <w:szCs w:val="32"/>
        </w:rPr>
        <w:t>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w:t>
      </w:r>
      <w:r>
        <w:rPr>
          <w:rFonts w:hint="eastAsia" w:ascii="楷体_GB2312" w:hAnsi="楷体_GB2312" w:eastAsia="楷体_GB2312" w:cs="楷体_GB2312"/>
          <w:b/>
          <w:bCs/>
          <w:spacing w:val="-6"/>
          <w:kern w:val="0"/>
          <w:sz w:val="32"/>
          <w:szCs w:val="32"/>
        </w:rPr>
        <w:t>呼图壁县应急管理局</w:t>
      </w:r>
      <w:r>
        <w:rPr>
          <w:rFonts w:hint="eastAsia" w:ascii="楷体_GB2312" w:hAnsi="楷体_GB2312" w:eastAsia="楷体_GB2312" w:cs="楷体_GB2312"/>
          <w:b/>
          <w:bCs/>
          <w:kern w:val="0"/>
          <w:sz w:val="32"/>
          <w:szCs w:val="32"/>
        </w:rPr>
        <w:t>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w:t>
      </w:r>
      <w:r>
        <w:rPr>
          <w:rFonts w:hint="eastAsia" w:ascii="楷体_GB2312" w:hAnsi="楷体_GB2312" w:eastAsia="楷体_GB2312" w:cs="楷体_GB2312"/>
          <w:b/>
          <w:bCs/>
          <w:spacing w:val="-6"/>
          <w:kern w:val="0"/>
          <w:sz w:val="32"/>
          <w:szCs w:val="32"/>
        </w:rPr>
        <w:t>呼图壁县应急管理局</w:t>
      </w:r>
      <w:r>
        <w:rPr>
          <w:rFonts w:hint="eastAsia" w:ascii="楷体_GB2312" w:hAnsi="楷体_GB2312" w:eastAsia="楷体_GB2312" w:cs="楷体_GB2312"/>
          <w:b/>
          <w:bCs/>
          <w:kern w:val="0"/>
          <w:sz w:val="32"/>
          <w:szCs w:val="32"/>
        </w:rPr>
        <w:t>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呼图壁县应急管理局2024年财政拨款“三公”经费数为 3.6万元，其中：因公出国（境）费0 万元，公务用车购置费0万元，公务用车运行费3.6万元，公务接待费0万元。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6万元，下降62.5%，其中：因公出国（境）费减少0万元，未安排预算；公务用车购置费为0，未安排预算。；公务用车运行费减少6万元，下降62.5%，主要原因是因为每年度硬性要求三公经费减少，将剩余预算指标增加至其他功能科目；公务接待费减少为0，未安排预算。</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十一、关于呼图壁县应急管理局2024年上年结转结余预算情况说明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呼图壁县应急管理局2024年上年结转结余50万元，包括：财政拨款50万元，非财政拨款0万元，其中：</w:t>
      </w:r>
    </w:p>
    <w:p>
      <w:pPr>
        <w:spacing w:line="600" w:lineRule="exact"/>
        <w:ind w:firstLine="640" w:firstLineChars="200"/>
        <w:rPr>
          <w:rFonts w:ascii="仿宋_GB2312" w:hAnsi="仿宋_GB2312" w:eastAsia="仿宋_GB2312" w:cs="仿宋_GB2312"/>
          <w:b/>
          <w:color w:val="FF0000"/>
          <w:kern w:val="0"/>
          <w:sz w:val="32"/>
          <w:szCs w:val="32"/>
        </w:rPr>
      </w:pPr>
      <w:r>
        <w:rPr>
          <w:rFonts w:hint="eastAsia" w:ascii="仿宋_GB2312" w:hAnsi="仿宋_GB2312" w:eastAsia="仿宋_GB2312" w:cs="仿宋_GB2312"/>
          <w:kern w:val="0"/>
          <w:sz w:val="32"/>
          <w:szCs w:val="32"/>
        </w:rPr>
        <w:t>1.2023年第六批自治区预算内投资的通知-昌吉州呼图壁县灾害救援和应急能力提升项目50万元，主要用于：提升呼图壁县应急救援防灾减灾项目支付。</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呼图壁县应急管理局2024年的机关运行经费财政拨款预算40.85万元，比上年预算增加9.3万元，增长29.48%。主要原因是</w:t>
      </w:r>
      <w:r>
        <w:rPr>
          <w:rFonts w:hint="eastAsia" w:ascii="仿宋_GB2312" w:hAnsi="宋体" w:eastAsia="仿宋_GB2312" w:cs="宋体"/>
          <w:kern w:val="0"/>
          <w:sz w:val="32"/>
          <w:szCs w:val="32"/>
        </w:rPr>
        <w:t>单位增加职工13人。</w:t>
      </w:r>
      <w:r>
        <w:rPr>
          <w:rFonts w:hint="eastAsia" w:ascii="仿宋_GB2312" w:hAnsi="仿宋_GB2312" w:eastAsia="仿宋_GB2312" w:cs="仿宋_GB2312"/>
          <w:kern w:val="0"/>
          <w:sz w:val="32"/>
          <w:szCs w:val="32"/>
        </w:rPr>
        <w:t xml:space="preserve">                  。</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2024年，呼图壁县应急管理局政府采购预算718.11万元，其中：政府采购货物预算170.11万元，政府采购工程预算0万元，政府采购服务预算548万元。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2024年，呼图壁县应急管理局</w:t>
      </w:r>
      <w:r>
        <w:rPr>
          <w:rFonts w:hint="eastAsia" w:ascii="仿宋_GB2312" w:hAnsi="仿宋_GB2312" w:eastAsia="仿宋_GB2312" w:cs="仿宋_GB2312"/>
          <w:sz w:val="32"/>
        </w:rPr>
        <w:t xml:space="preserve">面向中小企业预留政府采购项目预算金额 </w:t>
      </w:r>
      <w:r>
        <w:rPr>
          <w:rFonts w:hint="eastAsia" w:ascii="仿宋_GB2312" w:hAnsi="仿宋_GB2312" w:eastAsia="仿宋_GB2312" w:cs="仿宋_GB2312"/>
          <w:kern w:val="0"/>
          <w:sz w:val="32"/>
          <w:szCs w:val="32"/>
        </w:rPr>
        <w:t>718.11</w:t>
      </w:r>
      <w:r>
        <w:rPr>
          <w:rFonts w:hint="eastAsia" w:ascii="仿宋_GB2312" w:hAnsi="仿宋_GB2312" w:eastAsia="仿宋_GB2312" w:cs="仿宋_GB2312"/>
          <w:sz w:val="32"/>
        </w:rPr>
        <w:t>万元，小微企业预留政府采购项目预算金额</w:t>
      </w:r>
      <w:r>
        <w:rPr>
          <w:rFonts w:hint="eastAsia" w:ascii="仿宋_GB2312" w:hAnsi="仿宋_GB2312" w:eastAsia="仿宋_GB2312" w:cs="仿宋_GB2312"/>
          <w:kern w:val="0"/>
          <w:sz w:val="32"/>
          <w:szCs w:val="32"/>
        </w:rPr>
        <w:t>718.11</w:t>
      </w:r>
      <w:r>
        <w:rPr>
          <w:rFonts w:hint="eastAsia" w:ascii="仿宋_GB2312" w:hAnsi="仿宋_GB2312" w:eastAsia="仿宋_GB2312" w:cs="仿宋_GB2312"/>
          <w:sz w:val="32"/>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截至2023年底，呼图壁县应急管理局下属各预算单位占用使用国有资产总体情况为：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1.房屋200 平方米，价值20万元。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2.车辆4辆，价值31.1万元；其中：一般公务用车2辆，价值5.7万元；执法执勤用车2辆，价值25.4万元；其他车辆0辆，价值0万元。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3.办公家具价值12.9113万元。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4.其他资产价值351.7555万元。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呼图壁县应急管理局价值50万元以上大型设备1套，呼图壁县应急管理局价值100万元以上大型设备1台。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呼图壁县应急管理局</w:t>
      </w:r>
      <w:r>
        <w:rPr>
          <w:rFonts w:hint="eastAsia" w:ascii="仿宋_GB2312" w:hAnsi="仿宋_GB2312" w:eastAsia="仿宋_GB2312" w:cs="仿宋_GB2312"/>
          <w:kern w:val="0"/>
          <w:sz w:val="32"/>
          <w:szCs w:val="32"/>
        </w:rPr>
        <w:t>预算未安排购置车辆经费，安排购置50万元以上大型设备0台（套），单位价值100万元以上大型设备0台（套）。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2024年，本部门预算绩效管理整体预算绩效目标1个，涉及金额2689.04万元；当年财政拨款项目3个，涉及预算金额10</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1.01万元；当年非财政拨款项目0个，涉及预算金额0万元。具体情况见下表：</w:t>
      </w:r>
    </w:p>
    <w:tbl>
      <w:tblPr>
        <w:tblStyle w:val="6"/>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呼图壁县应急管理局整体绩效目标表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呼图壁县应急管理局</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曹恒杰</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18082845632</w:t>
            </w:r>
          </w:p>
        </w:tc>
      </w:tr>
      <w:tr>
        <w:tblPrEx>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持续发挥安委会办公室综合监管职能。全面推进监管领域安全生产监管提质增效。全力推动煤矿监管重点工作。严格执法检查，强化打非治违。坚持做好自然灾害风险持续监测和预警工作。提升地震监测水平，强化应急演练，提升应急能力。加强干部业务能力学习培训。</w:t>
            </w:r>
          </w:p>
        </w:tc>
      </w:tr>
      <w:tr>
        <w:tblPrEx>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2689.04</w:t>
            </w: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全生产专项整治覆盖领域数量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行业计划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30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安全生产重点检查企业数量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≥30家</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行业计划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安全隐患督查次数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≥50次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历史数据</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企业全覆盖安全培训次数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≥2次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年初计划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p>
      <w:pPr>
        <w:spacing w:line="600" w:lineRule="exact"/>
        <w:rPr>
          <w:rFonts w:ascii="仿宋_GB2312" w:hAnsi="仿宋_GB2312" w:eastAsia="仿宋_GB2312" w:cs="仿宋_GB2312"/>
          <w:b/>
          <w:kern w:val="0"/>
          <w:sz w:val="32"/>
          <w:szCs w:val="32"/>
        </w:rPr>
      </w:pPr>
    </w:p>
    <w:tbl>
      <w:tblPr>
        <w:tblStyle w:val="6"/>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呼图壁县应急管理局</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2024年县级安全生产经费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胡金宝</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1000</w:t>
            </w:r>
          </w:p>
        </w:tc>
        <w:tc>
          <w:tcPr>
            <w:tcW w:w="145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1000</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7"/>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r>
              <w:rPr>
                <w:rFonts w:hint="eastAsia" w:ascii="宋体" w:hAnsi="宋体" w:cs="宋体"/>
                <w:color w:val="000000"/>
                <w:sz w:val="18"/>
                <w:szCs w:val="18"/>
              </w:rPr>
              <w:t>认真贯彻落实自治州党委“将安全生产纳入维护社会稳定和长治久安总体布局”总基调，以安全生产整治提升（2023年-2025年）为主线，以有效防范和遏制重特大事故为重点，明晰职责、建强队伍、严格监管、强化预防、深化治理、夯实基础，全面提升安全生产水平，健全应急救援管理体制，实现安全生产控制指标不超区州下达范围，为全县经济发展营造良好的安全环境。</w:t>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聘请专家人数(人)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≥180次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172人次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业务科室检查档案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保障矿山及企业检查次数(每家企业)</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4.85次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业务科室检查档案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举办安全管理培训班次</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3次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安全培训档案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培训叁与人数 (人)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≥800人次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710余人次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安全培训档案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安全宣传知识活动开展次数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≥2场次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2场次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安委会办公室资料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确保全县不发生安全生产一般事故案件率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安委会办公室资料</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restart"/>
            <w:tcBorders>
              <w:top w:val="single" w:color="000000" w:sz="4" w:space="0"/>
              <w:left w:val="single" w:color="000000" w:sz="4" w:space="0"/>
              <w:right w:val="single" w:color="000000" w:sz="4" w:space="0"/>
            </w:tcBorders>
            <w:noWrap/>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聘请安全专家经费支付及时率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财务凭证</w:t>
            </w:r>
          </w:p>
        </w:tc>
      </w:tr>
      <w:tr>
        <w:tblPrEx>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200" w:type="dxa"/>
            <w:vMerge w:val="continue"/>
            <w:tcBorders>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安全项目资金投入支付及时率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财务凭证</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vMerge w:val="restart"/>
            <w:tcBorders>
              <w:top w:val="single" w:color="000000" w:sz="4" w:space="0"/>
              <w:left w:val="single" w:color="000000" w:sz="4" w:space="0"/>
              <w:right w:val="single" w:color="000000" w:sz="4" w:space="0"/>
            </w:tcBorders>
            <w:noWrap/>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聘请专家及投入安全生产防治经费</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≤1000万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671.30万元</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决算数据</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项日成本控制率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财务凭证</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安全生产事故阵低率(%)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较上一年度减少</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历史标准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未完成</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安委会办公室资料</w:t>
            </w: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服务企业满意度(%)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kern w:val="0"/>
                <w:sz w:val="20"/>
                <w:szCs w:val="20"/>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97%</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业务科室评比档案</w:t>
            </w:r>
          </w:p>
        </w:tc>
      </w:tr>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呼图壁县应急管理局</w:t>
            </w:r>
          </w:p>
        </w:tc>
      </w:tr>
      <w:tr>
        <w:tblPrEx>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“三网一员”工作经费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刘萍丽</w:t>
            </w:r>
          </w:p>
        </w:tc>
      </w:tr>
      <w:tr>
        <w:tblPrEx>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1.01</w:t>
            </w:r>
          </w:p>
        </w:tc>
        <w:tc>
          <w:tcPr>
            <w:tcW w:w="1455"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1.01</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49"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sz w:val="18"/>
                <w:szCs w:val="18"/>
              </w:rPr>
              <w:t>1保障全县地震应急指挥工作正常开展；</w:t>
            </w:r>
          </w:p>
          <w:p>
            <w:pPr>
              <w:jc w:val="left"/>
              <w:rPr>
                <w:rFonts w:ascii="宋体" w:hAnsi="宋体" w:cs="宋体"/>
                <w:color w:val="000000"/>
                <w:sz w:val="18"/>
                <w:szCs w:val="18"/>
              </w:rPr>
            </w:pPr>
            <w:r>
              <w:rPr>
                <w:rFonts w:hint="eastAsia" w:ascii="宋体" w:hAnsi="宋体" w:cs="宋体"/>
                <w:color w:val="000000"/>
                <w:sz w:val="18"/>
                <w:szCs w:val="18"/>
              </w:rPr>
              <w:t>2.保障资金及时发放；</w:t>
            </w:r>
          </w:p>
          <w:p>
            <w:pPr>
              <w:jc w:val="left"/>
              <w:rPr>
                <w:rFonts w:ascii="宋体" w:hAnsi="宋体" w:cs="宋体"/>
                <w:color w:val="000000"/>
                <w:sz w:val="18"/>
                <w:szCs w:val="18"/>
              </w:rPr>
            </w:pPr>
            <w:r>
              <w:rPr>
                <w:rFonts w:hint="eastAsia" w:ascii="宋体" w:hAnsi="宋体" w:cs="宋体"/>
                <w:color w:val="000000"/>
                <w:sz w:val="18"/>
                <w:szCs w:val="18"/>
              </w:rPr>
              <w:t>3.保障人员数据反馈及时性。</w:t>
            </w:r>
            <w:r>
              <w:rPr>
                <w:rFonts w:hint="eastAsia" w:ascii="宋体" w:hAnsi="宋体" w:cs="宋体"/>
                <w:color w:val="000000"/>
                <w:sz w:val="18"/>
                <w:szCs w:val="18"/>
              </w:rPr>
              <w:tab/>
            </w:r>
          </w:p>
        </w:tc>
      </w:tr>
      <w:tr>
        <w:tblPrEx>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200"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地震灾情速报人员人数(人)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=6人</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6人</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 xml:space="preserve"> 地震办档案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vMerge w:val="continue"/>
            <w:tcBorders>
              <w:left w:val="single" w:color="000000" w:sz="4" w:space="0"/>
              <w:bottom w:val="nil"/>
              <w:right w:val="single" w:color="000000" w:sz="4" w:space="0"/>
            </w:tcBorders>
            <w:vAlign w:val="center"/>
          </w:tcPr>
          <w:p>
            <w:pPr>
              <w:widowControl/>
              <w:jc w:val="center"/>
              <w:textAlignment w:val="center"/>
              <w:rPr>
                <w:rFonts w:ascii="宋体" w:hAnsi="宋体" w:cs="宋体"/>
                <w:color w:val="000000"/>
                <w:kern w:val="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发放·三网一员”人员补助次数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1次</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资金发放准确率(%)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资金发放及时率(%)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提高民众日常幸福指数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按照完成比</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r>
        <w:tblPrEx>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二网一员”人员满意度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随资金文件</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地震办档案</w:t>
            </w:r>
          </w:p>
        </w:tc>
      </w:tr>
    </w:tbl>
    <w:p>
      <w:pPr>
        <w:spacing w:line="600" w:lineRule="exact"/>
        <w:rPr>
          <w:rFonts w:ascii="仿宋_GB2312" w:hAnsi="仿宋_GB2312" w:eastAsia="仿宋_GB2312" w:cs="仿宋_GB2312"/>
          <w:b/>
          <w:kern w:val="0"/>
          <w:sz w:val="32"/>
          <w:szCs w:val="32"/>
        </w:rPr>
      </w:pPr>
    </w:p>
    <w:p>
      <w:pPr>
        <w:numPr>
          <w:ilvl w:val="0"/>
          <w:numId w:val="2"/>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当年财政拨款项目3个，涉及预算金额10</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1.01万元，其中一个项目sm，涉及预算金额50万元</w:t>
      </w:r>
      <w:r>
        <w:rPr>
          <w:rFonts w:hint="eastAsia" w:ascii="仿宋_GB2312" w:hAnsi="仿宋_GB2312" w:eastAsia="仿宋_GB2312" w:cs="仿宋_GB2312"/>
          <w:kern w:val="0"/>
          <w:sz w:val="32"/>
          <w:szCs w:val="32"/>
          <w:lang w:eastAsia="zh-CN"/>
        </w:rPr>
        <w:t>，不公开绩效目标表</w:t>
      </w:r>
      <w:r>
        <w:rPr>
          <w:rFonts w:hint="eastAsia" w:ascii="仿宋_GB2312" w:hAnsi="仿宋_GB2312" w:eastAsia="仿宋_GB2312" w:cs="仿宋_GB2312"/>
          <w:kern w:val="0"/>
          <w:sz w:val="32"/>
          <w:szCs w:val="32"/>
        </w:rPr>
        <w:t>；当年非财政拨款项目0个，涉及预算金额0万元</w:t>
      </w:r>
      <w:r>
        <w:rPr>
          <w:rFonts w:hint="eastAsia" w:ascii="仿宋_GB2312" w:hAnsi="仿宋_GB2312" w:eastAsia="仿宋_GB2312" w:cs="仿宋_GB2312"/>
          <w:kern w:val="0"/>
          <w:sz w:val="32"/>
          <w:szCs w:val="32"/>
          <w:lang w:eastAsia="zh-CN"/>
        </w:rPr>
        <w:t>，不公开绩效目标表</w:t>
      </w:r>
      <w:bookmarkStart w:id="0" w:name="_GoBack"/>
      <w:bookmarkEnd w:id="0"/>
      <w:r>
        <w:rPr>
          <w:rFonts w:hint="eastAsia" w:ascii="仿宋_GB2312" w:hAnsi="仿宋_GB2312" w:eastAsia="仿宋_GB2312" w:cs="仿宋_GB2312"/>
          <w:kern w:val="0"/>
          <w:sz w:val="32"/>
          <w:szCs w:val="32"/>
        </w:rPr>
        <w:t>。</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呼图壁县应急管理局</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3 </w:t>
      </w:r>
      <w:r>
        <w:rPr>
          <w:rFonts w:ascii="仿宋_GB2312" w:hAnsi="宋体" w:eastAsia="仿宋_GB2312" w:cs="宋体"/>
          <w:kern w:val="0"/>
          <w:sz w:val="32"/>
          <w:szCs w:val="32"/>
        </w:rPr>
        <w:t>月</w:t>
      </w:r>
      <w:r>
        <w:rPr>
          <w:rFonts w:hint="eastAsia" w:ascii="仿宋_GB2312" w:hAnsi="宋体" w:eastAsia="仿宋_GB2312" w:cs="宋体"/>
          <w:kern w:val="0"/>
          <w:sz w:val="32"/>
          <w:szCs w:val="32"/>
        </w:rPr>
        <w:t>01</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21</w:t>
                </w:r>
                <w:r>
                  <w:fldChar w:fldCharType="end"/>
                </w:r>
              </w:p>
            </w:txbxContent>
          </v:textbox>
        </v:shape>
      </w:pic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73E4A4"/>
    <w:multiLevelType w:val="singleLevel"/>
    <w:tmpl w:val="B173E4A4"/>
    <w:lvl w:ilvl="0" w:tentative="0">
      <w:start w:val="2"/>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1YzgyN2Y5ZTc0YjMxMDQ1MWY2ZjA2ZDlhZTQwYWMifQ=="/>
  </w:docVars>
  <w:rsids>
    <w:rsidRoot w:val="10587512"/>
    <w:rsid w:val="00362C31"/>
    <w:rsid w:val="00701F05"/>
    <w:rsid w:val="0072541B"/>
    <w:rsid w:val="00937A2F"/>
    <w:rsid w:val="00951CBB"/>
    <w:rsid w:val="00ED3B96"/>
    <w:rsid w:val="00EE2224"/>
    <w:rsid w:val="00F65696"/>
    <w:rsid w:val="031B1113"/>
    <w:rsid w:val="04267B2D"/>
    <w:rsid w:val="05397FD9"/>
    <w:rsid w:val="070E6657"/>
    <w:rsid w:val="08450B28"/>
    <w:rsid w:val="0B247F12"/>
    <w:rsid w:val="0D6E5FD0"/>
    <w:rsid w:val="0E7102E9"/>
    <w:rsid w:val="0E9208E7"/>
    <w:rsid w:val="0EE15B77"/>
    <w:rsid w:val="10587512"/>
    <w:rsid w:val="10916BDA"/>
    <w:rsid w:val="1697741D"/>
    <w:rsid w:val="1732414C"/>
    <w:rsid w:val="1BEB54C3"/>
    <w:rsid w:val="1C3C6084"/>
    <w:rsid w:val="1CEB6DC6"/>
    <w:rsid w:val="1D3E1AFE"/>
    <w:rsid w:val="1E2C34B4"/>
    <w:rsid w:val="1EB61656"/>
    <w:rsid w:val="20DD55C0"/>
    <w:rsid w:val="22DB78DD"/>
    <w:rsid w:val="244D65B8"/>
    <w:rsid w:val="2492221D"/>
    <w:rsid w:val="26B4291F"/>
    <w:rsid w:val="26E769FA"/>
    <w:rsid w:val="293B2E83"/>
    <w:rsid w:val="2A012DF7"/>
    <w:rsid w:val="2AFC4894"/>
    <w:rsid w:val="2B1460CB"/>
    <w:rsid w:val="2D480265"/>
    <w:rsid w:val="2D977453"/>
    <w:rsid w:val="2EF22236"/>
    <w:rsid w:val="3254270D"/>
    <w:rsid w:val="39C52240"/>
    <w:rsid w:val="3FDF4D23"/>
    <w:rsid w:val="43C26223"/>
    <w:rsid w:val="43D8307E"/>
    <w:rsid w:val="46CE3131"/>
    <w:rsid w:val="494F7907"/>
    <w:rsid w:val="4C0055E5"/>
    <w:rsid w:val="4C3677AE"/>
    <w:rsid w:val="4C706B3A"/>
    <w:rsid w:val="51C15CED"/>
    <w:rsid w:val="52285DEB"/>
    <w:rsid w:val="52AD62F0"/>
    <w:rsid w:val="546308FE"/>
    <w:rsid w:val="5F2346ED"/>
    <w:rsid w:val="61086613"/>
    <w:rsid w:val="6408782B"/>
    <w:rsid w:val="65322CBF"/>
    <w:rsid w:val="6585322D"/>
    <w:rsid w:val="68CC52CB"/>
    <w:rsid w:val="68DE4FFE"/>
    <w:rsid w:val="694B58D7"/>
    <w:rsid w:val="69CE4E15"/>
    <w:rsid w:val="6B7F3246"/>
    <w:rsid w:val="6EF07839"/>
    <w:rsid w:val="6F63000B"/>
    <w:rsid w:val="716D6715"/>
    <w:rsid w:val="72B56DCF"/>
    <w:rsid w:val="75B570E6"/>
    <w:rsid w:val="780A1873"/>
    <w:rsid w:val="787D11B8"/>
    <w:rsid w:val="792C5912"/>
    <w:rsid w:val="795C7746"/>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华文中宋" w:hAnsi="华文中宋" w:eastAsia="华文中宋"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2712</Words>
  <Characters>15461</Characters>
  <Lines>128</Lines>
  <Paragraphs>36</Paragraphs>
  <TotalTime>0</TotalTime>
  <ScaleCrop>false</ScaleCrop>
  <LinksUpToDate>false</LinksUpToDate>
  <CharactersWithSpaces>18137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2024-07-23T05:30:31Z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815F797C6A5743B8A9FD799992EEF7ED_13</vt:lpwstr>
  </property>
</Properties>
</file>