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jc w:val="center"/>
        <w:rPr>
          <w:rFonts w:ascii="宋体" w:hAnsi="宋体" w:eastAsia="宋体" w:cs="宋体"/>
          <w:b/>
          <w:bCs/>
          <w:sz w:val="44"/>
          <w:szCs w:val="44"/>
        </w:rPr>
      </w:pPr>
      <w:r>
        <w:rPr>
          <w:rFonts w:hint="eastAsia" w:ascii="黑体" w:hAnsi="黑体" w:eastAsia="黑体" w:cs="黑体"/>
          <w:b/>
          <w:bCs/>
          <w:spacing w:val="-6"/>
          <w:sz w:val="44"/>
          <w:szCs w:val="44"/>
        </w:rPr>
        <w:t>新疆维吾尔自治区呼图壁县</w:t>
      </w:r>
      <w:r>
        <w:rPr>
          <w:rFonts w:hint="eastAsia" w:ascii="黑体" w:hAnsi="黑体" w:eastAsia="黑体" w:cs="黑体"/>
          <w:b/>
          <w:bCs/>
          <w:spacing w:val="-6"/>
          <w:sz w:val="44"/>
          <w:szCs w:val="44"/>
          <w:lang w:val="en-US" w:eastAsia="zh-CN"/>
        </w:rPr>
        <w:t>国有林管理中心</w:t>
      </w:r>
      <w:r>
        <w:rPr>
          <w:rFonts w:hint="eastAsia" w:ascii="黑体" w:hAnsi="黑体" w:eastAsia="黑体" w:cs="黑体"/>
          <w:b/>
          <w:bCs/>
          <w:sz w:val="44"/>
          <w:szCs w:val="44"/>
        </w:rPr>
        <w:t>20</w:t>
      </w:r>
      <w:r>
        <w:rPr>
          <w:rFonts w:hint="eastAsia" w:ascii="黑体" w:hAnsi="黑体" w:eastAsia="黑体" w:cs="黑体"/>
          <w:b/>
          <w:bCs/>
          <w:sz w:val="44"/>
          <w:szCs w:val="44"/>
          <w:lang w:val="en-US" w:eastAsia="zh-CN"/>
        </w:rPr>
        <w:t>24</w:t>
      </w:r>
      <w:r>
        <w:rPr>
          <w:rFonts w:hint="eastAsia" w:ascii="黑体" w:hAnsi="黑体" w:eastAsia="黑体" w:cs="黑体"/>
          <w:b/>
          <w:bCs/>
          <w:sz w:val="44"/>
          <w:szCs w:val="44"/>
        </w:rPr>
        <w:t>年部门预算公开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240" w:lineRule="auto"/>
        <w:jc w:val="both"/>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167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仿宋" w:eastAsia="仿宋_GB2312"/>
          <w:sz w:val="32"/>
          <w:szCs w:val="32"/>
          <w:lang w:eastAsia="zh-CN"/>
        </w:rPr>
        <w:t>1．主要职能：</w:t>
      </w:r>
      <w:r>
        <w:rPr>
          <w:rFonts w:hint="eastAsia" w:ascii="仿宋_GB2312" w:hAnsi="宋体" w:eastAsia="仿宋_GB2312"/>
          <w:sz w:val="32"/>
          <w:szCs w:val="32"/>
        </w:rPr>
        <w:t>呼图壁县</w:t>
      </w:r>
      <w:r>
        <w:rPr>
          <w:rFonts w:hint="eastAsia" w:ascii="仿宋_GB2312" w:eastAsia="仿宋_GB2312"/>
          <w:sz w:val="32"/>
          <w:lang w:val="zh-CN" w:eastAsia="zh-CN"/>
        </w:rPr>
        <w:t>国有林管理中心（原干河子林场）是属于执行事业单位会计制度的一级预算单位。</w:t>
      </w:r>
      <w:r>
        <w:rPr>
          <w:rFonts w:hint="eastAsia" w:ascii="仿宋_GB2312" w:hAnsi="宋体" w:eastAsia="仿宋_GB2312"/>
          <w:sz w:val="32"/>
          <w:szCs w:val="32"/>
        </w:rPr>
        <w:t>主要负责</w:t>
      </w:r>
      <w:r>
        <w:rPr>
          <w:rFonts w:hint="eastAsia" w:ascii="仿宋_GB2312" w:hAnsi="宋体" w:eastAsia="仿宋_GB2312"/>
          <w:sz w:val="32"/>
          <w:szCs w:val="32"/>
          <w:lang w:eastAsia="zh-CN"/>
        </w:rPr>
        <w:t>国有林场规划，计划，编制，林木种苗生产供应，林木良种选育，林木种苗调剂，林业信息服务。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after="0" w:line="560" w:lineRule="exact"/>
        <w:ind w:left="0" w:firstLine="640" w:firstLineChars="200"/>
        <w:rPr>
          <w:rFonts w:hint="eastAsia" w:ascii="宋体" w:hAnsi="宋体" w:eastAsia="宋体" w:cs="宋体"/>
          <w:sz w:val="32"/>
          <w:szCs w:val="32"/>
          <w:lang w:val="en-US" w:eastAsia="zh-CN"/>
        </w:rPr>
      </w:pPr>
      <w:r>
        <w:rPr>
          <w:rFonts w:hint="eastAsia" w:ascii="仿宋_GB2312" w:hAnsi="仿宋_GB2312" w:eastAsia="仿宋_GB2312" w:cs="仿宋_GB2312"/>
          <w:sz w:val="32"/>
          <w:szCs w:val="32"/>
          <w:highlight w:val="none"/>
          <w:lang w:eastAsia="zh-CN"/>
        </w:rPr>
        <w:t>呼图壁县国有林管理中心单位无下属预算单位。</w:t>
      </w:r>
      <w:r>
        <w:rPr>
          <w:rFonts w:hint="eastAsia" w:ascii="仿宋_gb2312" w:hAnsi="仿宋_gb2312" w:eastAsia="仿宋_gb2312" w:cs="仿宋_gb2312"/>
          <w:sz w:val="32"/>
          <w:szCs w:val="32"/>
          <w:lang w:val="en-US" w:eastAsia="zh-CN"/>
        </w:rPr>
        <w:t>下设7个处室，分别是：</w:t>
      </w:r>
      <w:r>
        <w:rPr>
          <w:rFonts w:hint="eastAsia" w:ascii="仿宋" w:hAnsi="仿宋" w:eastAsia="仿宋" w:cs="仿宋"/>
          <w:b w:val="0"/>
          <w:bCs w:val="0"/>
          <w:sz w:val="32"/>
          <w:szCs w:val="32"/>
          <w:lang w:val="en-US" w:eastAsia="zh-CN"/>
        </w:rPr>
        <w:t>财务室、生产办，信访办，民政办，</w:t>
      </w:r>
      <w:r>
        <w:rPr>
          <w:rFonts w:hint="eastAsia" w:ascii="仿宋" w:hAnsi="仿宋" w:eastAsia="仿宋" w:cs="仿宋"/>
          <w:sz w:val="32"/>
          <w:szCs w:val="32"/>
          <w:lang w:val="en-US" w:eastAsia="zh-CN"/>
        </w:rPr>
        <w:t>计生办、综治办，关联办</w:t>
      </w:r>
      <w:r>
        <w:rPr>
          <w:rFonts w:hint="eastAsia" w:ascii="宋体" w:hAnsi="宋体" w:eastAsia="宋体" w:cs="宋体"/>
          <w:sz w:val="32"/>
          <w:szCs w:val="32"/>
          <w:lang w:val="en-US" w:eastAsia="zh-CN"/>
        </w:rPr>
        <w:t>。</w:t>
      </w:r>
    </w:p>
    <w:p>
      <w:pPr>
        <w:spacing w:after="0" w:line="560" w:lineRule="exact"/>
        <w:ind w:left="0"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呼图壁县国有林管理中心单位编制数</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lang w:eastAsia="zh-CN"/>
        </w:rPr>
        <w:t>，实有人数</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lang w:eastAsia="zh-CN"/>
        </w:rPr>
        <w:t>人，其中：在职人数</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lang w:eastAsia="zh-CN"/>
        </w:rPr>
        <w:t>人，减少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人；退休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人，减少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人；离休0人，增加0人。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40" w:lineRule="auto"/>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呼图壁县国有林管理中心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31.33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31.33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31.33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21.55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9.78</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rPr>
              <w:t>31.33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31.33</w:t>
            </w:r>
            <w:r>
              <w:rPr>
                <w:rFonts w:hint="eastAsia" w:ascii="仿宋_GB2312" w:hAnsi="宋体" w:eastAsia="仿宋_GB2312" w:cs="宋体"/>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呼图壁县国有林管理中心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660" w:type="dxa"/>
        <w:tblInd w:w="-450" w:type="dxa"/>
        <w:tblLayout w:type="fixed"/>
        <w:tblCellMar>
          <w:top w:w="0" w:type="dxa"/>
          <w:left w:w="108" w:type="dxa"/>
          <w:bottom w:w="0" w:type="dxa"/>
          <w:right w:w="108" w:type="dxa"/>
        </w:tblCellMar>
      </w:tblPr>
      <w:tblGrid>
        <w:gridCol w:w="417"/>
        <w:gridCol w:w="417"/>
        <w:gridCol w:w="417"/>
        <w:gridCol w:w="564"/>
        <w:gridCol w:w="813"/>
        <w:gridCol w:w="763"/>
        <w:gridCol w:w="626"/>
        <w:gridCol w:w="655"/>
        <w:gridCol w:w="714"/>
        <w:gridCol w:w="643"/>
        <w:gridCol w:w="631"/>
        <w:gridCol w:w="779"/>
        <w:gridCol w:w="583"/>
        <w:gridCol w:w="536"/>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811"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shd w:val="clear"/>
                <w:lang w:val="en-US" w:eastAsia="zh-CN"/>
              </w:rPr>
              <w:t>　</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shd w:val="clear"/>
                <w:lang w:val="en-US" w:eastAsia="zh-CN"/>
              </w:rPr>
              <w:t>　</w:t>
            </w:r>
          </w:p>
        </w:tc>
        <w:tc>
          <w:tcPr>
            <w:tcW w:w="564"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shd w:val="clear"/>
                <w:lang w:val="en-US" w:eastAsia="zh-CN"/>
              </w:rPr>
              <w:t>社会保障和就业支出</w:t>
            </w:r>
          </w:p>
        </w:tc>
        <w:tc>
          <w:tcPr>
            <w:tcW w:w="81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shd w:val="clear"/>
                <w:lang w:val="en-US" w:eastAsia="zh-CN"/>
              </w:rPr>
              <w:t>　21.55</w:t>
            </w:r>
          </w:p>
        </w:tc>
        <w:tc>
          <w:tcPr>
            <w:tcW w:w="76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shd w:val="clear"/>
                <w:lang w:val="en-US" w:eastAsia="zh-CN"/>
              </w:rPr>
              <w:t>　21.55</w:t>
            </w:r>
          </w:p>
        </w:tc>
        <w:tc>
          <w:tcPr>
            <w:tcW w:w="62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shd w:val="clear"/>
                <w:lang w:val="en-US" w:eastAsia="zh-CN"/>
              </w:rPr>
              <w:t>　21.55</w:t>
            </w:r>
          </w:p>
        </w:tc>
        <w:tc>
          <w:tcPr>
            <w:tcW w:w="65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p>
        </w:tc>
        <w:tc>
          <w:tcPr>
            <w:tcW w:w="714"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43"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31"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779"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行政事业单位养老支出　</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21.55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21.55</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21.55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02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事业单位离退休</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21.55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21.55　</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21.55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213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农林水支出　</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213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林业和草原</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213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04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事业机构</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9.78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合  计　</w:t>
            </w:r>
          </w:p>
        </w:tc>
        <w:tc>
          <w:tcPr>
            <w:tcW w:w="81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31.33　</w:t>
            </w:r>
          </w:p>
        </w:tc>
        <w:tc>
          <w:tcPr>
            <w:tcW w:w="7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31.33　</w:t>
            </w:r>
          </w:p>
        </w:tc>
        <w:tc>
          <w:tcPr>
            <w:tcW w:w="6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31.33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呼图壁县国有林管理中心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420" w:type="dxa"/>
        <w:tblInd w:w="-240" w:type="dxa"/>
        <w:tblLayout w:type="fixed"/>
        <w:tblCellMar>
          <w:top w:w="0" w:type="dxa"/>
          <w:left w:w="108" w:type="dxa"/>
          <w:bottom w:w="0" w:type="dxa"/>
          <w:right w:w="108" w:type="dxa"/>
        </w:tblCellMar>
      </w:tblPr>
      <w:tblGrid>
        <w:gridCol w:w="458"/>
        <w:gridCol w:w="417"/>
        <w:gridCol w:w="417"/>
        <w:gridCol w:w="2572"/>
        <w:gridCol w:w="1836"/>
        <w:gridCol w:w="1837"/>
        <w:gridCol w:w="1883"/>
      </w:tblGrid>
      <w:tr>
        <w:tblPrEx>
          <w:tblLayout w:type="fixed"/>
          <w:tblCellMar>
            <w:top w:w="0" w:type="dxa"/>
            <w:left w:w="108" w:type="dxa"/>
            <w:bottom w:w="0" w:type="dxa"/>
            <w:right w:w="108" w:type="dxa"/>
          </w:tblCellMar>
        </w:tblPrEx>
        <w:trPr>
          <w:trHeight w:val="328" w:hRule="atLeast"/>
        </w:trPr>
        <w:tc>
          <w:tcPr>
            <w:tcW w:w="386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6"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kern w:val="0"/>
                <w:sz w:val="16"/>
                <w:szCs w:val="16"/>
                <w:highlight w:val="none"/>
                <w:lang w:val="en-US" w:eastAsia="zh-CN"/>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b/>
                <w:bCs/>
                <w:color w:val="auto"/>
                <w:kern w:val="0"/>
                <w:sz w:val="16"/>
                <w:szCs w:val="16"/>
                <w:highlight w:val="none"/>
                <w:lang w:val="en-US" w:eastAsia="zh-CN"/>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b/>
                <w:bCs/>
                <w:color w:val="auto"/>
                <w:kern w:val="0"/>
                <w:sz w:val="16"/>
                <w:szCs w:val="16"/>
                <w:highlight w:val="none"/>
                <w:lang w:val="en-US" w:eastAsia="zh-CN"/>
              </w:rPr>
            </w:pPr>
            <w:r>
              <w:rPr>
                <w:rFonts w:hint="eastAsia" w:ascii="仿宋_GB2312" w:eastAsia="仿宋_GB2312"/>
                <w:color w:val="auto"/>
                <w:sz w:val="20"/>
                <w:szCs w:val="20"/>
                <w:highlight w:val="none"/>
              </w:rPr>
              <w:t>　</w:t>
            </w:r>
          </w:p>
        </w:tc>
        <w:tc>
          <w:tcPr>
            <w:tcW w:w="257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社会保障和就业支出</w:t>
            </w:r>
          </w:p>
        </w:tc>
        <w:tc>
          <w:tcPr>
            <w:tcW w:w="1836"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2"/>
                <w:szCs w:val="22"/>
                <w:highlight w:val="none"/>
                <w:lang w:val="en-US" w:eastAsia="zh-CN"/>
              </w:rPr>
            </w:pPr>
            <w:r>
              <w:rPr>
                <w:rFonts w:hint="eastAsia" w:ascii="仿宋_GB2312" w:hAnsi="宋体" w:eastAsia="仿宋_GB2312" w:cs="宋体"/>
                <w:color w:val="auto"/>
                <w:sz w:val="20"/>
                <w:szCs w:val="20"/>
                <w:highlight w:val="none"/>
                <w:lang w:val="en-US" w:eastAsia="zh-CN"/>
              </w:rPr>
              <w:t>21.55</w:t>
            </w:r>
          </w:p>
        </w:tc>
        <w:tc>
          <w:tcPr>
            <w:tcW w:w="183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21.55</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kern w:val="0"/>
                <w:sz w:val="16"/>
                <w:szCs w:val="16"/>
                <w:highlight w:val="none"/>
                <w:lang w:val="en-US" w:eastAsia="zh-CN"/>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b/>
                <w:bCs/>
                <w:color w:val="auto"/>
                <w:kern w:val="0"/>
                <w:sz w:val="16"/>
                <w:szCs w:val="16"/>
                <w:highlight w:val="none"/>
                <w:lang w:val="en-US" w:eastAsia="zh-CN"/>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宋体" w:hAnsi="宋体" w:eastAsia="宋体" w:cs="宋体"/>
                <w:b/>
                <w:bCs/>
                <w:color w:val="auto"/>
                <w:kern w:val="0"/>
                <w:sz w:val="16"/>
                <w:szCs w:val="16"/>
                <w:highlight w:val="none"/>
                <w:lang w:val="en-US" w:eastAsia="zh-CN"/>
              </w:rPr>
            </w:pPr>
            <w:r>
              <w:rPr>
                <w:rFonts w:hint="eastAsia" w:ascii="仿宋_GB2312" w:eastAsia="仿宋_GB2312"/>
                <w:color w:val="auto"/>
                <w:sz w:val="20"/>
                <w:szCs w:val="20"/>
                <w:highlight w:val="none"/>
              </w:rPr>
              <w:t>　</w:t>
            </w:r>
          </w:p>
        </w:tc>
        <w:tc>
          <w:tcPr>
            <w:tcW w:w="257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行政事业单位养老支出</w:t>
            </w:r>
            <w:r>
              <w:rPr>
                <w:rFonts w:hint="eastAsia" w:ascii="仿宋_GB2312" w:eastAsia="仿宋_GB2312"/>
                <w:color w:val="auto"/>
                <w:sz w:val="20"/>
                <w:szCs w:val="20"/>
                <w:highlight w:val="none"/>
              </w:rPr>
              <w:t>　</w:t>
            </w:r>
          </w:p>
        </w:tc>
        <w:tc>
          <w:tcPr>
            <w:tcW w:w="183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21.55</w:t>
            </w:r>
          </w:p>
        </w:tc>
        <w:tc>
          <w:tcPr>
            <w:tcW w:w="183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2"/>
                <w:szCs w:val="22"/>
                <w:highlight w:val="none"/>
                <w:lang w:val="en-US" w:eastAsia="zh-CN"/>
              </w:rPr>
            </w:pPr>
            <w:r>
              <w:rPr>
                <w:rFonts w:hint="eastAsia" w:ascii="仿宋_GB2312" w:hAnsi="宋体" w:eastAsia="仿宋_GB2312" w:cs="宋体"/>
                <w:color w:val="auto"/>
                <w:sz w:val="20"/>
                <w:szCs w:val="20"/>
                <w:highlight w:val="none"/>
                <w:lang w:val="en-US" w:eastAsia="zh-CN"/>
              </w:rPr>
              <w:t>21.55</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72"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事业单位离退休</w:t>
            </w:r>
          </w:p>
        </w:tc>
        <w:tc>
          <w:tcPr>
            <w:tcW w:w="183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21.55</w:t>
            </w:r>
          </w:p>
        </w:tc>
        <w:tc>
          <w:tcPr>
            <w:tcW w:w="183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21.55</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72"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农林水支出</w:t>
            </w:r>
            <w:r>
              <w:rPr>
                <w:rFonts w:hint="eastAsia" w:ascii="仿宋_GB2312" w:eastAsia="仿宋_GB2312"/>
                <w:color w:val="auto"/>
                <w:sz w:val="20"/>
                <w:szCs w:val="20"/>
                <w:highlight w:val="none"/>
              </w:rPr>
              <w:t>　</w:t>
            </w:r>
          </w:p>
        </w:tc>
        <w:tc>
          <w:tcPr>
            <w:tcW w:w="183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9.78</w:t>
            </w:r>
          </w:p>
        </w:tc>
        <w:tc>
          <w:tcPr>
            <w:tcW w:w="183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9.78</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72"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林业和草原</w:t>
            </w:r>
          </w:p>
        </w:tc>
        <w:tc>
          <w:tcPr>
            <w:tcW w:w="183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9.78</w:t>
            </w:r>
          </w:p>
        </w:tc>
        <w:tc>
          <w:tcPr>
            <w:tcW w:w="183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9.78</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2572"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事业机构</w:t>
            </w:r>
          </w:p>
        </w:tc>
        <w:tc>
          <w:tcPr>
            <w:tcW w:w="183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9.78</w:t>
            </w:r>
          </w:p>
        </w:tc>
        <w:tc>
          <w:tcPr>
            <w:tcW w:w="183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9.78</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r>
              <w:rPr>
                <w:rFonts w:hint="eastAsia" w:ascii="仿宋_GB2312" w:hAnsi="仿宋_GB2312" w:eastAsia="仿宋_GB2312" w:cs="仿宋_GB2312"/>
                <w:b w:val="0"/>
                <w:bCs w:val="0"/>
                <w:color w:val="auto"/>
                <w:kern w:val="0"/>
                <w:sz w:val="20"/>
                <w:szCs w:val="20"/>
                <w:highlight w:val="none"/>
              </w:rPr>
              <w:t>　</w:t>
            </w:r>
            <w:r>
              <w:rPr>
                <w:rFonts w:hint="eastAsia" w:ascii="仿宋_GB2312" w:hAnsi="仿宋_GB2312" w:eastAsia="仿宋_GB2312" w:cs="仿宋_GB2312"/>
                <w:b w:val="0"/>
                <w:bCs w:val="0"/>
                <w:color w:val="auto"/>
                <w:kern w:val="0"/>
                <w:sz w:val="20"/>
                <w:szCs w:val="20"/>
                <w:highlight w:val="none"/>
                <w:lang w:val="en-US" w:eastAsia="zh-CN"/>
              </w:rPr>
              <w:t>31.33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r>
              <w:rPr>
                <w:rFonts w:hint="eastAsia" w:ascii="仿宋_GB2312" w:hAnsi="仿宋_GB2312" w:eastAsia="仿宋_GB2312" w:cs="仿宋_GB2312"/>
                <w:b w:val="0"/>
                <w:bCs w:val="0"/>
                <w:color w:val="auto"/>
                <w:kern w:val="0"/>
                <w:sz w:val="20"/>
                <w:szCs w:val="20"/>
                <w:highlight w:val="none"/>
              </w:rPr>
              <w:t>　</w:t>
            </w:r>
            <w:r>
              <w:rPr>
                <w:rFonts w:hint="eastAsia" w:ascii="仿宋_GB2312" w:hAnsi="仿宋_GB2312" w:eastAsia="仿宋_GB2312" w:cs="仿宋_GB2312"/>
                <w:b w:val="0"/>
                <w:bCs w:val="0"/>
                <w:color w:val="auto"/>
                <w:kern w:val="0"/>
                <w:sz w:val="20"/>
                <w:szCs w:val="20"/>
                <w:highlight w:val="none"/>
                <w:lang w:val="en-US" w:eastAsia="zh-CN"/>
              </w:rPr>
              <w:t>31.33</w:t>
            </w:r>
          </w:p>
        </w:tc>
        <w:tc>
          <w:tcPr>
            <w:tcW w:w="18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line="240" w:lineRule="auto"/>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呼图壁县国有林管理中心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31.33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31.33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21.55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21.55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9.78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9.78</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31.33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b/>
                <w:bCs/>
                <w:color w:val="auto"/>
                <w:kern w:val="0"/>
                <w:sz w:val="20"/>
                <w:szCs w:val="20"/>
                <w:highlight w:val="none"/>
                <w:lang w:val="en-US" w:eastAsia="zh-CN"/>
              </w:rPr>
              <w:t>31.33</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31.33</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rPr>
          <w:rFonts w:hint="default" w:ascii="宋体" w:hAnsi="宋体" w:eastAsia="宋体" w:cs="宋体"/>
          <w:i w:val="0"/>
          <w:color w:val="auto"/>
          <w:kern w:val="0"/>
          <w:sz w:val="20"/>
          <w:szCs w:val="20"/>
          <w:highlight w:val="none"/>
          <w:u w:val="none"/>
          <w:lang w:val="en-US" w:eastAsia="zh-CN" w:bidi="ar"/>
        </w:rPr>
      </w:pPr>
      <w:r>
        <w:rPr>
          <w:rFonts w:hint="default"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呼图壁县国有林管理中心</w:t>
            </w:r>
            <w:r>
              <w:rPr>
                <w:rFonts w:hint="eastAsia" w:ascii="仿宋_GB2312" w:hAnsi="宋体" w:eastAsia="仿宋_GB2312"/>
                <w:color w:val="auto"/>
                <w:kern w:val="0"/>
                <w:sz w:val="24"/>
                <w:highlight w:val="none"/>
              </w:rPr>
              <w:t xml:space="preserve">       </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21.55</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21.55</w:t>
            </w:r>
          </w:p>
        </w:tc>
        <w:tc>
          <w:tcPr>
            <w:tcW w:w="170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行政事业单位养老支出</w:t>
            </w:r>
            <w:r>
              <w:rPr>
                <w:rFonts w:hint="eastAsia" w:ascii="仿宋_GB2312" w:eastAsia="仿宋_GB2312"/>
                <w:color w:val="auto"/>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21.55</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21.55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事业单位离退休</w:t>
            </w:r>
          </w:p>
        </w:tc>
        <w:tc>
          <w:tcPr>
            <w:tcW w:w="1684"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21.55</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21.55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农林水支出</w:t>
            </w:r>
            <w:r>
              <w:rPr>
                <w:rFonts w:hint="eastAsia" w:ascii="仿宋_GB2312" w:eastAsia="仿宋_GB2312"/>
                <w:color w:val="auto"/>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9.78</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9.78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林业和草原</w:t>
            </w:r>
          </w:p>
        </w:tc>
        <w:tc>
          <w:tcPr>
            <w:tcW w:w="1684"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9.78</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9.78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213</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事业机构</w:t>
            </w:r>
          </w:p>
        </w:tc>
        <w:tc>
          <w:tcPr>
            <w:tcW w:w="1684"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9.78</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9.78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31.33</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31.33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6"/>
                <w:szCs w:val="16"/>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auto"/>
                <w:kern w:val="0"/>
                <w:sz w:val="20"/>
                <w:szCs w:val="20"/>
                <w:highlight w:val="none"/>
                <w:lang w:val="en-US" w:eastAsia="zh-CN"/>
              </w:rPr>
              <w:t>　9.78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auto"/>
                <w:kern w:val="0"/>
                <w:sz w:val="20"/>
                <w:szCs w:val="20"/>
                <w:highlight w:val="none"/>
                <w:lang w:val="en-US" w:eastAsia="zh-CN"/>
              </w:rPr>
              <w:t>　9.78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color w:val="auto"/>
                <w:kern w:val="0"/>
                <w:sz w:val="20"/>
                <w:szCs w:val="20"/>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auto"/>
                <w:kern w:val="0"/>
                <w:sz w:val="20"/>
                <w:szCs w:val="20"/>
                <w:highlight w:val="none"/>
                <w:lang w:val="en-US" w:eastAsia="zh-CN"/>
              </w:rPr>
              <w:t>　9.78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auto"/>
                <w:kern w:val="0"/>
                <w:sz w:val="20"/>
                <w:szCs w:val="20"/>
                <w:highlight w:val="none"/>
                <w:lang w:val="en-US" w:eastAsia="zh-CN"/>
              </w:rPr>
              <w:t>　9.78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16"/>
                <w:szCs w:val="16"/>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6"/>
                <w:szCs w:val="16"/>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6"/>
                <w:szCs w:val="16"/>
                <w:highlight w:val="none"/>
                <w:lang w:val="en-US" w:eastAsia="zh-CN"/>
              </w:rPr>
            </w:pPr>
            <w:r>
              <w:rPr>
                <w:rFonts w:hint="eastAsia" w:ascii="仿宋_GB2312" w:hAnsi="宋体" w:eastAsia="仿宋_GB2312" w:cs="宋体"/>
                <w:color w:val="auto"/>
                <w:kern w:val="0"/>
                <w:sz w:val="20"/>
                <w:szCs w:val="20"/>
                <w:highlight w:val="none"/>
                <w:lang w:val="en-US" w:eastAsia="zh-CN"/>
              </w:rPr>
              <w:t>　20.35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6"/>
                <w:szCs w:val="16"/>
                <w:highlight w:val="none"/>
                <w:lang w:val="en-US" w:eastAsia="zh-CN"/>
              </w:rPr>
            </w:pPr>
            <w:r>
              <w:rPr>
                <w:rFonts w:hint="eastAsia" w:ascii="仿宋_GB2312" w:hAnsi="宋体" w:eastAsia="仿宋_GB2312" w:cs="宋体"/>
                <w:color w:val="auto"/>
                <w:kern w:val="0"/>
                <w:sz w:val="20"/>
                <w:szCs w:val="20"/>
                <w:highlight w:val="none"/>
                <w:lang w:val="en-US" w:eastAsia="zh-CN"/>
              </w:rPr>
              <w:t>　20.35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303</w:t>
            </w:r>
          </w:p>
        </w:tc>
        <w:tc>
          <w:tcPr>
            <w:tcW w:w="577"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02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20.35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20.35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303</w:t>
            </w:r>
          </w:p>
        </w:tc>
        <w:tc>
          <w:tcPr>
            <w:tcW w:w="577"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1.20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1.20</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303</w:t>
            </w:r>
          </w:p>
        </w:tc>
        <w:tc>
          <w:tcPr>
            <w:tcW w:w="577"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09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1.20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　1.20</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31.33</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31.33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540" w:type="dxa"/>
        <w:tblInd w:w="-360" w:type="dxa"/>
        <w:tblLayout w:type="fixed"/>
        <w:tblCellMar>
          <w:top w:w="0" w:type="dxa"/>
          <w:left w:w="108" w:type="dxa"/>
          <w:bottom w:w="0" w:type="dxa"/>
          <w:right w:w="108" w:type="dxa"/>
        </w:tblCellMar>
      </w:tblPr>
      <w:tblGrid>
        <w:gridCol w:w="9"/>
        <w:gridCol w:w="449"/>
        <w:gridCol w:w="417"/>
        <w:gridCol w:w="417"/>
        <w:gridCol w:w="821"/>
        <w:gridCol w:w="1384"/>
        <w:gridCol w:w="727"/>
        <w:gridCol w:w="110"/>
        <w:gridCol w:w="449"/>
        <w:gridCol w:w="528"/>
        <w:gridCol w:w="635"/>
        <w:gridCol w:w="635"/>
        <w:gridCol w:w="404"/>
        <w:gridCol w:w="214"/>
        <w:gridCol w:w="419"/>
        <w:gridCol w:w="618"/>
        <w:gridCol w:w="420"/>
        <w:gridCol w:w="420"/>
        <w:gridCol w:w="388"/>
        <w:gridCol w:w="76"/>
      </w:tblGrid>
      <w:tr>
        <w:tblPrEx>
          <w:tblLayout w:type="fixed"/>
          <w:tblCellMar>
            <w:top w:w="0" w:type="dxa"/>
            <w:left w:w="108" w:type="dxa"/>
            <w:bottom w:w="0" w:type="dxa"/>
            <w:right w:w="108" w:type="dxa"/>
          </w:tblCellMar>
        </w:tblPrEx>
        <w:trPr>
          <w:gridBefore w:val="1"/>
          <w:gridAfter w:val="1"/>
          <w:wBefore w:w="9" w:type="dxa"/>
          <w:wAfter w:w="76"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76" w:type="dxa"/>
          <w:trHeight w:val="405" w:hRule="atLeast"/>
        </w:trPr>
        <w:tc>
          <w:tcPr>
            <w:tcW w:w="4325"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呼图壁县国有林管理中心</w:t>
            </w:r>
            <w:r>
              <w:rPr>
                <w:rFonts w:hint="eastAsia" w:ascii="仿宋_GB2312" w:hAnsi="宋体" w:eastAsia="仿宋_GB2312"/>
                <w:color w:val="auto"/>
                <w:kern w:val="0"/>
                <w:sz w:val="24"/>
                <w:highlight w:val="none"/>
              </w:rPr>
              <w:t xml:space="preserve">       </w:t>
            </w:r>
          </w:p>
        </w:tc>
        <w:tc>
          <w:tcPr>
            <w:tcW w:w="97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7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92"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1"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84"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9"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58"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8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9"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center"/>
          </w:tcPr>
          <w:p>
            <w:pPr>
              <w:widowControl/>
              <w:spacing w:line="280" w:lineRule="exact"/>
              <w:jc w:val="center"/>
              <w:rPr>
                <w:rFonts w:ascii="仿宋_GB2312" w:hAnsi="宋体" w:eastAsia="仿宋_GB2312"/>
                <w:color w:val="auto"/>
                <w:kern w:val="0"/>
                <w:sz w:val="20"/>
                <w:szCs w:val="20"/>
                <w:highlight w:val="none"/>
              </w:rPr>
            </w:pPr>
          </w:p>
        </w:tc>
        <w:tc>
          <w:tcPr>
            <w:tcW w:w="417" w:type="dxa"/>
            <w:noWrap w:val="0"/>
            <w:vAlign w:val="center"/>
          </w:tcPr>
          <w:p>
            <w:pPr>
              <w:widowControl/>
              <w:spacing w:line="280" w:lineRule="exact"/>
              <w:jc w:val="center"/>
              <w:rPr>
                <w:rFonts w:hint="eastAsia" w:ascii="仿宋_GB2312" w:hAnsi="宋体" w:eastAsia="仿宋_GB2312"/>
                <w:color w:val="auto"/>
                <w:kern w:val="0"/>
                <w:sz w:val="20"/>
                <w:szCs w:val="20"/>
                <w:highlight w:val="none"/>
                <w:lang w:eastAsia="zh-Hans"/>
              </w:rPr>
            </w:pPr>
          </w:p>
        </w:tc>
        <w:tc>
          <w:tcPr>
            <w:tcW w:w="417" w:type="dxa"/>
            <w:noWrap w:val="0"/>
            <w:vAlign w:val="center"/>
          </w:tcPr>
          <w:p>
            <w:pPr>
              <w:widowControl/>
              <w:spacing w:line="280" w:lineRule="exact"/>
              <w:jc w:val="center"/>
              <w:rPr>
                <w:rFonts w:ascii="仿宋_GB2312" w:hAnsi="宋体" w:eastAsia="仿宋_GB2312"/>
                <w:color w:val="auto"/>
                <w:kern w:val="0"/>
                <w:sz w:val="20"/>
                <w:szCs w:val="20"/>
                <w:highlight w:val="none"/>
              </w:rPr>
            </w:pPr>
          </w:p>
        </w:tc>
        <w:tc>
          <w:tcPr>
            <w:tcW w:w="821" w:type="dxa"/>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c>
          <w:tcPr>
            <w:tcW w:w="1384" w:type="dxa"/>
            <w:noWrap w:val="0"/>
            <w:vAlign w:val="top"/>
          </w:tcPr>
          <w:p>
            <w:pPr>
              <w:widowControl/>
              <w:jc w:val="left"/>
              <w:outlineLvl w:val="1"/>
              <w:rPr>
                <w:rFonts w:ascii="仿宋_GB2312" w:hAnsi="宋体" w:eastAsia="仿宋_GB2312"/>
                <w:color w:val="auto"/>
                <w:kern w:val="0"/>
                <w:sz w:val="20"/>
                <w:szCs w:val="20"/>
                <w:highlight w:val="none"/>
              </w:rPr>
            </w:pPr>
          </w:p>
        </w:tc>
        <w:tc>
          <w:tcPr>
            <w:tcW w:w="727" w:type="dxa"/>
            <w:noWrap w:val="0"/>
            <w:vAlign w:val="top"/>
          </w:tcPr>
          <w:p>
            <w:pPr>
              <w:widowControl/>
              <w:jc w:val="left"/>
              <w:outlineLvl w:val="1"/>
              <w:rPr>
                <w:rFonts w:hint="default" w:ascii="仿宋_GB2312" w:hAnsi="宋体" w:eastAsia="仿宋_GB2312"/>
                <w:color w:val="auto"/>
                <w:kern w:val="0"/>
                <w:sz w:val="20"/>
                <w:szCs w:val="20"/>
                <w:highlight w:val="none"/>
                <w:lang w:val="en-US" w:eastAsia="zh-CN"/>
              </w:rPr>
            </w:pPr>
          </w:p>
        </w:tc>
        <w:tc>
          <w:tcPr>
            <w:tcW w:w="559" w:type="dxa"/>
            <w:gridSpan w:val="2"/>
            <w:noWrap w:val="0"/>
            <w:vAlign w:val="top"/>
          </w:tcPr>
          <w:p>
            <w:pPr>
              <w:widowControl/>
              <w:jc w:val="left"/>
              <w:outlineLvl w:val="1"/>
              <w:rPr>
                <w:rFonts w:ascii="仿宋_GB2312" w:hAnsi="宋体" w:eastAsia="仿宋_GB2312"/>
                <w:color w:val="auto"/>
                <w:kern w:val="0"/>
                <w:sz w:val="20"/>
                <w:szCs w:val="20"/>
                <w:highlight w:val="none"/>
              </w:rPr>
            </w:pPr>
          </w:p>
        </w:tc>
        <w:tc>
          <w:tcPr>
            <w:tcW w:w="528" w:type="dxa"/>
            <w:noWrap w:val="0"/>
            <w:vAlign w:val="top"/>
          </w:tcPr>
          <w:p>
            <w:pPr>
              <w:widowControl/>
              <w:jc w:val="left"/>
              <w:outlineLvl w:val="1"/>
              <w:rPr>
                <w:rFonts w:ascii="仿宋_GB2312" w:hAnsi="宋体" w:eastAsia="仿宋_GB2312"/>
                <w:color w:val="auto"/>
                <w:kern w:val="0"/>
                <w:sz w:val="20"/>
                <w:szCs w:val="20"/>
                <w:highlight w:val="none"/>
              </w:rPr>
            </w:pPr>
          </w:p>
        </w:tc>
        <w:tc>
          <w:tcPr>
            <w:tcW w:w="63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center"/>
          </w:tcPr>
          <w:p>
            <w:pPr>
              <w:widowControl/>
              <w:spacing w:line="280" w:lineRule="exact"/>
              <w:jc w:val="center"/>
              <w:rPr>
                <w:rFonts w:ascii="仿宋_GB2312" w:hAnsi="宋体" w:eastAsia="仿宋_GB2312"/>
                <w:color w:val="auto"/>
                <w:kern w:val="0"/>
                <w:sz w:val="20"/>
                <w:szCs w:val="20"/>
                <w:highlight w:val="none"/>
              </w:rPr>
            </w:pPr>
          </w:p>
        </w:tc>
        <w:tc>
          <w:tcPr>
            <w:tcW w:w="417" w:type="dxa"/>
            <w:noWrap w:val="0"/>
            <w:vAlign w:val="center"/>
          </w:tcPr>
          <w:p>
            <w:pPr>
              <w:widowControl/>
              <w:spacing w:line="280" w:lineRule="exact"/>
              <w:jc w:val="center"/>
              <w:rPr>
                <w:rFonts w:ascii="仿宋_GB2312" w:hAnsi="宋体" w:eastAsia="仿宋_GB2312"/>
                <w:color w:val="auto"/>
                <w:kern w:val="0"/>
                <w:sz w:val="20"/>
                <w:szCs w:val="20"/>
                <w:highlight w:val="none"/>
              </w:rPr>
            </w:pPr>
          </w:p>
        </w:tc>
        <w:tc>
          <w:tcPr>
            <w:tcW w:w="417" w:type="dxa"/>
            <w:noWrap w:val="0"/>
            <w:vAlign w:val="center"/>
          </w:tcPr>
          <w:p>
            <w:pPr>
              <w:widowControl/>
              <w:spacing w:line="280" w:lineRule="exact"/>
              <w:jc w:val="center"/>
              <w:rPr>
                <w:rFonts w:ascii="仿宋_GB2312" w:hAnsi="宋体" w:eastAsia="仿宋_GB2312"/>
                <w:color w:val="auto"/>
                <w:kern w:val="0"/>
                <w:sz w:val="20"/>
                <w:szCs w:val="20"/>
                <w:highlight w:val="none"/>
              </w:rPr>
            </w:pPr>
          </w:p>
        </w:tc>
        <w:tc>
          <w:tcPr>
            <w:tcW w:w="821" w:type="dxa"/>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c>
          <w:tcPr>
            <w:tcW w:w="1384" w:type="dxa"/>
            <w:noWrap w:val="0"/>
            <w:vAlign w:val="top"/>
          </w:tcPr>
          <w:p>
            <w:pPr>
              <w:widowControl/>
              <w:jc w:val="left"/>
              <w:outlineLvl w:val="1"/>
              <w:rPr>
                <w:rFonts w:ascii="仿宋_GB2312" w:hAnsi="宋体" w:eastAsia="仿宋_GB2312"/>
                <w:color w:val="auto"/>
                <w:kern w:val="0"/>
                <w:sz w:val="20"/>
                <w:szCs w:val="20"/>
                <w:highlight w:val="none"/>
              </w:rPr>
            </w:pPr>
          </w:p>
        </w:tc>
        <w:tc>
          <w:tcPr>
            <w:tcW w:w="727" w:type="dxa"/>
            <w:noWrap w:val="0"/>
            <w:vAlign w:val="top"/>
          </w:tcPr>
          <w:p>
            <w:pPr>
              <w:widowControl/>
              <w:jc w:val="left"/>
              <w:outlineLvl w:val="1"/>
              <w:rPr>
                <w:rFonts w:hint="default" w:ascii="仿宋_GB2312" w:hAnsi="宋体" w:eastAsia="仿宋_GB2312"/>
                <w:color w:val="auto"/>
                <w:kern w:val="0"/>
                <w:sz w:val="20"/>
                <w:szCs w:val="20"/>
                <w:highlight w:val="none"/>
                <w:lang w:val="en-US" w:eastAsia="zh-CN"/>
              </w:rPr>
            </w:pPr>
          </w:p>
        </w:tc>
        <w:tc>
          <w:tcPr>
            <w:tcW w:w="559" w:type="dxa"/>
            <w:gridSpan w:val="2"/>
            <w:noWrap w:val="0"/>
            <w:vAlign w:val="top"/>
          </w:tcPr>
          <w:p>
            <w:pPr>
              <w:widowControl/>
              <w:jc w:val="left"/>
              <w:outlineLvl w:val="1"/>
              <w:rPr>
                <w:rFonts w:ascii="仿宋_GB2312" w:hAnsi="宋体" w:eastAsia="仿宋_GB2312"/>
                <w:color w:val="auto"/>
                <w:kern w:val="0"/>
                <w:sz w:val="20"/>
                <w:szCs w:val="20"/>
                <w:highlight w:val="none"/>
              </w:rPr>
            </w:pPr>
          </w:p>
        </w:tc>
        <w:tc>
          <w:tcPr>
            <w:tcW w:w="528" w:type="dxa"/>
            <w:noWrap w:val="0"/>
            <w:vAlign w:val="top"/>
          </w:tcPr>
          <w:p>
            <w:pPr>
              <w:widowControl/>
              <w:jc w:val="left"/>
              <w:outlineLvl w:val="1"/>
              <w:rPr>
                <w:rFonts w:ascii="仿宋_GB2312" w:hAnsi="宋体" w:eastAsia="仿宋_GB2312"/>
                <w:color w:val="auto"/>
                <w:kern w:val="0"/>
                <w:sz w:val="20"/>
                <w:szCs w:val="20"/>
                <w:highlight w:val="none"/>
              </w:rPr>
            </w:pPr>
          </w:p>
        </w:tc>
        <w:tc>
          <w:tcPr>
            <w:tcW w:w="63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1384"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27"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2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9"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2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84"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7" w:type="dxa"/>
            <w:noWrap w:val="0"/>
            <w:vAlign w:val="center"/>
          </w:tcPr>
          <w:p>
            <w:pPr>
              <w:widowControl/>
              <w:jc w:val="center"/>
              <w:outlineLvl w:val="1"/>
              <w:rPr>
                <w:rFonts w:ascii="仿宋_GB2312" w:hAnsi="宋体" w:eastAsia="仿宋_GB2312"/>
                <w:color w:val="auto"/>
                <w:kern w:val="0"/>
                <w:szCs w:val="21"/>
                <w:highlight w:val="none"/>
              </w:rPr>
            </w:pP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
          <w:b/>
          <w:color w:val="auto"/>
          <w:kern w:val="0"/>
          <w:sz w:val="28"/>
          <w:szCs w:val="28"/>
          <w:highlight w:val="none"/>
          <w:lang w:val="en-US" w:eastAsia="zh-CN"/>
        </w:rPr>
      </w:pPr>
      <w:r>
        <w:rPr>
          <w:rFonts w:hint="eastAsia" w:ascii="仿宋_GB2312" w:hAnsi="宋体" w:eastAsia="仿宋_GB2312"/>
          <w:b/>
          <w:color w:val="auto"/>
          <w:kern w:val="0"/>
          <w:sz w:val="28"/>
          <w:szCs w:val="32"/>
          <w:highlight w:val="none"/>
        </w:rPr>
        <w:t>备注：20</w:t>
      </w:r>
      <w:r>
        <w:rPr>
          <w:rFonts w:hint="eastAsia" w:ascii="仿宋_GB2312" w:hAnsi="宋体" w:eastAsia="仿宋_GB2312"/>
          <w:b/>
          <w:color w:val="auto"/>
          <w:kern w:val="0"/>
          <w:sz w:val="28"/>
          <w:szCs w:val="32"/>
          <w:highlight w:val="none"/>
          <w:lang w:val="en-US" w:eastAsia="zh-CN"/>
        </w:rPr>
        <w:t>24</w:t>
      </w:r>
      <w:r>
        <w:rPr>
          <w:rFonts w:hint="eastAsia" w:ascii="仿宋_GB2312" w:hAnsi="宋体" w:eastAsia="仿宋_GB2312"/>
          <w:b/>
          <w:color w:val="auto"/>
          <w:kern w:val="0"/>
          <w:sz w:val="28"/>
          <w:szCs w:val="32"/>
          <w:highlight w:val="none"/>
        </w:rPr>
        <w:t>年</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rPr>
        <w:t>未安排项目支出，此表没有数据。</w:t>
      </w:r>
    </w:p>
    <w:p>
      <w:pPr>
        <w:widowControl/>
        <w:outlineLvl w:val="1"/>
        <w:rPr>
          <w:rFonts w:hint="eastAsia" w:ascii="仿宋_GB2312" w:hAnsi="宋体" w:eastAsia="仿宋"/>
          <w:b/>
          <w:color w:val="auto"/>
          <w:kern w:val="0"/>
          <w:sz w:val="28"/>
          <w:szCs w:val="28"/>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 w:eastAsia="仿宋"/>
          <w:b/>
          <w:bCs/>
          <w:sz w:val="28"/>
          <w:szCs w:val="28"/>
        </w:rPr>
        <w:t>20</w:t>
      </w:r>
      <w:r>
        <w:rPr>
          <w:rFonts w:hint="eastAsia" w:ascii="仿宋" w:eastAsia="仿宋"/>
          <w:b/>
          <w:bCs/>
          <w:sz w:val="28"/>
          <w:szCs w:val="28"/>
          <w:lang w:val="en-US" w:eastAsia="zh-CN"/>
        </w:rPr>
        <w:t>24</w:t>
      </w:r>
      <w:r>
        <w:rPr>
          <w:rFonts w:hint="eastAsia" w:ascii="仿宋" w:eastAsia="仿宋"/>
          <w:b/>
          <w:bCs/>
          <w:sz w:val="28"/>
          <w:szCs w:val="28"/>
        </w:rPr>
        <w:t>年</w:t>
      </w:r>
      <w:r>
        <w:rPr>
          <w:rFonts w:hint="eastAsia" w:ascii="仿宋" w:eastAsia="仿宋"/>
          <w:b/>
          <w:bCs/>
          <w:sz w:val="28"/>
          <w:szCs w:val="28"/>
          <w:lang w:eastAsia="zh-CN"/>
        </w:rPr>
        <w:t>本单位</w:t>
      </w:r>
      <w:r>
        <w:rPr>
          <w:rFonts w:hint="eastAsia" w:ascii="仿宋" w:eastAsia="仿宋"/>
          <w:b/>
          <w:bCs/>
          <w:sz w:val="28"/>
          <w:szCs w:val="28"/>
        </w:rPr>
        <w:t>未安排</w:t>
      </w:r>
      <w:r>
        <w:rPr>
          <w:rFonts w:hint="eastAsia" w:ascii="仿宋_GB2312" w:hAnsi="宋体" w:eastAsia="仿宋_GB2312"/>
          <w:b/>
          <w:color w:val="auto"/>
          <w:kern w:val="0"/>
          <w:sz w:val="32"/>
          <w:szCs w:val="32"/>
          <w:highlight w:val="none"/>
          <w:lang w:val="en-US" w:eastAsia="zh-CN"/>
        </w:rPr>
        <w:t>政府性基金预算支出</w:t>
      </w:r>
      <w:r>
        <w:rPr>
          <w:rFonts w:hint="eastAsia" w:ascii="仿宋" w:eastAsia="仿宋"/>
          <w:b/>
          <w:bCs/>
          <w:sz w:val="28"/>
          <w:szCs w:val="28"/>
        </w:rPr>
        <w:t>，此表没有数据</w:t>
      </w:r>
      <w:r>
        <w:rPr>
          <w:rFonts w:hint="eastAsia" w:ascii="仿宋" w:eastAsia="仿宋"/>
          <w:b/>
          <w:bCs/>
          <w:sz w:val="28"/>
          <w:szCs w:val="28"/>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 w:eastAsia="仿宋"/>
          <w:b/>
          <w:bCs/>
          <w:sz w:val="28"/>
          <w:szCs w:val="28"/>
        </w:rPr>
        <w:t>20</w:t>
      </w:r>
      <w:r>
        <w:rPr>
          <w:rFonts w:hint="eastAsia" w:ascii="仿宋" w:eastAsia="仿宋"/>
          <w:b/>
          <w:bCs/>
          <w:sz w:val="28"/>
          <w:szCs w:val="28"/>
          <w:lang w:val="en-US" w:eastAsia="zh-CN"/>
        </w:rPr>
        <w:t>24</w:t>
      </w:r>
      <w:r>
        <w:rPr>
          <w:rFonts w:hint="eastAsia" w:ascii="仿宋" w:eastAsia="仿宋"/>
          <w:b/>
          <w:bCs/>
          <w:sz w:val="28"/>
          <w:szCs w:val="28"/>
        </w:rPr>
        <w:t>年未安排</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 w:eastAsia="仿宋"/>
          <w:b/>
          <w:bCs/>
          <w:sz w:val="28"/>
          <w:szCs w:val="28"/>
        </w:rPr>
        <w:t>，此表没有数据</w:t>
      </w:r>
      <w:r>
        <w:rPr>
          <w:rFonts w:hint="eastAsia" w:ascii="仿宋" w:eastAsia="仿宋"/>
          <w:b/>
          <w:bCs/>
          <w:sz w:val="28"/>
          <w:szCs w:val="28"/>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 w:eastAsia="仿宋"/>
          <w:b/>
          <w:bCs/>
          <w:sz w:val="28"/>
          <w:szCs w:val="28"/>
        </w:rPr>
        <w:t>20</w:t>
      </w:r>
      <w:r>
        <w:rPr>
          <w:rFonts w:hint="eastAsia" w:ascii="仿宋" w:eastAsia="仿宋"/>
          <w:b/>
          <w:bCs/>
          <w:sz w:val="28"/>
          <w:szCs w:val="28"/>
          <w:lang w:val="en-US" w:eastAsia="zh-CN"/>
        </w:rPr>
        <w:t>24</w:t>
      </w:r>
      <w:r>
        <w:rPr>
          <w:rFonts w:hint="eastAsia" w:ascii="仿宋" w:eastAsia="仿宋"/>
          <w:b/>
          <w:bCs/>
          <w:sz w:val="28"/>
          <w:szCs w:val="28"/>
        </w:rPr>
        <w:t>年未安排</w:t>
      </w:r>
      <w:r>
        <w:rPr>
          <w:rFonts w:hint="eastAsia" w:ascii="仿宋_GB2312" w:hAnsi="宋体" w:eastAsia="仿宋_GB2312"/>
          <w:b/>
          <w:color w:val="auto"/>
          <w:kern w:val="0"/>
          <w:sz w:val="32"/>
          <w:szCs w:val="32"/>
          <w:highlight w:val="none"/>
        </w:rPr>
        <w:t>“三公”经费支出</w:t>
      </w:r>
      <w:r>
        <w:rPr>
          <w:rFonts w:hint="eastAsia" w:ascii="仿宋" w:eastAsia="仿宋"/>
          <w:b/>
          <w:bCs/>
          <w:sz w:val="28"/>
          <w:szCs w:val="28"/>
        </w:rPr>
        <w:t>，此表没有数据</w:t>
      </w:r>
      <w:r>
        <w:rPr>
          <w:rFonts w:hint="eastAsia" w:ascii="仿宋" w:eastAsia="仿宋"/>
          <w:b/>
          <w:bCs/>
          <w:sz w:val="28"/>
          <w:szCs w:val="28"/>
          <w:lang w:eastAsia="zh-CN"/>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2024年</w:t>
      </w:r>
      <w:r>
        <w:rPr>
          <w:rFonts w:hint="eastAsia" w:ascii="仿宋_GB2312" w:hAnsi="宋体" w:eastAsia="仿宋_GB2312"/>
          <w:b/>
          <w:color w:val="auto"/>
          <w:kern w:val="0"/>
          <w:sz w:val="28"/>
          <w:szCs w:val="32"/>
          <w:highlight w:val="none"/>
          <w:lang w:val="en-US" w:eastAsia="zh-CN"/>
        </w:rPr>
        <w:t>无上年结转结余</w:t>
      </w:r>
      <w:r>
        <w:rPr>
          <w:rFonts w:hint="eastAsia" w:ascii="仿宋_GB2312" w:hAnsi="宋体" w:eastAsia="仿宋_GB2312"/>
          <w:b/>
          <w:color w:val="auto"/>
          <w:kern w:val="0"/>
          <w:sz w:val="28"/>
          <w:szCs w:val="32"/>
          <w:highlight w:val="none"/>
        </w:rPr>
        <w:t>预算的支出，</w:t>
      </w:r>
      <w:r>
        <w:rPr>
          <w:rFonts w:hint="eastAsia" w:ascii="仿宋_GB2312" w:hAnsi="宋体" w:eastAsia="仿宋_GB2312"/>
          <w:b/>
          <w:color w:val="auto"/>
          <w:kern w:val="0"/>
          <w:sz w:val="28"/>
          <w:szCs w:val="32"/>
          <w:highlight w:val="none"/>
          <w:lang w:val="en-US" w:eastAsia="zh-CN"/>
        </w:rPr>
        <w:t>结转结余</w:t>
      </w:r>
      <w:r>
        <w:rPr>
          <w:rFonts w:hint="eastAsia" w:ascii="仿宋_GB2312" w:hAnsi="宋体" w:eastAsia="仿宋_GB2312"/>
          <w:b/>
          <w:color w:val="auto"/>
          <w:kern w:val="0"/>
          <w:sz w:val="28"/>
          <w:szCs w:val="32"/>
          <w:highlight w:val="none"/>
        </w:rPr>
        <w:t>预算支出情况表为空表。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720"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呼图壁县国有林管理中心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所有收入和支出均纳入部门预算管理。收支总预算</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rPr>
        <w:t>万元。</w:t>
      </w:r>
    </w:p>
    <w:p>
      <w:pPr>
        <w:spacing w:line="580" w:lineRule="exact"/>
        <w:ind w:firstLine="640"/>
        <w:jc w:val="left"/>
        <w:rPr>
          <w:rFonts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收入预算包括：</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lang w:val="en-US" w:eastAsia="zh-CN"/>
        </w:rPr>
        <w:t>31.33</w:t>
      </w:r>
      <w:r>
        <w:rPr>
          <w:rFonts w:hint="eastAsia" w:ascii="仿宋_GB2312" w:hAnsi="仿宋_GB2312" w:eastAsia="仿宋_GB2312" w:cs="仿宋_GB2312"/>
          <w:sz w:val="32"/>
          <w:szCs w:val="32"/>
          <w:lang w:eastAsia="zh-CN"/>
        </w:rPr>
        <w:t>万元，</w:t>
      </w:r>
      <w:r>
        <w:rPr>
          <w:rFonts w:hint="eastAsia" w:ascii="仿宋_GB2312" w:hAnsi="宋体" w:eastAsia="仿宋_GB2312" w:cs="宋体"/>
          <w:sz w:val="32"/>
          <w:szCs w:val="32"/>
          <w:lang w:eastAsia="zh-CN"/>
        </w:rPr>
        <w:t>无政府性基金预算</w:t>
      </w:r>
      <w:r>
        <w:rPr>
          <w:rFonts w:hint="eastAsia" w:ascii="仿宋_GB2312" w:hAnsi="宋体" w:eastAsia="仿宋_GB2312" w:cs="宋体"/>
          <w:sz w:val="32"/>
          <w:szCs w:val="32"/>
          <w:lang w:val="en-US" w:eastAsia="zh-CN"/>
        </w:rPr>
        <w:t>和国有资本经营预算。</w:t>
      </w:r>
    </w:p>
    <w:p>
      <w:pPr>
        <w:spacing w:after="0" w:line="560" w:lineRule="exact"/>
        <w:ind w:left="0" w:firstLine="640" w:firstLineChars="200"/>
        <w:rPr>
          <w:rFonts w:ascii="仿宋_GB2312" w:hAnsi="宋体" w:eastAsia="仿宋_GB2312" w:cs="宋体"/>
          <w:b/>
          <w:color w:val="FF0000"/>
          <w:kern w:val="0"/>
          <w:sz w:val="32"/>
          <w:szCs w:val="32"/>
          <w:highlight w:val="none"/>
        </w:rPr>
      </w:pPr>
      <w:r>
        <w:rPr>
          <w:rFonts w:hint="eastAsia" w:ascii="仿宋_GB2312" w:hAnsi="仿宋_GB2312" w:eastAsia="仿宋_GB2312" w:cs="仿宋_GB2312"/>
          <w:sz w:val="32"/>
          <w:szCs w:val="32"/>
          <w:lang w:eastAsia="zh-CN"/>
        </w:rPr>
        <w:drawing>
          <wp:inline distT="0" distB="0" distL="114300" distR="114300">
            <wp:extent cx="3175" cy="3175"/>
            <wp:effectExtent l="0" t="0" r="0" b="0"/>
            <wp:docPr id="12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13"/>
                    <pic:cNvPicPr>
                      <a:picLocks noChangeAspect="1"/>
                    </pic:cNvPicPr>
                  </pic:nvPicPr>
                  <pic:blipFill>
                    <a:blip r:embed="rId6"/>
                    <a:stretch>
                      <a:fillRect/>
                    </a:stretch>
                  </pic:blipFill>
                  <pic:spPr>
                    <a:xfrm>
                      <a:off x="0" y="0"/>
                      <a:ext cx="3175" cy="3175"/>
                    </a:xfrm>
                    <a:prstGeom prst="rect">
                      <a:avLst/>
                    </a:prstGeom>
                    <a:noFill/>
                    <a:ln>
                      <a:noFill/>
                    </a:ln>
                  </pic:spPr>
                </pic:pic>
              </a:graphicData>
            </a:graphic>
          </wp:inline>
        </w:drawing>
      </w:r>
      <w:r>
        <w:rPr>
          <w:rFonts w:hint="eastAsia" w:ascii="仿宋_GB2312" w:hAnsi="宋体" w:eastAsia="仿宋_GB2312" w:cs="宋体"/>
          <w:b/>
          <w:bCs/>
          <w:color w:val="auto"/>
          <w:kern w:val="0"/>
          <w:sz w:val="32"/>
          <w:szCs w:val="32"/>
          <w:highlight w:val="none"/>
        </w:rPr>
        <w:t>支出预算包括：</w:t>
      </w:r>
      <w:r>
        <w:rPr>
          <w:rFonts w:hint="eastAsia" w:ascii="仿宋_GB2312" w:hAnsi="宋体" w:eastAsia="仿宋_GB2312" w:cs="宋体"/>
          <w:color w:val="auto"/>
          <w:kern w:val="0"/>
          <w:sz w:val="32"/>
          <w:szCs w:val="32"/>
          <w:highlight w:val="none"/>
        </w:rPr>
        <w:t>社会保障和就业支出、农林水支出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w:t>
      </w:r>
      <w:r>
        <w:rPr>
          <w:rFonts w:hint="eastAsia" w:ascii="仿宋_GB2312" w:hAnsi="宋体" w:eastAsia="仿宋_GB2312" w:cs="宋体"/>
          <w:color w:val="auto"/>
          <w:kern w:val="0"/>
          <w:sz w:val="32"/>
          <w:szCs w:val="32"/>
          <w:highlight w:val="none"/>
          <w:lang w:val="en-US" w:eastAsia="zh-CN"/>
        </w:rPr>
        <w:t>长157.57%，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2023年度退休人数增加，退休人员基础绩效奖标准提高，退休人员独生子女奖励金增加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财政专户（教育收费）资金未安排。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lang w:val="en-US" w:eastAsia="zh-Hans"/>
        </w:rPr>
        <w:t>非财政拨款结转结余</w:t>
      </w:r>
      <w:r>
        <w:rPr>
          <w:rFonts w:hint="eastAsia" w:ascii="仿宋_GB2312" w:hAnsi="宋体" w:eastAsia="仿宋_GB2312" w:cs="宋体"/>
          <w:color w:val="auto"/>
          <w:kern w:val="0"/>
          <w:sz w:val="32"/>
          <w:szCs w:val="32"/>
          <w:highlight w:val="none"/>
          <w:lang w:val="en-US" w:eastAsia="zh-CN"/>
        </w:rPr>
        <w:t>0万元。</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呼图壁县国有林管理中心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19.17</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157.57%，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2023年度退休人员人数增加，退休人员基础绩效奖标准提高，退休人员独生子女奖励金增加</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b w:val="0"/>
          <w:bCs w:val="0"/>
          <w:sz w:val="32"/>
          <w:szCs w:val="32"/>
          <w:highlight w:val="none"/>
          <w:lang w:eastAsia="zh-CN"/>
        </w:rPr>
        <w:t>项目支出</w:t>
      </w:r>
      <w:r>
        <w:rPr>
          <w:rFonts w:hint="eastAsia" w:ascii="仿宋_GB2312" w:hAnsi="仿宋_GB2312" w:eastAsia="仿宋_GB2312" w:cs="仿宋_GB2312"/>
          <w:sz w:val="32"/>
          <w:szCs w:val="32"/>
          <w:highlight w:val="none"/>
          <w:lang w:eastAsia="zh-CN"/>
        </w:rPr>
        <w:t>0万元，</w:t>
      </w:r>
      <w:r>
        <w:rPr>
          <w:rFonts w:hint="eastAsia" w:ascii="仿宋_gb2312" w:hAnsi="仿宋_gb2312" w:eastAsia="仿宋_gb2312" w:cs="仿宋_gb2312"/>
          <w:sz w:val="32"/>
          <w:szCs w:val="32"/>
          <w:lang w:val="en-US" w:eastAsia="zh-CN"/>
        </w:rPr>
        <w:t>占0%，比上年增加0万元，增长0%与上年持平，主要原因是无项目；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208社会保障和就业</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21.55</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9.78万元，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val="en-US" w:eastAsia="zh-CN"/>
        </w:rPr>
        <w:t>人员经费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31.33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31.33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19.17</w:t>
      </w:r>
      <w:r>
        <w:rPr>
          <w:rFonts w:hint="eastAsia" w:ascii="仿宋_GB2312" w:hAnsi="仿宋_GB2312" w:eastAsia="仿宋_GB2312" w:cs="仿宋_GB2312"/>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157.57%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2023年度退休人员人数增加，退休人员基础绩效奖标准提高，退休人员独生子女奖励金增加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社会保障和就业支出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21.55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68.78</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农林水支出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9.78</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31.22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1.例：</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事业单位皮退休</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21.55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21.55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2023年退休人员数量和基础绩效奖标准增加，2024年预算将2023年退休人员基础绩效奖和退休人员独生子女奖励金列入此科目。</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农林水支出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林业和草原</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事业机构</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9.78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2.38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19.57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2024年预算将2023年退休人员基础绩效奖和退休人员独生子女奖励金预算金额做入社会保障和就业支出类里。</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呼图壁县国有林管理中心2024年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31.33</w:t>
      </w:r>
      <w:r>
        <w:rPr>
          <w:rFonts w:hint="eastAsia" w:ascii="仿宋_GB2312" w:hAnsi="宋体" w:eastAsia="仿宋_GB2312" w:cs="宋体"/>
          <w:color w:val="auto"/>
          <w:spacing w:val="-6"/>
          <w:kern w:val="0"/>
          <w:sz w:val="32"/>
          <w:szCs w:val="32"/>
          <w:highlight w:val="none"/>
        </w:rPr>
        <w:t>万元， 其中：</w:t>
      </w: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31.33</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color w:val="auto"/>
          <w:kern w:val="0"/>
          <w:sz w:val="32"/>
          <w:szCs w:val="32"/>
          <w:highlight w:val="none"/>
          <w:lang w:val="en-US" w:eastAsia="zh-CN"/>
        </w:rPr>
        <w:t>退休</w:t>
      </w:r>
      <w:r>
        <w:rPr>
          <w:rFonts w:hint="eastAsia" w:ascii="仿宋_GB2312" w:hAnsi="宋体" w:eastAsia="仿宋_GB2312" w:cs="宋体"/>
          <w:color w:val="auto"/>
          <w:kern w:val="0"/>
          <w:sz w:val="32"/>
          <w:szCs w:val="32"/>
          <w:highlight w:val="none"/>
        </w:rPr>
        <w:t>费、绩效工资、奖励金。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FF000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关于呼图壁县国有林管理中心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、关于呼图壁县国有林管理中心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国有林管理中心2024年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0万</w:t>
      </w:r>
      <w:r>
        <w:rPr>
          <w:rFonts w:hint="eastAsia" w:ascii="仿宋_GB2312" w:hAnsi="宋体" w:eastAsia="仿宋_GB2312" w:cs="宋体"/>
          <w:color w:val="auto"/>
          <w:kern w:val="0"/>
          <w:sz w:val="32"/>
          <w:szCs w:val="32"/>
          <w:highlight w:val="none"/>
        </w:rPr>
        <w:t>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 xml:space="preserve">0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呼图壁县国有林管理中心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2024年未安排此项预算，上年也未安排此项预算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1.房屋5250平方米，价值</w:t>
      </w:r>
      <w:r>
        <w:rPr>
          <w:rFonts w:hint="eastAsia" w:ascii="仿宋_GB2312" w:hAnsi="仿宋_GB2312" w:eastAsia="仿宋_GB2312" w:cs="仿宋_GB2312"/>
          <w:color w:val="auto"/>
          <w:kern w:val="0"/>
          <w:sz w:val="32"/>
          <w:szCs w:val="32"/>
          <w:highlight w:val="none"/>
          <w:lang w:val="en-US" w:eastAsia="zh-CN"/>
        </w:rPr>
        <w:t>172.43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26.36</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26.36</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eastAsia="仿宋_GB2312"/>
          <w:sz w:val="32"/>
          <w:szCs w:val="32"/>
          <w:lang w:eastAsia="zh-CN"/>
        </w:rPr>
        <w:t>6.06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整体预算绩效目标1个，涉及预算金额31.33万元。当年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keepNext w:val="0"/>
        <w:keepLines w:val="0"/>
        <w:pageBreakBefore w:val="0"/>
        <w:widowControl w:val="0"/>
        <w:numPr>
          <w:numId w:val="0"/>
        </w:numPr>
        <w:kinsoku/>
        <w:wordWrap/>
        <w:overflowPunct/>
        <w:topLinePunct w:val="0"/>
        <w:autoSpaceDE/>
        <w:autoSpaceDN/>
        <w:bidi w:val="0"/>
        <w:adjustRightInd/>
        <w:snapToGrid/>
        <w:spacing w:line="600" w:lineRule="exact"/>
        <w:ind w:leftChars="200"/>
        <w:jc w:val="both"/>
        <w:textAlignment w:val="auto"/>
        <w:rPr>
          <w:rFonts w:hint="default" w:ascii="仿宋_GB2312" w:hAnsi="仿宋_GB2312" w:eastAsia="仿宋_GB2312" w:cs="仿宋_GB2312"/>
          <w:b/>
          <w:color w:val="auto"/>
          <w:kern w:val="0"/>
          <w:sz w:val="32"/>
          <w:szCs w:val="32"/>
          <w:highlight w:val="none"/>
          <w:lang w:val="en-US" w:eastAsia="zh-CN"/>
        </w:rPr>
      </w:pP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呼图壁县国有林管理中心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刘洁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13669985795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提升林业人员专业素养</w:t>
            </w: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在已有林地面积基础上扩植新林地面积，提高林地种植成活率。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31.33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在职人数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林业面积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≤383公顷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树木成活率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bookmarkStart w:id="0" w:name="_GoBack"/>
      <w:bookmarkEnd w:id="0"/>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呼图壁县国有林管理中心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 xml:space="preserve">                         呼图壁县国有林管理中心</w:t>
      </w: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5C1E322C"/>
    <w:multiLevelType w:val="singleLevel"/>
    <w:tmpl w:val="5C1E322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wODQ1MDBmNWU0ZmQ1Y2ZkNzlkYTllMjg4NDQzN2UifQ=="/>
  </w:docVars>
  <w:rsids>
    <w:rsidRoot w:val="10587512"/>
    <w:rsid w:val="0096718C"/>
    <w:rsid w:val="00EE2224"/>
    <w:rsid w:val="0273010D"/>
    <w:rsid w:val="03DD6186"/>
    <w:rsid w:val="04267B2D"/>
    <w:rsid w:val="04F75026"/>
    <w:rsid w:val="05397FD9"/>
    <w:rsid w:val="070E6657"/>
    <w:rsid w:val="072E64F4"/>
    <w:rsid w:val="08450B28"/>
    <w:rsid w:val="0B247F12"/>
    <w:rsid w:val="0BC90CC1"/>
    <w:rsid w:val="0D6E5FD0"/>
    <w:rsid w:val="0E9208E7"/>
    <w:rsid w:val="0FA72783"/>
    <w:rsid w:val="10587512"/>
    <w:rsid w:val="10916BDA"/>
    <w:rsid w:val="12BB0F59"/>
    <w:rsid w:val="14375A98"/>
    <w:rsid w:val="15031551"/>
    <w:rsid w:val="16711BB4"/>
    <w:rsid w:val="1697741D"/>
    <w:rsid w:val="17090292"/>
    <w:rsid w:val="1732414C"/>
    <w:rsid w:val="174F0B5D"/>
    <w:rsid w:val="1BEB54C3"/>
    <w:rsid w:val="1C3C6084"/>
    <w:rsid w:val="1CEB6DC6"/>
    <w:rsid w:val="1D3E1AFE"/>
    <w:rsid w:val="1DBB07B3"/>
    <w:rsid w:val="1EB61656"/>
    <w:rsid w:val="20DD55C0"/>
    <w:rsid w:val="22270151"/>
    <w:rsid w:val="22DB78DD"/>
    <w:rsid w:val="244D65B8"/>
    <w:rsid w:val="2492221D"/>
    <w:rsid w:val="25CC20EF"/>
    <w:rsid w:val="26B4291F"/>
    <w:rsid w:val="26E769FA"/>
    <w:rsid w:val="27E912C3"/>
    <w:rsid w:val="293B2E83"/>
    <w:rsid w:val="29E15E23"/>
    <w:rsid w:val="2A012DF7"/>
    <w:rsid w:val="2AFC4894"/>
    <w:rsid w:val="2C6C5774"/>
    <w:rsid w:val="2CDE7196"/>
    <w:rsid w:val="2D480265"/>
    <w:rsid w:val="2D872804"/>
    <w:rsid w:val="2D977453"/>
    <w:rsid w:val="2EF22236"/>
    <w:rsid w:val="2F701A84"/>
    <w:rsid w:val="3158148E"/>
    <w:rsid w:val="348A1163"/>
    <w:rsid w:val="363F0EF0"/>
    <w:rsid w:val="384F4E04"/>
    <w:rsid w:val="3DCE7F5F"/>
    <w:rsid w:val="3E4B44BA"/>
    <w:rsid w:val="3FDF4D23"/>
    <w:rsid w:val="43C26223"/>
    <w:rsid w:val="43D8307E"/>
    <w:rsid w:val="44FD50A4"/>
    <w:rsid w:val="46CE3131"/>
    <w:rsid w:val="48142DC6"/>
    <w:rsid w:val="491174E8"/>
    <w:rsid w:val="494F7907"/>
    <w:rsid w:val="4ADB4FBB"/>
    <w:rsid w:val="4B11183E"/>
    <w:rsid w:val="4C0055E5"/>
    <w:rsid w:val="4C3677AE"/>
    <w:rsid w:val="4C706B3A"/>
    <w:rsid w:val="4DFE58E7"/>
    <w:rsid w:val="4FD757E3"/>
    <w:rsid w:val="51C15CED"/>
    <w:rsid w:val="52285DEB"/>
    <w:rsid w:val="52AD62F0"/>
    <w:rsid w:val="546308FE"/>
    <w:rsid w:val="577B187E"/>
    <w:rsid w:val="5840135F"/>
    <w:rsid w:val="5B8322E4"/>
    <w:rsid w:val="5E766130"/>
    <w:rsid w:val="5F2346ED"/>
    <w:rsid w:val="61086613"/>
    <w:rsid w:val="63544884"/>
    <w:rsid w:val="6408782B"/>
    <w:rsid w:val="649E3CEB"/>
    <w:rsid w:val="65322CBF"/>
    <w:rsid w:val="6621698D"/>
    <w:rsid w:val="68B82CC6"/>
    <w:rsid w:val="68CC52CB"/>
    <w:rsid w:val="68DE4FFE"/>
    <w:rsid w:val="694B58D7"/>
    <w:rsid w:val="69676DA1"/>
    <w:rsid w:val="69CE4E15"/>
    <w:rsid w:val="6B7F3246"/>
    <w:rsid w:val="6C317B60"/>
    <w:rsid w:val="6EF07839"/>
    <w:rsid w:val="6F63000B"/>
    <w:rsid w:val="7056191E"/>
    <w:rsid w:val="72B56DCF"/>
    <w:rsid w:val="734B7734"/>
    <w:rsid w:val="75B570E6"/>
    <w:rsid w:val="77A5457E"/>
    <w:rsid w:val="780A1873"/>
    <w:rsid w:val="787D11B8"/>
    <w:rsid w:val="792C5912"/>
    <w:rsid w:val="7B2F3FB4"/>
    <w:rsid w:val="7D527401"/>
    <w:rsid w:val="7E8B30DA"/>
    <w:rsid w:val="7FF00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pPr>
      <w:ind w:left="660"/>
    </w:pPr>
    <w:rPr>
      <w:sz w:val="32"/>
      <w:szCs w:val="32"/>
    </w:r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6115</Words>
  <Characters>6810</Characters>
  <Lines>0</Lines>
  <Paragraphs>0</Paragraphs>
  <TotalTime>0</TotalTime>
  <ScaleCrop>false</ScaleCrop>
  <LinksUpToDate>false</LinksUpToDate>
  <CharactersWithSpaces>8560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2024-07-23T10:42:56Z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