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p>
    <w:p>
      <w:pPr>
        <w:pStyle w:val="2"/>
        <w:rPr>
          <w:rFonts w:hint="eastAsia"/>
        </w:rPr>
      </w:pPr>
    </w:p>
    <w:p>
      <w:pPr>
        <w:pStyle w:val="2"/>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呼图壁县城市管理服务中心2024年预算公开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2024年呼图壁县城市管理综合服务中心概况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2024年呼图壁县城市管理综合服务中心预算公开表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一、呼图壁县城市管理综合服务中心收支总体情况表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二、呼图壁县城市管理综合服务中心收入总体情况表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三、呼图壁县城市管理综合服务中心支出总体情况表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2024年呼图壁县城市管理综合服务中心预算情况说明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一、关于呼图壁县城市管理综合服务中心2024年收支预算情况的总体说明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二、关于呼图壁县城市管理综合服务中心2024年收入预算情况说明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三、关于呼图壁县城市管理综合服务中心2024年支出预算情况说明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呼图壁县城市管理综合服务中心</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呼图壁县城市管理综合服务中心</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呼图壁县城市管理综合服务中心</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呼图壁县城市管理综合服务中心</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八、关于呼图壁县城市管理综合服务中心2024年政府性基金预算拨款情况说明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九、关于呼图壁县城市管理综合服务中心2024年国有资本经营预算拨款情况说明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十、关于呼图壁县城市管理综合服务中心2024年财政拨款“三公”经费预算情况说明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十一、关于呼图壁县城市管理综合服务中心2024年上年结转结余预算情况说明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3"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2024年呼图壁县城市管理综合服务中心概况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1"/>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要职能:城市管理综合服务中心主要负责城市环境卫生服务；清扫保洁作业、清扫、冰雪清除；垃圾清运、处置；公共市政设施维护；城区园林绿化、公园、道路绿地养护服务、病虫害防治服务及绿化监督管理；供热供气公用事业技术指导；代收卫生费、国有资产补偿及赔偿款；道路、街头游园量化美化，提升居民群众宜居生活环境。</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呼图壁县城市管理综合服务中心</w:t>
      </w:r>
      <w:r>
        <w:rPr>
          <w:rFonts w:hint="eastAsia" w:ascii="仿宋_GB2312" w:hAnsi="黑体" w:eastAsia="仿宋_GB2312" w:cs="宋体"/>
          <w:bCs/>
          <w:kern w:val="0"/>
          <w:sz w:val="32"/>
          <w:szCs w:val="32"/>
        </w:rPr>
        <w:t>无下属预算单位，下设5   个处室，分别是：</w:t>
      </w:r>
      <w:r>
        <w:rPr>
          <w:rFonts w:hint="eastAsia" w:ascii="仿宋" w:hAnsi="仿宋" w:eastAsia="仿宋" w:cs="仿宋"/>
          <w:sz w:val="32"/>
          <w:szCs w:val="32"/>
        </w:rPr>
        <w:t xml:space="preserve">综合科、公共设施维护科、设施设备科、供热燃气服务科、园林绿化服务科。 </w:t>
      </w:r>
    </w:p>
    <w:p>
      <w:pPr>
        <w:widowControl/>
        <w:spacing w:line="54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呼图壁县城市管理综合服务中心</w:t>
      </w:r>
      <w:r>
        <w:rPr>
          <w:rFonts w:hint="eastAsia" w:ascii="仿宋_GB2312" w:hAnsi="宋体" w:eastAsia="仿宋_GB2312" w:cs="宋体"/>
          <w:kern w:val="0"/>
          <w:sz w:val="32"/>
          <w:szCs w:val="32"/>
        </w:rPr>
        <w:t>编制数49，实有人数</w:t>
      </w:r>
      <w:r>
        <w:rPr>
          <w:rFonts w:hint="default" w:ascii="仿宋_GB2312" w:hAnsi="宋体" w:eastAsia="仿宋_GB2312" w:cs="宋体"/>
          <w:kern w:val="0"/>
          <w:sz w:val="32"/>
          <w:szCs w:val="32"/>
          <w:lang w:val="en-US"/>
        </w:rPr>
        <w:t>46</w:t>
      </w:r>
      <w:r>
        <w:rPr>
          <w:rFonts w:hint="eastAsia" w:ascii="仿宋_GB2312" w:hAnsi="宋体" w:eastAsia="仿宋_GB2312" w:cs="宋体"/>
          <w:kern w:val="0"/>
          <w:sz w:val="32"/>
          <w:szCs w:val="32"/>
        </w:rPr>
        <w:t>人，其中：在职46人，增加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0人；退休39人，增加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0人；离休0人，增加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0人。</w:t>
      </w:r>
    </w:p>
    <w:p>
      <w:pPr>
        <w:widowControl/>
        <w:spacing w:line="440" w:lineRule="exact"/>
        <w:jc w:val="center"/>
        <w:outlineLvl w:val="1"/>
        <w:rPr>
          <w:rFonts w:ascii="黑体" w:hAnsi="黑体" w:eastAsia="黑体"/>
          <w:kern w:val="0"/>
          <w:sz w:val="32"/>
          <w:szCs w:val="32"/>
        </w:rPr>
      </w:pPr>
      <w:r>
        <w:rPr>
          <w:rFonts w:hint="eastAsia" w:ascii="仿宋_GB2312" w:hAnsi="宋体" w:eastAsia="仿宋_GB2312" w:cs="宋体"/>
          <w:kern w:val="0"/>
          <w:sz w:val="32"/>
          <w:szCs w:val="32"/>
        </w:rPr>
        <w:t xml:space="preserve"> </w:t>
      </w: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w:t>
      </w:r>
      <w:r>
        <w:rPr>
          <w:rFonts w:hint="eastAsia" w:ascii="黑体" w:hAnsi="黑体" w:eastAsia="黑体"/>
          <w:kern w:val="0"/>
          <w:sz w:val="32"/>
          <w:szCs w:val="32"/>
        </w:rPr>
        <w:t>024年呼图壁县城市管理综合服务中心预算公开表</w:t>
      </w:r>
    </w:p>
    <w:p>
      <w:pPr>
        <w:widowControl/>
        <w:spacing w:line="240" w:lineRule="exact"/>
        <w:jc w:val="left"/>
        <w:textAlignment w:val="bottom"/>
        <w:rPr>
          <w:rFonts w:ascii="宋体" w:hAnsi="宋体" w:cs="宋体"/>
          <w:kern w:val="0"/>
          <w:sz w:val="20"/>
          <w:szCs w:val="20"/>
        </w:rPr>
      </w:pP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呼图壁县城市管理综合服务中心收支总体情况表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编制单位：呼图壁县城市管理综合服务中心           单位：万元                                        </w:t>
      </w:r>
    </w:p>
    <w:tbl>
      <w:tblPr>
        <w:tblStyle w:val="7"/>
        <w:tblW w:w="8662" w:type="dxa"/>
        <w:tblInd w:w="93" w:type="dxa"/>
        <w:tblLayout w:type="fixed"/>
        <w:tblCellMar>
          <w:top w:w="0" w:type="dxa"/>
          <w:left w:w="108" w:type="dxa"/>
          <w:bottom w:w="0" w:type="dxa"/>
          <w:right w:w="108" w:type="dxa"/>
        </w:tblCellMar>
      </w:tblPr>
      <w:tblGrid>
        <w:gridCol w:w="2992"/>
        <w:gridCol w:w="1668"/>
        <w:gridCol w:w="2353"/>
        <w:gridCol w:w="1649"/>
      </w:tblGrid>
      <w:tr>
        <w:tblPrEx>
          <w:tblLayout w:type="fixed"/>
          <w:tblCellMar>
            <w:top w:w="0" w:type="dxa"/>
            <w:left w:w="108" w:type="dxa"/>
            <w:bottom w:w="0" w:type="dxa"/>
            <w:right w:w="108" w:type="dxa"/>
          </w:tblCellMar>
        </w:tblPrEx>
        <w:trPr>
          <w:trHeight w:val="360" w:hRule="atLeast"/>
        </w:trPr>
        <w:tc>
          <w:tcPr>
            <w:tcW w:w="4660"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002"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66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35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4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kern w:val="0"/>
                <w:sz w:val="18"/>
                <w:szCs w:val="18"/>
                <w:lang w:val="en-US"/>
              </w:rPr>
            </w:pPr>
            <w:r>
              <w:rPr>
                <w:rFonts w:hint="default" w:ascii="仿宋_GB2312" w:hAnsi="宋体" w:eastAsia="仿宋_GB2312" w:cs="宋体"/>
                <w:kern w:val="0"/>
                <w:sz w:val="18"/>
                <w:szCs w:val="18"/>
                <w:highlight w:val="yellow"/>
                <w:lang w:val="en-US"/>
              </w:rPr>
              <w:t>3606.14</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2919</w:t>
            </w:r>
            <w:r>
              <w:rPr>
                <w:rFonts w:ascii="仿宋_GB2312" w:hAnsi="宋体" w:eastAsia="仿宋_GB2312" w:cs="宋体"/>
                <w:kern w:val="0"/>
                <w:sz w:val="18"/>
                <w:szCs w:val="18"/>
              </w:rPr>
              <w:t>.34</w:t>
            </w: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2919</w:t>
            </w:r>
            <w:r>
              <w:rPr>
                <w:rFonts w:ascii="仿宋_GB2312" w:hAnsi="宋体" w:eastAsia="仿宋_GB2312" w:cs="宋体"/>
                <w:kern w:val="0"/>
                <w:sz w:val="18"/>
                <w:szCs w:val="18"/>
              </w:rPr>
              <w:t>.34</w:t>
            </w: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66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194</w:t>
            </w:r>
            <w:r>
              <w:rPr>
                <w:rFonts w:ascii="仿宋_GB2312" w:hAnsi="宋体" w:eastAsia="仿宋_GB2312" w:cs="宋体"/>
                <w:kern w:val="0"/>
                <w:sz w:val="18"/>
                <w:szCs w:val="18"/>
              </w:rPr>
              <w:t>.</w:t>
            </w:r>
            <w:r>
              <w:rPr>
                <w:rFonts w:hint="eastAsia" w:ascii="仿宋_GB2312" w:hAnsi="宋体" w:eastAsia="仿宋_GB2312" w:cs="宋体"/>
                <w:kern w:val="0"/>
                <w:sz w:val="18"/>
                <w:szCs w:val="18"/>
              </w:rPr>
              <w:t>15</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5"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w:t>
            </w:r>
            <w:r>
              <w:rPr>
                <w:rFonts w:ascii="仿宋_GB2312" w:hAnsi="宋体" w:eastAsia="仿宋_GB2312" w:cs="宋体"/>
                <w:kern w:val="0"/>
                <w:sz w:val="18"/>
                <w:szCs w:val="18"/>
              </w:rPr>
              <w:t>.</w:t>
            </w:r>
            <w:r>
              <w:rPr>
                <w:rFonts w:hint="eastAsia" w:ascii="仿宋_GB2312" w:hAnsi="宋体" w:eastAsia="仿宋_GB2312" w:cs="宋体"/>
                <w:kern w:val="0"/>
                <w:sz w:val="18"/>
                <w:szCs w:val="18"/>
              </w:rPr>
              <w:t>8</w:t>
            </w:r>
            <w:r>
              <w:rPr>
                <w:rFonts w:ascii="仿宋_GB2312" w:hAnsi="宋体" w:eastAsia="仿宋_GB2312" w:cs="宋体"/>
                <w:kern w:val="0"/>
                <w:sz w:val="18"/>
                <w:szCs w:val="18"/>
              </w:rPr>
              <w:t>5</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686</w:t>
            </w:r>
            <w:r>
              <w:rPr>
                <w:rFonts w:ascii="仿宋_GB2312" w:hAnsi="宋体" w:eastAsia="仿宋_GB2312" w:cs="宋体"/>
                <w:kern w:val="0"/>
                <w:sz w:val="18"/>
                <w:szCs w:val="18"/>
              </w:rPr>
              <w:t>.</w:t>
            </w:r>
            <w:r>
              <w:rPr>
                <w:rFonts w:hint="eastAsia" w:ascii="仿宋_GB2312" w:hAnsi="宋体" w:eastAsia="仿宋_GB2312" w:cs="宋体"/>
                <w:kern w:val="0"/>
                <w:sz w:val="18"/>
                <w:szCs w:val="18"/>
              </w:rPr>
              <w:t>80</w:t>
            </w:r>
            <w:r>
              <w:rPr>
                <w:rFonts w:ascii="仿宋_GB2312" w:hAnsi="宋体" w:eastAsia="仿宋_GB2312" w:cs="宋体"/>
                <w:kern w:val="0"/>
                <w:sz w:val="18"/>
                <w:szCs w:val="18"/>
              </w:rPr>
              <w:t xml:space="preserve"> 686</w:t>
            </w:r>
            <w:r>
              <w:rPr>
                <w:rFonts w:hint="eastAsia" w:ascii="仿宋_GB2312" w:hAnsi="宋体" w:eastAsia="仿宋_GB2312" w:cs="宋体"/>
                <w:kern w:val="0"/>
                <w:sz w:val="18"/>
                <w:szCs w:val="18"/>
              </w:rPr>
              <w:t>686</w:t>
            </w:r>
            <w:r>
              <w:rPr>
                <w:rFonts w:ascii="仿宋_GB2312" w:hAnsi="宋体" w:eastAsia="仿宋_GB2312" w:cs="宋体"/>
                <w:kern w:val="0"/>
                <w:sz w:val="18"/>
                <w:szCs w:val="18"/>
              </w:rPr>
              <w:t>.</w:t>
            </w:r>
            <w:r>
              <w:rPr>
                <w:rFonts w:hint="eastAsia" w:ascii="仿宋_GB2312" w:hAnsi="宋体" w:eastAsia="仿宋_GB2312" w:cs="宋体"/>
                <w:kern w:val="0"/>
                <w:sz w:val="18"/>
                <w:szCs w:val="18"/>
              </w:rPr>
              <w:t>8000.00</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3207</w:t>
            </w:r>
            <w:r>
              <w:rPr>
                <w:rFonts w:ascii="仿宋_GB2312" w:hAnsi="宋体" w:eastAsia="仿宋_GB2312" w:cs="宋体"/>
                <w:kern w:val="0"/>
                <w:sz w:val="18"/>
                <w:szCs w:val="18"/>
              </w:rPr>
              <w:t>.</w:t>
            </w:r>
            <w:r>
              <w:rPr>
                <w:rFonts w:hint="eastAsia" w:ascii="仿宋_GB2312" w:hAnsi="宋体" w:eastAsia="仿宋_GB2312" w:cs="宋体"/>
                <w:kern w:val="0"/>
                <w:sz w:val="18"/>
                <w:szCs w:val="18"/>
              </w:rPr>
              <w:t>44</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686</w:t>
            </w:r>
            <w:r>
              <w:rPr>
                <w:rFonts w:ascii="仿宋_GB2312" w:hAnsi="宋体" w:eastAsia="仿宋_GB2312" w:cs="宋体"/>
                <w:kern w:val="0"/>
                <w:sz w:val="18"/>
                <w:szCs w:val="18"/>
              </w:rPr>
              <w:t>.</w:t>
            </w:r>
            <w:r>
              <w:rPr>
                <w:rFonts w:hint="eastAsia" w:ascii="仿宋_GB2312" w:hAnsi="宋体" w:eastAsia="仿宋_GB2312" w:cs="宋体"/>
                <w:kern w:val="0"/>
                <w:sz w:val="18"/>
                <w:szCs w:val="18"/>
              </w:rPr>
              <w:t>80</w:t>
            </w:r>
            <w:r>
              <w:rPr>
                <w:rFonts w:ascii="仿宋_GB2312" w:hAnsi="宋体" w:eastAsia="仿宋_GB2312" w:cs="宋体"/>
                <w:kern w:val="0"/>
                <w:sz w:val="18"/>
                <w:szCs w:val="18"/>
              </w:rPr>
              <w:t xml:space="preserve">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w:t>
            </w:r>
            <w:r>
              <w:rPr>
                <w:rFonts w:ascii="仿宋_GB2312" w:hAnsi="宋体" w:eastAsia="仿宋_GB2312" w:cs="宋体"/>
                <w:kern w:val="0"/>
                <w:sz w:val="18"/>
                <w:szCs w:val="18"/>
              </w:rPr>
              <w:t>.70</w:t>
            </w: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 xml:space="preserve">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296"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66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35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6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64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6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35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64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2992"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6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3606</w:t>
            </w:r>
            <w:r>
              <w:rPr>
                <w:rFonts w:ascii="仿宋_GB2312" w:hAnsi="宋体" w:eastAsia="仿宋_GB2312" w:cs="宋体"/>
                <w:b/>
                <w:bCs/>
                <w:kern w:val="0"/>
                <w:sz w:val="20"/>
                <w:szCs w:val="20"/>
              </w:rPr>
              <w:t xml:space="preserve">.14 </w:t>
            </w:r>
          </w:p>
        </w:tc>
        <w:tc>
          <w:tcPr>
            <w:tcW w:w="235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64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3606</w:t>
            </w:r>
            <w:r>
              <w:rPr>
                <w:rFonts w:ascii="仿宋_GB2312" w:hAnsi="宋体" w:eastAsia="仿宋_GB2312" w:cs="宋体"/>
                <w:b/>
                <w:bCs/>
                <w:kern w:val="0"/>
                <w:sz w:val="20"/>
                <w:szCs w:val="20"/>
              </w:rPr>
              <w:t>.</w:t>
            </w:r>
            <w:r>
              <w:rPr>
                <w:rFonts w:hint="eastAsia" w:ascii="仿宋_GB2312" w:hAnsi="宋体" w:eastAsia="仿宋_GB2312" w:cs="宋体"/>
                <w:b/>
                <w:bCs/>
                <w:kern w:val="0"/>
                <w:sz w:val="20"/>
                <w:szCs w:val="20"/>
              </w:rPr>
              <w:t>1</w:t>
            </w:r>
            <w:r>
              <w:rPr>
                <w:rFonts w:ascii="仿宋_GB2312" w:hAnsi="宋体" w:eastAsia="仿宋_GB2312" w:cs="宋体"/>
                <w:b/>
                <w:bCs/>
                <w:kern w:val="0"/>
                <w:sz w:val="20"/>
                <w:szCs w:val="20"/>
              </w:rPr>
              <w:t>4</w:t>
            </w:r>
            <w:r>
              <w:rPr>
                <w:rFonts w:hint="eastAsia" w:ascii="仿宋_GB2312" w:hAnsi="宋体" w:eastAsia="仿宋_GB2312" w:cs="宋体"/>
                <w:b/>
                <w:bCs/>
                <w:kern w:val="0"/>
                <w:sz w:val="20"/>
                <w:szCs w:val="20"/>
              </w:rPr>
              <w:t>　</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呼图壁县城市管理综合服务中心收入总体情况表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编制单位：呼图壁县城市管理综合服务中心                  单位：万元                                             </w:t>
      </w:r>
    </w:p>
    <w:tbl>
      <w:tblPr>
        <w:tblStyle w:val="7"/>
        <w:tblW w:w="10015" w:type="dxa"/>
        <w:tblInd w:w="-450" w:type="dxa"/>
        <w:tblLayout w:type="fixed"/>
        <w:tblCellMar>
          <w:top w:w="0" w:type="dxa"/>
          <w:left w:w="108" w:type="dxa"/>
          <w:bottom w:w="0" w:type="dxa"/>
          <w:right w:w="108" w:type="dxa"/>
        </w:tblCellMar>
      </w:tblPr>
      <w:tblGrid>
        <w:gridCol w:w="490"/>
        <w:gridCol w:w="417"/>
        <w:gridCol w:w="404"/>
        <w:gridCol w:w="1303"/>
        <w:gridCol w:w="875"/>
        <w:gridCol w:w="893"/>
        <w:gridCol w:w="929"/>
        <w:gridCol w:w="607"/>
        <w:gridCol w:w="268"/>
        <w:gridCol w:w="589"/>
        <w:gridCol w:w="458"/>
        <w:gridCol w:w="684"/>
        <w:gridCol w:w="593"/>
        <w:gridCol w:w="818"/>
        <w:gridCol w:w="309"/>
        <w:gridCol w:w="378"/>
      </w:tblGrid>
      <w:tr>
        <w:tblPrEx>
          <w:tblLayout w:type="fixed"/>
          <w:tblCellMar>
            <w:top w:w="0" w:type="dxa"/>
            <w:left w:w="108" w:type="dxa"/>
            <w:bottom w:w="0" w:type="dxa"/>
            <w:right w:w="108" w:type="dxa"/>
          </w:tblCellMar>
        </w:tblPrEx>
        <w:trPr>
          <w:trHeight w:val="848" w:hRule="atLeast"/>
        </w:trPr>
        <w:tc>
          <w:tcPr>
            <w:tcW w:w="131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3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428"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5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1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3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3113" w:hRule="atLeast"/>
        </w:trPr>
        <w:tc>
          <w:tcPr>
            <w:tcW w:w="490"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04"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130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9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92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0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26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58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5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8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59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1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7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672"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ascii="仿宋_GB2312" w:eastAsia="仿宋_GB2312"/>
                <w:sz w:val="18"/>
                <w:szCs w:val="18"/>
              </w:rPr>
              <w:t>208</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hAnsi="宋体" w:eastAsia="仿宋_GB2312" w:cs="宋体"/>
                <w:sz w:val="18"/>
                <w:szCs w:val="18"/>
              </w:rPr>
              <w:t>社会保障和就业支出</w:t>
            </w:r>
          </w:p>
        </w:tc>
        <w:tc>
          <w:tcPr>
            <w:tcW w:w="875" w:type="dxa"/>
            <w:tcBorders>
              <w:top w:val="nil"/>
              <w:left w:val="nil"/>
              <w:bottom w:val="single" w:color="auto" w:sz="4" w:space="0"/>
              <w:right w:val="single" w:color="auto" w:sz="4" w:space="0"/>
            </w:tcBorders>
            <w:shd w:val="clear" w:color="000000" w:fill="FFFFFF"/>
            <w:vAlign w:val="center"/>
          </w:tcPr>
          <w:p>
            <w:pPr>
              <w:rPr>
                <w:rFonts w:ascii="仿宋_GB2312" w:eastAsia="仿宋_GB2312"/>
                <w:sz w:val="18"/>
                <w:szCs w:val="18"/>
              </w:rPr>
            </w:pPr>
            <w:r>
              <w:rPr>
                <w:rFonts w:ascii="仿宋_GB2312" w:eastAsia="仿宋_GB2312"/>
                <w:sz w:val="18"/>
                <w:szCs w:val="18"/>
              </w:rPr>
              <w:t xml:space="preserve">194.15 </w:t>
            </w:r>
          </w:p>
        </w:tc>
        <w:tc>
          <w:tcPr>
            <w:tcW w:w="893" w:type="dxa"/>
            <w:tcBorders>
              <w:top w:val="nil"/>
              <w:left w:val="nil"/>
              <w:bottom w:val="single" w:color="auto" w:sz="4" w:space="0"/>
              <w:right w:val="single" w:color="auto" w:sz="4" w:space="0"/>
            </w:tcBorders>
            <w:shd w:val="clear" w:color="000000" w:fill="FFFFFF"/>
            <w:vAlign w:val="center"/>
          </w:tcPr>
          <w:p>
            <w:pPr>
              <w:rPr>
                <w:rFonts w:ascii="仿宋_GB2312" w:eastAsia="仿宋_GB2312"/>
                <w:sz w:val="18"/>
                <w:szCs w:val="18"/>
              </w:rPr>
            </w:pPr>
            <w:r>
              <w:rPr>
                <w:rFonts w:ascii="仿宋_GB2312" w:eastAsia="仿宋_GB2312"/>
                <w:sz w:val="18"/>
                <w:szCs w:val="18"/>
              </w:rPr>
              <w:t xml:space="preserve">103.15 </w:t>
            </w:r>
          </w:p>
        </w:tc>
        <w:tc>
          <w:tcPr>
            <w:tcW w:w="929"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r>
              <w:rPr>
                <w:rFonts w:ascii="仿宋_GB2312" w:hAnsi="宋体" w:eastAsia="仿宋_GB2312" w:cs="宋体"/>
                <w:sz w:val="18"/>
                <w:szCs w:val="18"/>
              </w:rPr>
              <w:t xml:space="preserve">103.15 </w:t>
            </w:r>
          </w:p>
        </w:tc>
        <w:tc>
          <w:tcPr>
            <w:tcW w:w="607"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shd w:val="clear" w:color="000000" w:fill="FFFFFF"/>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shd w:val="clear" w:color="000000" w:fill="FFFFFF"/>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shd w:val="clear" w:color="000000" w:fill="FFFFFF"/>
            <w:vAlign w:val="center"/>
          </w:tcPr>
          <w:p>
            <w:pPr>
              <w:rPr>
                <w:rFonts w:ascii="仿宋_GB2312" w:eastAsia="仿宋_GB2312"/>
                <w:sz w:val="18"/>
                <w:szCs w:val="18"/>
              </w:rPr>
            </w:pPr>
            <w:r>
              <w:rPr>
                <w:rFonts w:ascii="仿宋_GB2312" w:eastAsia="仿宋_GB2312"/>
                <w:sz w:val="18"/>
                <w:szCs w:val="18"/>
              </w:rPr>
              <w:t xml:space="preserve">91.00 </w:t>
            </w:r>
          </w:p>
        </w:tc>
        <w:tc>
          <w:tcPr>
            <w:tcW w:w="309" w:type="dxa"/>
            <w:tcBorders>
              <w:top w:val="nil"/>
              <w:left w:val="single" w:color="auto" w:sz="4" w:space="0"/>
              <w:bottom w:val="single" w:color="auto" w:sz="4" w:space="0"/>
              <w:right w:val="single" w:color="auto" w:sz="4" w:space="0"/>
            </w:tcBorders>
            <w:shd w:val="clear" w:color="000000" w:fill="FFFFFF"/>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shd w:val="clear" w:color="000000" w:fill="FFFFFF"/>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40"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208</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05</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194.15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103.15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103.15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91.00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90"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208</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05</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02</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事业单位离退休</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62.92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32.92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32.92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30.00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796"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208</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05</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05</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机关事业单位基本养老保险缴费支出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108.23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70.23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70.23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38.00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796"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208</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05</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06</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机关事业单位职业年金缴费支出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23.00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0.00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0.00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23.00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31"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210</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 xml:space="preserve"> </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85.85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45.05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45.05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40.80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40"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210</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11</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行政事业单位医疗</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85.85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45.05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45.05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40.80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731"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210</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11</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02</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事业单位医疗</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55.11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35.11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35.11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707"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210</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11</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03</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公务员医疗补助</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25.46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9.66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9.66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15.80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23"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210</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11</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99</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其他行政事业单位医疗支出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5.28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0.28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0.28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74"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212</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3207.44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2712.44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2712.44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495.00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07"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212</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03</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城乡社区公共设施</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480.00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480.00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480.00 </w:t>
            </w:r>
          </w:p>
        </w:tc>
        <w:tc>
          <w:tcPr>
            <w:tcW w:w="607"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56"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212</w:t>
            </w:r>
            <w:r>
              <w:rPr>
                <w:rFonts w:hint="eastAsia" w:ascii="仿宋_GB2312" w:eastAsia="仿宋_GB2312"/>
                <w:sz w:val="18"/>
                <w:szCs w:val="18"/>
              </w:rPr>
              <w:t>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03</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99</w:t>
            </w: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其他城乡社区公共设施支出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480.00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480.00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480.00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73"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212</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05</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城乡社区环境卫生</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2727.44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2232.44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2232.44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89"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5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68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495.00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540"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212</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05</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01</w:t>
            </w: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城乡社区环境卫生</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2727.44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2232.44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2232.44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89"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5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68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495.00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31" w:hRule="atLeast"/>
        </w:trPr>
        <w:tc>
          <w:tcPr>
            <w:tcW w:w="4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221</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eastAsia="仿宋_GB2312"/>
                <w:sz w:val="18"/>
                <w:szCs w:val="18"/>
              </w:rPr>
              <w:t xml:space="preserve"> </w:t>
            </w:r>
            <w:r>
              <w:rPr>
                <w:rFonts w:hint="eastAsia" w:ascii="仿宋_GB2312" w:eastAsia="仿宋_GB2312"/>
                <w:sz w:val="18"/>
                <w:szCs w:val="18"/>
              </w:rPr>
              <w:t>　</w:t>
            </w:r>
          </w:p>
        </w:tc>
        <w:tc>
          <w:tcPr>
            <w:tcW w:w="40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住房保障支出</w:t>
            </w:r>
          </w:p>
        </w:tc>
        <w:tc>
          <w:tcPr>
            <w:tcW w:w="87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118.70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58.70 </w:t>
            </w:r>
          </w:p>
        </w:tc>
        <w:tc>
          <w:tcPr>
            <w:tcW w:w="92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ascii="仿宋_GB2312" w:hAnsi="宋体" w:eastAsia="仿宋_GB2312" w:cs="宋体"/>
                <w:sz w:val="18"/>
                <w:szCs w:val="18"/>
              </w:rPr>
              <w:t xml:space="preserve">58.70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89"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5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684"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60.00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554"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221</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02</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875" w:type="dxa"/>
            <w:tcBorders>
              <w:top w:val="nil"/>
              <w:left w:val="nil"/>
              <w:bottom w:val="single" w:color="auto" w:sz="4" w:space="0"/>
              <w:right w:val="single" w:color="auto" w:sz="4" w:space="0"/>
            </w:tcBorders>
            <w:vAlign w:val="center"/>
          </w:tcPr>
          <w:p>
            <w:pPr>
              <w:widowControl/>
              <w:textAlignment w:val="top"/>
              <w:rPr>
                <w:rFonts w:ascii="仿宋_GB2312" w:eastAsia="仿宋_GB2312"/>
                <w:sz w:val="18"/>
                <w:szCs w:val="18"/>
              </w:rPr>
            </w:pPr>
            <w:r>
              <w:rPr>
                <w:rFonts w:ascii="仿宋_GB2312" w:eastAsia="仿宋_GB2312"/>
                <w:sz w:val="18"/>
                <w:szCs w:val="18"/>
              </w:rPr>
              <w:t xml:space="preserve">118.70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58.70 </w:t>
            </w:r>
          </w:p>
        </w:tc>
        <w:tc>
          <w:tcPr>
            <w:tcW w:w="929"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58.70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89"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5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68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60.00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664" w:hRule="atLeast"/>
        </w:trPr>
        <w:tc>
          <w:tcPr>
            <w:tcW w:w="490"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221</w:t>
            </w:r>
          </w:p>
        </w:tc>
        <w:tc>
          <w:tcPr>
            <w:tcW w:w="417"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02</w:t>
            </w:r>
          </w:p>
        </w:tc>
        <w:tc>
          <w:tcPr>
            <w:tcW w:w="404"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01</w:t>
            </w:r>
          </w:p>
        </w:tc>
        <w:tc>
          <w:tcPr>
            <w:tcW w:w="130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875" w:type="dxa"/>
            <w:tcBorders>
              <w:top w:val="nil"/>
              <w:left w:val="nil"/>
              <w:bottom w:val="single" w:color="auto" w:sz="4" w:space="0"/>
              <w:right w:val="single" w:color="auto" w:sz="4" w:space="0"/>
            </w:tcBorders>
            <w:vAlign w:val="center"/>
          </w:tcPr>
          <w:p>
            <w:pPr>
              <w:widowControl/>
              <w:textAlignment w:val="top"/>
              <w:rPr>
                <w:rFonts w:ascii="仿宋_GB2312" w:eastAsia="仿宋_GB2312"/>
                <w:sz w:val="18"/>
                <w:szCs w:val="18"/>
              </w:rPr>
            </w:pPr>
            <w:r>
              <w:rPr>
                <w:rFonts w:ascii="仿宋_GB2312" w:eastAsia="仿宋_GB2312"/>
                <w:sz w:val="18"/>
                <w:szCs w:val="18"/>
              </w:rPr>
              <w:t xml:space="preserve">118.70 </w:t>
            </w:r>
          </w:p>
        </w:tc>
        <w:tc>
          <w:tcPr>
            <w:tcW w:w="893"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58.70 </w:t>
            </w:r>
          </w:p>
        </w:tc>
        <w:tc>
          <w:tcPr>
            <w:tcW w:w="929"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58.70 </w:t>
            </w:r>
          </w:p>
        </w:tc>
        <w:tc>
          <w:tcPr>
            <w:tcW w:w="607"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p>
        </w:tc>
        <w:tc>
          <w:tcPr>
            <w:tcW w:w="26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89"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58"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684"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93"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81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r>
              <w:rPr>
                <w:rFonts w:ascii="仿宋_GB2312" w:eastAsia="仿宋_GB2312"/>
                <w:sz w:val="18"/>
                <w:szCs w:val="18"/>
              </w:rPr>
              <w:t xml:space="preserve">60.00 </w:t>
            </w:r>
          </w:p>
        </w:tc>
        <w:tc>
          <w:tcPr>
            <w:tcW w:w="309"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nil"/>
              <w:left w:val="single" w:color="auto" w:sz="4" w:space="0"/>
              <w:bottom w:val="single" w:color="auto" w:sz="4" w:space="0"/>
              <w:right w:val="single" w:color="auto" w:sz="4" w:space="0"/>
            </w:tcBorders>
            <w:vAlign w:val="center"/>
          </w:tcPr>
          <w:p>
            <w:pPr>
              <w:rPr>
                <w:rFonts w:ascii="仿宋_GB2312" w:eastAsia="仿宋_GB2312"/>
                <w:sz w:val="18"/>
                <w:szCs w:val="18"/>
              </w:rPr>
            </w:pPr>
          </w:p>
        </w:tc>
      </w:tr>
      <w:tr>
        <w:tblPrEx>
          <w:tblLayout w:type="fixed"/>
          <w:tblCellMar>
            <w:top w:w="0" w:type="dxa"/>
            <w:left w:w="108" w:type="dxa"/>
            <w:bottom w:w="0" w:type="dxa"/>
            <w:right w:w="108" w:type="dxa"/>
          </w:tblCellMar>
        </w:tblPrEx>
        <w:trPr>
          <w:trHeight w:val="717" w:hRule="atLeast"/>
        </w:trPr>
        <w:tc>
          <w:tcPr>
            <w:tcW w:w="490"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17" w:type="dxa"/>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404" w:type="dxa"/>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1303" w:type="dxa"/>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b/>
                <w:bCs/>
                <w:sz w:val="18"/>
                <w:szCs w:val="18"/>
              </w:rPr>
              <w:t>合  计</w:t>
            </w:r>
            <w:r>
              <w:rPr>
                <w:rFonts w:hint="eastAsia" w:ascii="仿宋_GB2312" w:eastAsia="仿宋_GB2312"/>
                <w:sz w:val="18"/>
                <w:szCs w:val="18"/>
              </w:rPr>
              <w:t>　</w:t>
            </w:r>
          </w:p>
        </w:tc>
        <w:tc>
          <w:tcPr>
            <w:tcW w:w="875"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3606.14</w:t>
            </w:r>
          </w:p>
        </w:tc>
        <w:tc>
          <w:tcPr>
            <w:tcW w:w="893"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2919.34</w:t>
            </w:r>
          </w:p>
        </w:tc>
        <w:tc>
          <w:tcPr>
            <w:tcW w:w="929"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2919.34</w:t>
            </w:r>
          </w:p>
        </w:tc>
        <w:tc>
          <w:tcPr>
            <w:tcW w:w="607"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p>
        </w:tc>
        <w:tc>
          <w:tcPr>
            <w:tcW w:w="268"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p>
        </w:tc>
        <w:tc>
          <w:tcPr>
            <w:tcW w:w="589"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p>
        </w:tc>
        <w:tc>
          <w:tcPr>
            <w:tcW w:w="458"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p>
        </w:tc>
        <w:tc>
          <w:tcPr>
            <w:tcW w:w="684"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18"/>
                <w:szCs w:val="18"/>
              </w:rPr>
            </w:pPr>
          </w:p>
        </w:tc>
        <w:tc>
          <w:tcPr>
            <w:tcW w:w="59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686.80</w:t>
            </w:r>
          </w:p>
        </w:tc>
        <w:tc>
          <w:tcPr>
            <w:tcW w:w="309" w:type="dxa"/>
            <w:tcBorders>
              <w:top w:val="single" w:color="auto" w:sz="4" w:space="0"/>
              <w:left w:val="single" w:color="auto" w:sz="4" w:space="0"/>
              <w:bottom w:val="single" w:color="auto" w:sz="4" w:space="0"/>
              <w:right w:val="single" w:color="auto" w:sz="4" w:space="0"/>
            </w:tcBorders>
            <w:vAlign w:val="center"/>
          </w:tcPr>
          <w:p>
            <w:pPr>
              <w:rPr>
                <w:rFonts w:ascii="仿宋_GB2312" w:eastAsia="仿宋_GB2312"/>
                <w:sz w:val="18"/>
                <w:szCs w:val="18"/>
              </w:rPr>
            </w:pPr>
          </w:p>
        </w:tc>
        <w:tc>
          <w:tcPr>
            <w:tcW w:w="378" w:type="dxa"/>
            <w:tcBorders>
              <w:top w:val="single" w:color="auto" w:sz="4" w:space="0"/>
              <w:left w:val="single" w:color="auto" w:sz="4" w:space="0"/>
              <w:bottom w:val="single" w:color="auto" w:sz="4" w:space="0"/>
              <w:right w:val="single" w:color="auto" w:sz="4" w:space="0"/>
            </w:tcBorders>
            <w:vAlign w:val="center"/>
          </w:tcPr>
          <w:p>
            <w:pPr>
              <w:rPr>
                <w:rFonts w:ascii="仿宋_GB2312" w:eastAsia="仿宋_GB2312"/>
                <w:sz w:val="18"/>
                <w:szCs w:val="18"/>
              </w:rPr>
            </w:pPr>
          </w:p>
        </w:tc>
      </w:tr>
    </w:tbl>
    <w:p>
      <w:pPr>
        <w:widowControl/>
        <w:spacing w:line="360" w:lineRule="exact"/>
        <w:jc w:val="left"/>
        <w:outlineLvl w:val="1"/>
        <w:rPr>
          <w:rFonts w:ascii="宋体" w:hAnsi="宋体" w:cs="宋体"/>
          <w:kern w:val="0"/>
          <w:sz w:val="18"/>
          <w:szCs w:val="18"/>
        </w:rPr>
      </w:pPr>
      <w:r>
        <w:rPr>
          <w:rFonts w:ascii="仿宋_GB2312" w:hAnsi="宋体" w:eastAsia="仿宋_GB2312"/>
          <w:b/>
          <w:kern w:val="0"/>
          <w:sz w:val="18"/>
          <w:szCs w:val="18"/>
        </w:rPr>
        <w:t xml:space="preserve"> </w:t>
      </w: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18"/>
          <w:szCs w:val="18"/>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宋体" w:hAnsi="宋体" w:cs="宋体"/>
          <w:kern w:val="0"/>
          <w:sz w:val="20"/>
          <w:szCs w:val="20"/>
        </w:rPr>
      </w:pPr>
    </w:p>
    <w:p>
      <w:pPr>
        <w:pStyle w:val="2"/>
      </w:pPr>
    </w:p>
    <w:p>
      <w:pPr>
        <w:widowControl/>
        <w:spacing w:line="360" w:lineRule="exact"/>
        <w:jc w:val="left"/>
        <w:outlineLvl w:val="1"/>
        <w:rPr>
          <w:rFonts w:ascii="宋体" w:hAnsi="宋体" w:cs="宋体"/>
          <w:kern w:val="0"/>
          <w:sz w:val="20"/>
          <w:szCs w:val="20"/>
        </w:rPr>
      </w:pPr>
    </w:p>
    <w:p>
      <w:pPr>
        <w:widowControl/>
        <w:spacing w:line="360" w:lineRule="exact"/>
        <w:jc w:val="left"/>
        <w:outlineLvl w:val="1"/>
        <w:rPr>
          <w:rFonts w:ascii="仿宋_GB2312" w:hAnsi="宋体" w:eastAsia="仿宋_GB2312"/>
          <w:b/>
          <w:kern w:val="0"/>
          <w:sz w:val="32"/>
          <w:szCs w:val="32"/>
        </w:rPr>
      </w:pPr>
      <w:r>
        <w:rPr>
          <w:rFonts w:hint="eastAsia" w:ascii="宋体" w:hAnsi="宋体" w:cs="宋体"/>
          <w:kern w:val="0"/>
          <w:sz w:val="20"/>
          <w:szCs w:val="20"/>
        </w:rPr>
        <w:t>表3</w:t>
      </w:r>
      <w:r>
        <w:rPr>
          <w:rFonts w:ascii="宋体" w:hAnsi="宋体" w:cs="宋体"/>
          <w:kern w:val="0"/>
          <w:sz w:val="20"/>
          <w:szCs w:val="20"/>
        </w:rPr>
        <w:t xml:space="preserve"> </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呼图壁县城市管理综合服务中心支出总体情况表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编制单位：呼图壁县城市管理综合服务中心                   单位：万元                                              </w:t>
      </w:r>
    </w:p>
    <w:tbl>
      <w:tblPr>
        <w:tblStyle w:val="7"/>
        <w:tblW w:w="9399" w:type="dxa"/>
        <w:tblInd w:w="-240" w:type="dxa"/>
        <w:tblLayout w:type="fixed"/>
        <w:tblCellMar>
          <w:top w:w="0" w:type="dxa"/>
          <w:left w:w="108" w:type="dxa"/>
          <w:bottom w:w="0" w:type="dxa"/>
          <w:right w:w="108" w:type="dxa"/>
        </w:tblCellMar>
      </w:tblPr>
      <w:tblGrid>
        <w:gridCol w:w="531"/>
        <w:gridCol w:w="426"/>
        <w:gridCol w:w="426"/>
        <w:gridCol w:w="2513"/>
        <w:gridCol w:w="1819"/>
        <w:gridCol w:w="1820"/>
        <w:gridCol w:w="1864"/>
      </w:tblGrid>
      <w:tr>
        <w:tblPrEx>
          <w:tblLayout w:type="fixed"/>
          <w:tblCellMar>
            <w:top w:w="0" w:type="dxa"/>
            <w:left w:w="108" w:type="dxa"/>
            <w:bottom w:w="0" w:type="dxa"/>
            <w:right w:w="108" w:type="dxa"/>
          </w:tblCellMar>
        </w:tblPrEx>
        <w:trPr>
          <w:trHeight w:val="347" w:hRule="atLeast"/>
        </w:trPr>
        <w:tc>
          <w:tcPr>
            <w:tcW w:w="389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03"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586" w:hRule="atLeast"/>
        </w:trPr>
        <w:tc>
          <w:tcPr>
            <w:tcW w:w="13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1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1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98"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1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1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208</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社会保障和就业支出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194.15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194.15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208</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行政事业单位养老支出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194.15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194.15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208</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02</w:t>
            </w: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事业单位离退休</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62.92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62.92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89"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208</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机关事业单位基本养老保险缴费支出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108.23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108.23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p>
        </w:tc>
      </w:tr>
      <w:tr>
        <w:tblPrEx>
          <w:tblLayout w:type="fixed"/>
          <w:tblCellMar>
            <w:top w:w="0" w:type="dxa"/>
            <w:left w:w="108" w:type="dxa"/>
            <w:bottom w:w="0" w:type="dxa"/>
            <w:right w:w="108" w:type="dxa"/>
          </w:tblCellMar>
        </w:tblPrEx>
        <w:trPr>
          <w:trHeight w:val="489"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208</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06</w:t>
            </w: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机关事业单位职业年金缴费支出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23.00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23.00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210</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卫生健康支出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85.85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85.85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210</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11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行政事业单位医疗</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85.85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85.85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210</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11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02</w:t>
            </w: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事业单位医疗</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55.11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55.11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210</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11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03</w:t>
            </w: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公务员医疗补助</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25.46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25.46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210</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11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99</w:t>
            </w: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其他行政事业单位医疗支出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5.28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5.28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212</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城乡社区支出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3207.44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2407.44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800.00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212</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03</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城乡社区公共设施</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480.00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480.00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212</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03</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99</w:t>
            </w: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其他城乡社区公共设施支出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480.00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r>
              <w:rPr>
                <w:rFonts w:hint="eastAsia" w:ascii="仿宋_GB2312" w:eastAsia="仿宋_GB2312"/>
                <w:szCs w:val="21"/>
              </w:rPr>
              <w:t xml:space="preserve">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480.00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212</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城乡社区环境卫生</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2727.44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2407.44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320.00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212</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05</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01</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城乡社区环境卫生</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2727.44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2407.44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320.00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221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住房保障支出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221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02</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住房改革支出</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 xml:space="preserve"> </w:t>
            </w: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221</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02</w:t>
            </w: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ascii="仿宋_GB2312" w:eastAsia="仿宋_GB2312"/>
                <w:szCs w:val="21"/>
              </w:rPr>
              <w:t>01</w:t>
            </w:r>
          </w:p>
        </w:tc>
        <w:tc>
          <w:tcPr>
            <w:tcW w:w="2513" w:type="dxa"/>
            <w:tcBorders>
              <w:top w:val="nil"/>
              <w:left w:val="nil"/>
              <w:bottom w:val="single" w:color="auto" w:sz="4" w:space="0"/>
              <w:right w:val="single" w:color="auto" w:sz="4" w:space="0"/>
            </w:tcBorders>
          </w:tcPr>
          <w:p>
            <w:pPr>
              <w:rPr>
                <w:rFonts w:ascii="仿宋_GB2312" w:eastAsia="仿宋_GB2312"/>
                <w:szCs w:val="21"/>
              </w:rPr>
            </w:pPr>
            <w:r>
              <w:rPr>
                <w:rFonts w:ascii="仿宋_GB2312" w:eastAsia="仿宋_GB2312"/>
                <w:szCs w:val="21"/>
              </w:rPr>
              <w:t>住房公积金</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118.70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p>
        </w:tc>
      </w:tr>
      <w:tr>
        <w:tblPrEx>
          <w:tblLayout w:type="fixed"/>
          <w:tblCellMar>
            <w:top w:w="0" w:type="dxa"/>
            <w:left w:w="108" w:type="dxa"/>
            <w:bottom w:w="0" w:type="dxa"/>
            <w:right w:w="108" w:type="dxa"/>
          </w:tblCellMar>
        </w:tblPrEx>
        <w:trPr>
          <w:trHeight w:val="426"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p>
        </w:tc>
      </w:tr>
      <w:tr>
        <w:tblPrEx>
          <w:tblLayout w:type="fixed"/>
          <w:tblCellMar>
            <w:top w:w="0" w:type="dxa"/>
            <w:left w:w="108" w:type="dxa"/>
            <w:bottom w:w="0" w:type="dxa"/>
            <w:right w:w="108" w:type="dxa"/>
          </w:tblCellMar>
        </w:tblPrEx>
        <w:trPr>
          <w:trHeight w:val="437" w:hRule="atLeast"/>
        </w:trPr>
        <w:tc>
          <w:tcPr>
            <w:tcW w:w="531" w:type="dxa"/>
            <w:tcBorders>
              <w:top w:val="nil"/>
              <w:left w:val="single" w:color="auto" w:sz="4" w:space="0"/>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426"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w:t>
            </w:r>
          </w:p>
        </w:tc>
        <w:tc>
          <w:tcPr>
            <w:tcW w:w="2513"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合  计</w:t>
            </w:r>
          </w:p>
        </w:tc>
        <w:tc>
          <w:tcPr>
            <w:tcW w:w="1819"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3606.14 </w:t>
            </w:r>
          </w:p>
        </w:tc>
        <w:tc>
          <w:tcPr>
            <w:tcW w:w="1820"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xml:space="preserve">2806.14 </w:t>
            </w:r>
          </w:p>
        </w:tc>
        <w:tc>
          <w:tcPr>
            <w:tcW w:w="1864" w:type="dxa"/>
            <w:tcBorders>
              <w:top w:val="nil"/>
              <w:left w:val="nil"/>
              <w:bottom w:val="single" w:color="auto" w:sz="4" w:space="0"/>
              <w:right w:val="single" w:color="auto" w:sz="4" w:space="0"/>
            </w:tcBorders>
            <w:vAlign w:val="center"/>
          </w:tcPr>
          <w:p>
            <w:pPr>
              <w:rPr>
                <w:rFonts w:ascii="仿宋_GB2312" w:eastAsia="仿宋_GB2312"/>
                <w:szCs w:val="21"/>
              </w:rPr>
            </w:pPr>
            <w:r>
              <w:rPr>
                <w:rFonts w:hint="eastAsia" w:ascii="仿宋_GB2312" w:eastAsia="仿宋_GB2312"/>
                <w:szCs w:val="21"/>
              </w:rPr>
              <w:t>　800</w:t>
            </w:r>
            <w:r>
              <w:rPr>
                <w:rFonts w:ascii="仿宋_GB2312" w:eastAsia="仿宋_GB2312"/>
                <w:szCs w:val="21"/>
              </w:rPr>
              <w:t>.0</w:t>
            </w:r>
            <w:r>
              <w:rPr>
                <w:rFonts w:hint="eastAsia" w:ascii="仿宋_GB2312" w:eastAsia="仿宋_GB2312"/>
                <w:szCs w:val="21"/>
              </w:rPr>
              <w:t>0</w:t>
            </w:r>
          </w:p>
        </w:tc>
      </w:tr>
    </w:tbl>
    <w:p>
      <w:pPr>
        <w:widowControl/>
        <w:jc w:val="left"/>
        <w:textAlignment w:val="bottom"/>
        <w:rPr>
          <w:rFonts w:ascii="仿宋_GB2312" w:hAnsi="宋体" w:eastAsia="仿宋_GB2312"/>
          <w:b/>
          <w:kern w:val="0"/>
          <w:sz w:val="28"/>
          <w:szCs w:val="32"/>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编制单位：呼图壁县城市管理综合服务中心           单位：万元                                          </w:t>
      </w:r>
    </w:p>
    <w:tbl>
      <w:tblPr>
        <w:tblStyle w:val="7"/>
        <w:tblW w:w="9449" w:type="dxa"/>
        <w:tblInd w:w="-240" w:type="dxa"/>
        <w:tblLayout w:type="fixed"/>
        <w:tblCellMar>
          <w:top w:w="0" w:type="dxa"/>
          <w:left w:w="108" w:type="dxa"/>
          <w:bottom w:w="0" w:type="dxa"/>
          <w:right w:w="108" w:type="dxa"/>
        </w:tblCellMar>
      </w:tblPr>
      <w:tblGrid>
        <w:gridCol w:w="1571"/>
        <w:gridCol w:w="1325"/>
        <w:gridCol w:w="2019"/>
        <w:gridCol w:w="1325"/>
        <w:gridCol w:w="1325"/>
        <w:gridCol w:w="942"/>
        <w:gridCol w:w="942"/>
      </w:tblGrid>
      <w:tr>
        <w:tblPrEx>
          <w:tblLayout w:type="fixed"/>
          <w:tblCellMar>
            <w:top w:w="0" w:type="dxa"/>
            <w:left w:w="108" w:type="dxa"/>
            <w:bottom w:w="0" w:type="dxa"/>
            <w:right w:w="108" w:type="dxa"/>
          </w:tblCellMar>
        </w:tblPrEx>
        <w:trPr>
          <w:trHeight w:val="285" w:hRule="atLeast"/>
        </w:trPr>
        <w:tc>
          <w:tcPr>
            <w:tcW w:w="289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53"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571"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25"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019"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1325"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325"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94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942"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2919</w:t>
            </w:r>
            <w:r>
              <w:rPr>
                <w:rFonts w:ascii="仿宋_GB2312" w:hAnsi="宋体" w:eastAsia="仿宋_GB2312" w:cs="宋体"/>
                <w:kern w:val="0"/>
                <w:sz w:val="18"/>
                <w:szCs w:val="18"/>
              </w:rPr>
              <w:t xml:space="preserve">.34 </w:t>
            </w: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2919</w:t>
            </w:r>
            <w:r>
              <w:rPr>
                <w:rFonts w:ascii="仿宋_GB2312" w:hAnsi="宋体" w:eastAsia="仿宋_GB2312" w:cs="宋体"/>
                <w:kern w:val="0"/>
                <w:sz w:val="18"/>
                <w:szCs w:val="18"/>
              </w:rPr>
              <w:t>.</w:t>
            </w:r>
            <w:r>
              <w:rPr>
                <w:rFonts w:hint="eastAsia" w:ascii="仿宋_GB2312" w:hAnsi="宋体" w:eastAsia="仿宋_GB2312" w:cs="宋体"/>
                <w:kern w:val="0"/>
                <w:sz w:val="18"/>
                <w:szCs w:val="18"/>
              </w:rPr>
              <w:t>3</w:t>
            </w:r>
            <w:r>
              <w:rPr>
                <w:rFonts w:ascii="仿宋_GB2312" w:hAnsi="宋体" w:eastAsia="仿宋_GB2312" w:cs="宋体"/>
                <w:kern w:val="0"/>
                <w:sz w:val="18"/>
                <w:szCs w:val="18"/>
              </w:rPr>
              <w:t>4</w:t>
            </w: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103</w:t>
            </w:r>
            <w:r>
              <w:rPr>
                <w:rFonts w:ascii="仿宋_GB2312" w:hAnsi="宋体" w:eastAsia="仿宋_GB2312" w:cs="宋体"/>
                <w:kern w:val="0"/>
                <w:sz w:val="18"/>
                <w:szCs w:val="18"/>
              </w:rPr>
              <w:t>.</w:t>
            </w:r>
            <w:r>
              <w:rPr>
                <w:rFonts w:hint="eastAsia" w:ascii="仿宋_GB2312" w:hAnsi="宋体" w:eastAsia="仿宋_GB2312" w:cs="宋体"/>
                <w:kern w:val="0"/>
                <w:sz w:val="18"/>
                <w:szCs w:val="18"/>
              </w:rPr>
              <w:t>15</w:t>
            </w:r>
            <w:r>
              <w:rPr>
                <w:rFonts w:ascii="仿宋_GB2312" w:hAnsi="宋体" w:eastAsia="仿宋_GB2312" w:cs="宋体"/>
                <w:kern w:val="0"/>
                <w:sz w:val="18"/>
                <w:szCs w:val="18"/>
              </w:rPr>
              <w:t xml:space="preserve"> </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103</w:t>
            </w:r>
            <w:r>
              <w:rPr>
                <w:rFonts w:ascii="仿宋_GB2312" w:hAnsi="宋体" w:eastAsia="仿宋_GB2312" w:cs="宋体"/>
                <w:kern w:val="0"/>
                <w:sz w:val="18"/>
                <w:szCs w:val="18"/>
              </w:rPr>
              <w:t>.</w:t>
            </w:r>
            <w:r>
              <w:rPr>
                <w:rFonts w:hint="eastAsia" w:ascii="仿宋_GB2312" w:hAnsi="宋体" w:eastAsia="仿宋_GB2312" w:cs="宋体"/>
                <w:kern w:val="0"/>
                <w:sz w:val="18"/>
                <w:szCs w:val="18"/>
              </w:rPr>
              <w:t>15</w:t>
            </w:r>
            <w:r>
              <w:rPr>
                <w:rFonts w:ascii="仿宋_GB2312" w:hAnsi="宋体" w:eastAsia="仿宋_GB2312" w:cs="宋体"/>
                <w:kern w:val="0"/>
                <w:sz w:val="18"/>
                <w:szCs w:val="18"/>
              </w:rPr>
              <w:t xml:space="preserve">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45</w:t>
            </w:r>
            <w:r>
              <w:rPr>
                <w:rFonts w:ascii="仿宋_GB2312" w:hAnsi="宋体" w:eastAsia="仿宋_GB2312" w:cs="宋体"/>
                <w:kern w:val="0"/>
                <w:sz w:val="18"/>
                <w:szCs w:val="18"/>
              </w:rPr>
              <w:t>.</w:t>
            </w:r>
            <w:r>
              <w:rPr>
                <w:rFonts w:hint="eastAsia" w:ascii="仿宋_GB2312" w:hAnsi="宋体" w:eastAsia="仿宋_GB2312" w:cs="宋体"/>
                <w:kern w:val="0"/>
                <w:sz w:val="18"/>
                <w:szCs w:val="18"/>
              </w:rPr>
              <w:t>0</w:t>
            </w:r>
            <w:r>
              <w:rPr>
                <w:rFonts w:ascii="仿宋_GB2312" w:hAnsi="宋体" w:eastAsia="仿宋_GB2312" w:cs="宋体"/>
                <w:kern w:val="0"/>
                <w:sz w:val="18"/>
                <w:szCs w:val="18"/>
              </w:rPr>
              <w:t>5</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45</w:t>
            </w:r>
            <w:r>
              <w:rPr>
                <w:rFonts w:ascii="仿宋_GB2312" w:hAnsi="宋体" w:eastAsia="仿宋_GB2312" w:cs="宋体"/>
                <w:kern w:val="0"/>
                <w:sz w:val="18"/>
                <w:szCs w:val="18"/>
              </w:rPr>
              <w:t>.</w:t>
            </w:r>
            <w:r>
              <w:rPr>
                <w:rFonts w:hint="eastAsia" w:ascii="仿宋_GB2312" w:hAnsi="宋体" w:eastAsia="仿宋_GB2312" w:cs="宋体"/>
                <w:kern w:val="0"/>
                <w:sz w:val="18"/>
                <w:szCs w:val="18"/>
              </w:rPr>
              <w:t>0</w:t>
            </w:r>
            <w:r>
              <w:rPr>
                <w:rFonts w:ascii="仿宋_GB2312" w:hAnsi="宋体" w:eastAsia="仿宋_GB2312" w:cs="宋体"/>
                <w:kern w:val="0"/>
                <w:sz w:val="18"/>
                <w:szCs w:val="18"/>
              </w:rPr>
              <w:t>5</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2712</w:t>
            </w:r>
            <w:r>
              <w:rPr>
                <w:rFonts w:ascii="仿宋_GB2312" w:hAnsi="宋体" w:eastAsia="仿宋_GB2312" w:cs="宋体"/>
                <w:kern w:val="0"/>
                <w:sz w:val="18"/>
                <w:szCs w:val="18"/>
              </w:rPr>
              <w:t>.</w:t>
            </w:r>
            <w:r>
              <w:rPr>
                <w:rFonts w:hint="eastAsia" w:ascii="仿宋_GB2312" w:hAnsi="宋体" w:eastAsia="仿宋_GB2312" w:cs="宋体"/>
                <w:kern w:val="0"/>
                <w:sz w:val="18"/>
                <w:szCs w:val="18"/>
              </w:rPr>
              <w:t>44</w:t>
            </w:r>
            <w:r>
              <w:rPr>
                <w:rFonts w:ascii="仿宋_GB2312" w:hAnsi="宋体" w:eastAsia="仿宋_GB2312" w:cs="宋体"/>
                <w:kern w:val="0"/>
                <w:sz w:val="18"/>
                <w:szCs w:val="18"/>
              </w:rPr>
              <w:t xml:space="preserve"> </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2712</w:t>
            </w:r>
            <w:r>
              <w:rPr>
                <w:rFonts w:ascii="仿宋_GB2312" w:hAnsi="宋体" w:eastAsia="仿宋_GB2312" w:cs="宋体"/>
                <w:kern w:val="0"/>
                <w:sz w:val="18"/>
                <w:szCs w:val="18"/>
              </w:rPr>
              <w:t>.</w:t>
            </w:r>
            <w:r>
              <w:rPr>
                <w:rFonts w:hint="eastAsia" w:ascii="仿宋_GB2312" w:hAnsi="宋体" w:eastAsia="仿宋_GB2312" w:cs="宋体"/>
                <w:kern w:val="0"/>
                <w:sz w:val="18"/>
                <w:szCs w:val="18"/>
              </w:rPr>
              <w:t>44</w:t>
            </w:r>
            <w:r>
              <w:rPr>
                <w:rFonts w:ascii="仿宋_GB2312" w:hAnsi="宋体" w:eastAsia="仿宋_GB2312" w:cs="宋体"/>
                <w:kern w:val="0"/>
                <w:sz w:val="18"/>
                <w:szCs w:val="18"/>
              </w:rPr>
              <w:t xml:space="preserve">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58</w:t>
            </w:r>
            <w:r>
              <w:rPr>
                <w:rFonts w:ascii="仿宋_GB2312" w:hAnsi="宋体" w:eastAsia="仿宋_GB2312" w:cs="宋体"/>
                <w:kern w:val="0"/>
                <w:sz w:val="18"/>
                <w:szCs w:val="18"/>
              </w:rPr>
              <w:t>.70</w:t>
            </w: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58</w:t>
            </w:r>
            <w:r>
              <w:rPr>
                <w:rFonts w:ascii="仿宋_GB2312" w:hAnsi="宋体" w:eastAsia="仿宋_GB2312" w:cs="宋体"/>
                <w:kern w:val="0"/>
                <w:sz w:val="18"/>
                <w:szCs w:val="18"/>
              </w:rPr>
              <w:t>.70</w:t>
            </w:r>
            <w:r>
              <w:rPr>
                <w:rFonts w:hint="eastAsia" w:ascii="仿宋_GB2312" w:hAnsi="宋体" w:eastAsia="仿宋_GB2312"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325"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57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2919</w:t>
            </w:r>
            <w:r>
              <w:rPr>
                <w:rFonts w:ascii="仿宋_GB2312" w:hAnsi="宋体" w:eastAsia="仿宋_GB2312" w:cs="宋体"/>
                <w:b/>
                <w:bCs/>
                <w:kern w:val="0"/>
                <w:sz w:val="20"/>
                <w:szCs w:val="20"/>
              </w:rPr>
              <w:t>.34</w:t>
            </w:r>
            <w:r>
              <w:rPr>
                <w:rFonts w:hint="eastAsia" w:ascii="仿宋_GB2312" w:hAnsi="宋体" w:eastAsia="仿宋_GB2312" w:cs="宋体"/>
                <w:b/>
                <w:bCs/>
                <w:kern w:val="0"/>
                <w:sz w:val="20"/>
                <w:szCs w:val="20"/>
              </w:rPr>
              <w:t>　</w:t>
            </w:r>
          </w:p>
        </w:tc>
        <w:tc>
          <w:tcPr>
            <w:tcW w:w="20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2919</w:t>
            </w:r>
            <w:r>
              <w:rPr>
                <w:rFonts w:ascii="仿宋_GB2312" w:hAnsi="宋体" w:eastAsia="仿宋_GB2312" w:cs="宋体"/>
                <w:b/>
                <w:bCs/>
                <w:kern w:val="0"/>
                <w:sz w:val="20"/>
                <w:szCs w:val="20"/>
              </w:rPr>
              <w:t>.34</w:t>
            </w:r>
          </w:p>
        </w:tc>
        <w:tc>
          <w:tcPr>
            <w:tcW w:w="132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2919</w:t>
            </w:r>
            <w:r>
              <w:rPr>
                <w:rFonts w:ascii="仿宋_GB2312" w:hAnsi="宋体" w:eastAsia="仿宋_GB2312" w:cs="宋体"/>
                <w:b/>
                <w:bCs/>
                <w:kern w:val="0"/>
                <w:sz w:val="20"/>
                <w:szCs w:val="20"/>
              </w:rPr>
              <w:t>.34</w:t>
            </w:r>
          </w:p>
        </w:tc>
        <w:tc>
          <w:tcPr>
            <w:tcW w:w="1884"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仿宋_GB2312" w:hAnsi="宋体" w:eastAsia="仿宋_GB2312"/>
          <w:b/>
          <w:kern w:val="0"/>
          <w:sz w:val="28"/>
          <w:szCs w:val="32"/>
        </w:rPr>
      </w:pPr>
      <w:r>
        <w:rPr>
          <w:rFonts w:ascii="仿宋_GB2312" w:hAnsi="宋体" w:eastAsia="仿宋_GB2312"/>
          <w:b/>
          <w:kern w:val="0"/>
          <w:sz w:val="28"/>
          <w:szCs w:val="32"/>
        </w:rPr>
        <w:t xml:space="preserve"> </w:t>
      </w:r>
    </w:p>
    <w:p>
      <w:pPr>
        <w:widowControl/>
        <w:jc w:val="left"/>
        <w:textAlignment w:val="bottom"/>
        <w:rPr>
          <w:rFonts w:ascii="宋体" w:hAnsi="宋体" w:cs="宋体"/>
          <w:kern w:val="0"/>
          <w:sz w:val="20"/>
          <w:szCs w:val="20"/>
        </w:rPr>
      </w:pPr>
      <w:r>
        <w:rPr>
          <w:rFonts w:hint="eastAsia" w:ascii="仿宋_GB2312" w:hAnsi="宋体" w:eastAsia="仿宋_GB2312"/>
          <w:b/>
          <w:kern w:val="0"/>
          <w:sz w:val="28"/>
          <w:szCs w:val="32"/>
        </w:rPr>
        <w:t xml:space="preserve"> </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7"/>
        <w:tblW w:w="9214" w:type="dxa"/>
        <w:tblInd w:w="-34" w:type="dxa"/>
        <w:tblLayout w:type="fixed"/>
        <w:tblCellMar>
          <w:top w:w="0" w:type="dxa"/>
          <w:left w:w="108" w:type="dxa"/>
          <w:bottom w:w="0" w:type="dxa"/>
          <w:right w:w="108" w:type="dxa"/>
        </w:tblCellMar>
      </w:tblPr>
      <w:tblGrid>
        <w:gridCol w:w="531"/>
        <w:gridCol w:w="498"/>
        <w:gridCol w:w="501"/>
        <w:gridCol w:w="2486"/>
        <w:gridCol w:w="1675"/>
        <w:gridCol w:w="216"/>
        <w:gridCol w:w="1616"/>
        <w:gridCol w:w="1691"/>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487" w:hRule="atLeast"/>
        </w:trPr>
        <w:tc>
          <w:tcPr>
            <w:tcW w:w="5907"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编制单位：呼图壁县城市管理综合服务中心</w:t>
            </w:r>
          </w:p>
        </w:tc>
        <w:tc>
          <w:tcPr>
            <w:tcW w:w="3307"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016"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98"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3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8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8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b/>
                <w:kern w:val="0"/>
                <w:szCs w:val="21"/>
              </w:rPr>
            </w:pPr>
            <w:r>
              <w:rPr>
                <w:rFonts w:ascii="仿宋_GB2312" w:eastAsia="仿宋_GB2312"/>
                <w:szCs w:val="21"/>
              </w:rPr>
              <w:t>208</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Cs w:val="21"/>
              </w:rPr>
            </w:pP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vAlign w:val="center"/>
          </w:tcPr>
          <w:p>
            <w:pPr>
              <w:rPr>
                <w:rFonts w:ascii="仿宋_GB2312" w:hAnsi="宋体" w:eastAsia="仿宋_GB2312" w:cs="宋体"/>
                <w:b/>
                <w:kern w:val="0"/>
                <w:szCs w:val="21"/>
              </w:rPr>
            </w:pPr>
            <w:r>
              <w:rPr>
                <w:rFonts w:hint="eastAsia" w:ascii="仿宋_GB2312" w:hAnsi="宋体" w:eastAsia="仿宋_GB2312" w:cs="宋体"/>
                <w:szCs w:val="21"/>
              </w:rPr>
              <w:t>社会保障和就业支出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103.15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103.15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208</w:t>
            </w:r>
          </w:p>
        </w:tc>
        <w:tc>
          <w:tcPr>
            <w:tcW w:w="498"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05</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vAlign w:val="center"/>
          </w:tcPr>
          <w:p>
            <w:pPr>
              <w:rPr>
                <w:rFonts w:ascii="宋体" w:hAnsi="宋体" w:cs="宋体"/>
                <w:kern w:val="0"/>
                <w:szCs w:val="21"/>
              </w:rPr>
            </w:pPr>
            <w:r>
              <w:rPr>
                <w:rFonts w:hint="eastAsia" w:ascii="仿宋_GB2312" w:eastAsia="仿宋_GB2312"/>
                <w:szCs w:val="21"/>
              </w:rPr>
              <w:t>行政事业单位养老支出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103.15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103.15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208</w:t>
            </w:r>
          </w:p>
        </w:tc>
        <w:tc>
          <w:tcPr>
            <w:tcW w:w="498"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05</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02</w:t>
            </w:r>
            <w:r>
              <w:rPr>
                <w:rFonts w:hint="eastAsia" w:ascii="仿宋_GB2312" w:eastAsia="仿宋_GB2312"/>
                <w:szCs w:val="21"/>
              </w:rPr>
              <w:t>　</w:t>
            </w:r>
          </w:p>
        </w:tc>
        <w:tc>
          <w:tcPr>
            <w:tcW w:w="2486" w:type="dxa"/>
            <w:tcBorders>
              <w:top w:val="nil"/>
              <w:left w:val="nil"/>
              <w:bottom w:val="single" w:color="auto" w:sz="4" w:space="0"/>
              <w:right w:val="single" w:color="auto" w:sz="4" w:space="0"/>
            </w:tcBorders>
            <w:vAlign w:val="center"/>
          </w:tcPr>
          <w:p>
            <w:pPr>
              <w:rPr>
                <w:rFonts w:ascii="宋体" w:hAnsi="宋体" w:cs="宋体"/>
                <w:kern w:val="0"/>
                <w:szCs w:val="21"/>
              </w:rPr>
            </w:pPr>
            <w:r>
              <w:rPr>
                <w:rFonts w:hint="eastAsia" w:ascii="仿宋_GB2312" w:eastAsia="仿宋_GB2312"/>
                <w:szCs w:val="21"/>
              </w:rPr>
              <w:t>事业单位离退休</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32.92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32.92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208</w:t>
            </w:r>
          </w:p>
        </w:tc>
        <w:tc>
          <w:tcPr>
            <w:tcW w:w="498"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05</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left"/>
              <w:rPr>
                <w:rFonts w:ascii="宋体" w:hAnsi="宋体" w:cs="宋体"/>
                <w:kern w:val="0"/>
                <w:szCs w:val="21"/>
              </w:rPr>
            </w:pPr>
            <w:r>
              <w:rPr>
                <w:rFonts w:ascii="仿宋_GB2312" w:eastAsia="仿宋_GB2312"/>
                <w:szCs w:val="21"/>
              </w:rPr>
              <w:t>05</w:t>
            </w:r>
            <w:r>
              <w:rPr>
                <w:rFonts w:hint="eastAsia" w:ascii="仿宋_GB2312" w:eastAsia="仿宋_GB2312"/>
                <w:szCs w:val="21"/>
              </w:rPr>
              <w:t>　</w:t>
            </w:r>
          </w:p>
        </w:tc>
        <w:tc>
          <w:tcPr>
            <w:tcW w:w="2486" w:type="dxa"/>
            <w:tcBorders>
              <w:top w:val="nil"/>
              <w:left w:val="nil"/>
              <w:bottom w:val="single" w:color="auto" w:sz="4" w:space="0"/>
              <w:right w:val="single" w:color="auto" w:sz="4" w:space="0"/>
            </w:tcBorders>
            <w:vAlign w:val="center"/>
          </w:tcPr>
          <w:p>
            <w:pPr>
              <w:rPr>
                <w:rFonts w:ascii="宋体" w:hAnsi="宋体" w:cs="宋体"/>
                <w:kern w:val="0"/>
                <w:szCs w:val="21"/>
              </w:rPr>
            </w:pPr>
            <w:r>
              <w:rPr>
                <w:rFonts w:hint="eastAsia" w:ascii="仿宋_GB2312" w:eastAsia="仿宋_GB2312"/>
                <w:szCs w:val="21"/>
              </w:rPr>
              <w:t>机关事业单位基本养老保险缴费支出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70.23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70.23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210</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 xml:space="preserve"> </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卫生健康支出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45.05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45.05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210</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11</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行政事业单位医疗</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45.05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45.05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210</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11</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02</w:t>
            </w: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事业单位医疗</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35.11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35.11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210</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11</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03</w:t>
            </w: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公务员医疗补助</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9.66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9.66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210</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11</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99</w:t>
            </w: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其他行政事业单位医疗支出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0.28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0.28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212</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城乡社区支出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2712.44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1912.44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r>
              <w:rPr>
                <w:rFonts w:ascii="仿宋_GB2312" w:hAnsi="宋体" w:eastAsia="仿宋_GB2312" w:cs="宋体"/>
                <w:szCs w:val="21"/>
              </w:rPr>
              <w:t>800.00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212</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03</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城乡社区公共设施</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480.00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r>
              <w:rPr>
                <w:rFonts w:ascii="仿宋_GB2312" w:hAnsi="宋体" w:eastAsia="仿宋_GB2312" w:cs="宋体"/>
                <w:szCs w:val="21"/>
              </w:rPr>
              <w:t>480.00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212</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03</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99</w:t>
            </w: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其他城乡社区公共设施支出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480.00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r>
              <w:rPr>
                <w:rFonts w:ascii="仿宋_GB2312" w:hAnsi="宋体" w:eastAsia="仿宋_GB2312" w:cs="宋体"/>
                <w:szCs w:val="21"/>
              </w:rPr>
              <w:t>480.00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212</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05</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城乡社区环境卫生</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2232.44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1912.44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r>
              <w:rPr>
                <w:rFonts w:ascii="仿宋_GB2312" w:hAnsi="宋体" w:eastAsia="仿宋_GB2312" w:cs="宋体"/>
                <w:szCs w:val="21"/>
              </w:rPr>
              <w:t>320.00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212</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05</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01</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城乡社区环境卫生</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2232.44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1912.44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r>
              <w:rPr>
                <w:rFonts w:ascii="仿宋_GB2312" w:hAnsi="宋体" w:eastAsia="仿宋_GB2312" w:cs="宋体"/>
                <w:szCs w:val="21"/>
              </w:rPr>
              <w:t>320.00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221</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住房保障支出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221</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02</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hint="eastAsia" w:ascii="仿宋_GB2312" w:eastAsia="仿宋_GB2312"/>
                <w:szCs w:val="21"/>
              </w:rPr>
              <w:t>　</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住房改革支出</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221</w:t>
            </w:r>
            <w:r>
              <w:rPr>
                <w:rFonts w:hint="eastAsia" w:ascii="仿宋_GB2312" w:eastAsia="仿宋_GB2312"/>
                <w:szCs w:val="21"/>
              </w:rPr>
              <w:t>　</w:t>
            </w:r>
          </w:p>
        </w:tc>
        <w:tc>
          <w:tcPr>
            <w:tcW w:w="498"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02</w:t>
            </w:r>
            <w:r>
              <w:rPr>
                <w:rFonts w:hint="eastAsia" w:ascii="仿宋_GB2312" w:eastAsia="仿宋_GB2312"/>
                <w:szCs w:val="21"/>
              </w:rPr>
              <w:t>　</w:t>
            </w:r>
          </w:p>
        </w:tc>
        <w:tc>
          <w:tcPr>
            <w:tcW w:w="501" w:type="dxa"/>
            <w:tcBorders>
              <w:top w:val="nil"/>
              <w:left w:val="nil"/>
              <w:bottom w:val="single" w:color="auto" w:sz="4" w:space="0"/>
              <w:right w:val="single" w:color="auto" w:sz="4" w:space="0"/>
            </w:tcBorders>
            <w:vAlign w:val="center"/>
          </w:tcPr>
          <w:p>
            <w:pPr>
              <w:jc w:val="right"/>
              <w:rPr>
                <w:rFonts w:ascii="宋体" w:hAnsi="宋体" w:cs="宋体"/>
                <w:kern w:val="0"/>
                <w:szCs w:val="21"/>
              </w:rPr>
            </w:pPr>
            <w:r>
              <w:rPr>
                <w:rFonts w:ascii="仿宋_GB2312" w:eastAsia="仿宋_GB2312"/>
                <w:szCs w:val="21"/>
              </w:rPr>
              <w:t>01</w:t>
            </w:r>
          </w:p>
        </w:tc>
        <w:tc>
          <w:tcPr>
            <w:tcW w:w="2486" w:type="dxa"/>
            <w:tcBorders>
              <w:top w:val="nil"/>
              <w:left w:val="nil"/>
              <w:bottom w:val="single" w:color="auto" w:sz="4" w:space="0"/>
              <w:right w:val="single" w:color="auto" w:sz="4" w:space="0"/>
            </w:tcBorders>
          </w:tcPr>
          <w:p>
            <w:pPr>
              <w:rPr>
                <w:rFonts w:ascii="宋体" w:hAnsi="宋体" w:cs="宋体"/>
                <w:kern w:val="0"/>
                <w:szCs w:val="21"/>
              </w:rPr>
            </w:pPr>
            <w:r>
              <w:rPr>
                <w:rFonts w:ascii="仿宋_GB2312" w:eastAsia="仿宋_GB2312"/>
                <w:szCs w:val="21"/>
              </w:rPr>
              <w:t>住房公积金</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 xml:space="preserve">58.70 </w:t>
            </w:r>
          </w:p>
        </w:tc>
        <w:tc>
          <w:tcPr>
            <w:tcW w:w="1691" w:type="dxa"/>
            <w:tcBorders>
              <w:top w:val="nil"/>
              <w:left w:val="nil"/>
              <w:bottom w:val="single" w:color="auto" w:sz="4" w:space="0"/>
              <w:right w:val="single" w:color="auto" w:sz="4" w:space="0"/>
            </w:tcBorders>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498"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2486"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691"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498"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2486"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p>
        </w:tc>
        <w:tc>
          <w:tcPr>
            <w:tcW w:w="1691"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498"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p>
        </w:tc>
        <w:tc>
          <w:tcPr>
            <w:tcW w:w="2486"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仿宋_GB2312" w:hAnsi="仿宋_GB2312" w:eastAsia="仿宋_GB2312" w:cs="仿宋_GB2312"/>
                <w:b/>
                <w:bCs/>
                <w:kern w:val="0"/>
                <w:szCs w:val="21"/>
              </w:rPr>
              <w:t>合  计</w:t>
            </w:r>
          </w:p>
        </w:tc>
        <w:tc>
          <w:tcPr>
            <w:tcW w:w="1675"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2919</w:t>
            </w:r>
            <w:r>
              <w:rPr>
                <w:rFonts w:ascii="仿宋_GB2312" w:hAnsi="宋体" w:eastAsia="仿宋_GB2312" w:cs="宋体"/>
                <w:szCs w:val="21"/>
              </w:rPr>
              <w:t>.</w:t>
            </w:r>
            <w:r>
              <w:rPr>
                <w:rFonts w:hint="eastAsia" w:ascii="仿宋_GB2312" w:hAnsi="宋体" w:eastAsia="仿宋_GB2312" w:cs="宋体"/>
                <w:szCs w:val="21"/>
              </w:rPr>
              <w:t>3</w:t>
            </w:r>
            <w:r>
              <w:rPr>
                <w:rFonts w:ascii="仿宋_GB2312" w:hAnsi="宋体" w:eastAsia="仿宋_GB2312" w:cs="宋体"/>
                <w:szCs w:val="21"/>
              </w:rPr>
              <w:t>4</w:t>
            </w:r>
          </w:p>
        </w:tc>
        <w:tc>
          <w:tcPr>
            <w:tcW w:w="1832" w:type="dxa"/>
            <w:gridSpan w:val="2"/>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2119</w:t>
            </w:r>
            <w:r>
              <w:rPr>
                <w:rFonts w:ascii="仿宋_GB2312" w:hAnsi="宋体" w:eastAsia="仿宋_GB2312" w:cs="宋体"/>
                <w:szCs w:val="21"/>
              </w:rPr>
              <w:t>.34</w:t>
            </w:r>
          </w:p>
        </w:tc>
        <w:tc>
          <w:tcPr>
            <w:tcW w:w="1691" w:type="dxa"/>
            <w:tcBorders>
              <w:top w:val="nil"/>
              <w:left w:val="nil"/>
              <w:bottom w:val="single" w:color="auto" w:sz="4" w:space="0"/>
              <w:right w:val="single" w:color="auto" w:sz="4" w:space="0"/>
            </w:tcBorders>
            <w:vAlign w:val="center"/>
          </w:tcPr>
          <w:p>
            <w:pPr>
              <w:rPr>
                <w:rFonts w:ascii="仿宋_GB2312" w:hAnsi="宋体" w:eastAsia="仿宋_GB2312" w:cs="宋体"/>
                <w:szCs w:val="21"/>
              </w:rPr>
            </w:pPr>
            <w:r>
              <w:rPr>
                <w:rFonts w:hint="eastAsia" w:ascii="仿宋_GB2312" w:hAnsi="宋体" w:eastAsia="仿宋_GB2312" w:cs="宋体"/>
                <w:szCs w:val="21"/>
              </w:rPr>
              <w:t>800.00</w:t>
            </w:r>
          </w:p>
        </w:tc>
      </w:tr>
    </w:tbl>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7"/>
        <w:tblW w:w="9480" w:type="dxa"/>
        <w:tblInd w:w="-148" w:type="dxa"/>
        <w:tblLayout w:type="fixed"/>
        <w:tblCellMar>
          <w:top w:w="0" w:type="dxa"/>
          <w:left w:w="108" w:type="dxa"/>
          <w:bottom w:w="0" w:type="dxa"/>
          <w:right w:w="108" w:type="dxa"/>
        </w:tblCellMar>
      </w:tblPr>
      <w:tblGrid>
        <w:gridCol w:w="768"/>
        <w:gridCol w:w="586"/>
        <w:gridCol w:w="3174"/>
        <w:gridCol w:w="1490"/>
        <w:gridCol w:w="995"/>
        <w:gridCol w:w="731"/>
        <w:gridCol w:w="1736"/>
      </w:tblGrid>
      <w:tr>
        <w:tblPrEx>
          <w:tblLayout w:type="fixed"/>
          <w:tblCellMar>
            <w:top w:w="0" w:type="dxa"/>
            <w:left w:w="108" w:type="dxa"/>
            <w:bottom w:w="0" w:type="dxa"/>
            <w:right w:w="108" w:type="dxa"/>
          </w:tblCellMar>
        </w:tblPrEx>
        <w:trPr>
          <w:trHeight w:val="564" w:hRule="atLeast"/>
        </w:trPr>
        <w:tc>
          <w:tcPr>
            <w:tcW w:w="9480"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845" w:hRule="atLeast"/>
        </w:trPr>
        <w:tc>
          <w:tcPr>
            <w:tcW w:w="7013" w:type="dxa"/>
            <w:gridSpan w:val="5"/>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编制单位：呼图壁县城市管理综合服务中心</w:t>
            </w:r>
          </w:p>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67"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436" w:hRule="atLeast"/>
        </w:trPr>
        <w:tc>
          <w:tcPr>
            <w:tcW w:w="452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52"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717" w:hRule="atLeast"/>
        </w:trPr>
        <w:tc>
          <w:tcPr>
            <w:tcW w:w="135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317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49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2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3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8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3174"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49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26"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3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工资福利支出</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2043.33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2043.33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01</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基本工资</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173.32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173.32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02</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津贴补贴</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55.88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55.88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03</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奖金</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143.75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143.75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07</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绩效工资</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116.20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116.20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08</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机关事业单位基本养老保险缴费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70.23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70.23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10</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职工基本医疗保险缴费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35.11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35.11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11</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公务员医疗补助缴费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9.66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9.66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12</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其他社会保障缴费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4.23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4.23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13</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住房公积金</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58.70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58.70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301</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99</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其他工资福利支出</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1376.25</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1376.25</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商品和服务支出</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43.07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43.07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01</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办公费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4.36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4.36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07</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邮电费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2.00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2.00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08</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取暖费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19.44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19.44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11</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差旅费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2.00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2.00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17</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公务接待费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0.38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0.38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28</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工会经费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8.49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8.49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302</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32</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公务用车运行维护费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6.40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6.40 </w:t>
            </w: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303</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对个人和家庭的补助</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32.94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32.94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303</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02</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退休费</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31.01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31.01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303</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09</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奖励金</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1.92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1.91</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365"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303</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99</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ascii="仿宋_GB2312" w:hAnsi="宋体" w:eastAsia="仿宋_GB2312"/>
                <w:kern w:val="0"/>
                <w:szCs w:val="21"/>
              </w:rPr>
              <w:t>其他对个人和家庭的补助</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0.02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0.02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p>
        </w:tc>
      </w:tr>
      <w:tr>
        <w:tblPrEx>
          <w:tblLayout w:type="fixed"/>
          <w:tblCellMar>
            <w:top w:w="0" w:type="dxa"/>
            <w:left w:w="108" w:type="dxa"/>
            <w:bottom w:w="0" w:type="dxa"/>
            <w:right w:w="108" w:type="dxa"/>
          </w:tblCellMar>
        </w:tblPrEx>
        <w:trPr>
          <w:trHeight w:val="603" w:hRule="atLeast"/>
        </w:trPr>
        <w:tc>
          <w:tcPr>
            <w:tcW w:w="768" w:type="dxa"/>
            <w:tcBorders>
              <w:top w:val="nil"/>
              <w:left w:val="single" w:color="auto" w:sz="4" w:space="0"/>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w:t>
            </w:r>
          </w:p>
        </w:tc>
        <w:tc>
          <w:tcPr>
            <w:tcW w:w="58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w:t>
            </w:r>
          </w:p>
        </w:tc>
        <w:tc>
          <w:tcPr>
            <w:tcW w:w="3174"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合  计</w:t>
            </w:r>
          </w:p>
        </w:tc>
        <w:tc>
          <w:tcPr>
            <w:tcW w:w="1490"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2119.34 </w:t>
            </w:r>
          </w:p>
        </w:tc>
        <w:tc>
          <w:tcPr>
            <w:tcW w:w="1726" w:type="dxa"/>
            <w:gridSpan w:val="2"/>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2076.27 </w:t>
            </w:r>
          </w:p>
        </w:tc>
        <w:tc>
          <w:tcPr>
            <w:tcW w:w="1736" w:type="dxa"/>
            <w:tcBorders>
              <w:top w:val="nil"/>
              <w:left w:val="nil"/>
              <w:bottom w:val="single" w:color="auto" w:sz="4" w:space="0"/>
              <w:right w:val="single" w:color="auto" w:sz="4" w:space="0"/>
            </w:tcBorders>
            <w:vAlign w:val="center"/>
          </w:tcPr>
          <w:p>
            <w:pPr>
              <w:widowControl/>
              <w:outlineLvl w:val="1"/>
              <w:rPr>
                <w:rFonts w:ascii="仿宋_GB2312" w:hAnsi="宋体" w:eastAsia="仿宋_GB2312"/>
                <w:kern w:val="0"/>
                <w:szCs w:val="21"/>
              </w:rPr>
            </w:pPr>
            <w:r>
              <w:rPr>
                <w:rFonts w:hint="eastAsia" w:ascii="仿宋_GB2312" w:hAnsi="宋体" w:eastAsia="仿宋_GB2312"/>
                <w:kern w:val="0"/>
                <w:szCs w:val="21"/>
              </w:rPr>
              <w:t xml:space="preserve">43.07 </w:t>
            </w:r>
          </w:p>
        </w:tc>
      </w:tr>
    </w:tbl>
    <w:p>
      <w:pPr>
        <w:widowControl/>
        <w:jc w:val="left"/>
        <w:textAlignment w:val="bottom"/>
        <w:rPr>
          <w:rFonts w:ascii="仿宋_GB2312" w:hAnsi="宋体" w:eastAsia="仿宋_GB2312"/>
          <w:b/>
          <w:kern w:val="0"/>
          <w:sz w:val="28"/>
          <w:szCs w:val="32"/>
        </w:rPr>
      </w:pPr>
      <w:r>
        <w:rPr>
          <w:rFonts w:ascii="仿宋_GB2312" w:hAnsi="宋体" w:eastAsia="仿宋_GB2312"/>
          <w:b/>
          <w:kern w:val="0"/>
          <w:sz w:val="28"/>
          <w:szCs w:val="32"/>
        </w:rPr>
        <w:t xml:space="preserve"> </w:t>
      </w:r>
    </w:p>
    <w:p>
      <w:pPr>
        <w:widowControl/>
        <w:jc w:val="left"/>
        <w:textAlignment w:val="bottom"/>
        <w:rPr>
          <w:rFonts w:ascii="宋体" w:hAnsi="宋体" w:cs="宋体"/>
          <w:kern w:val="0"/>
          <w:sz w:val="20"/>
          <w:szCs w:val="20"/>
        </w:rPr>
      </w:pPr>
      <w:r>
        <w:rPr>
          <w:rFonts w:hint="eastAsia" w:ascii="仿宋_GB2312" w:hAnsi="宋体" w:eastAsia="仿宋_GB2312"/>
          <w:b/>
          <w:kern w:val="0"/>
          <w:sz w:val="28"/>
          <w:szCs w:val="32"/>
        </w:rPr>
        <w:t xml:space="preserve"> </w:t>
      </w:r>
      <w:r>
        <w:rPr>
          <w:rFonts w:hint="eastAsia" w:ascii="宋体" w:hAnsi="宋体" w:cs="宋体"/>
          <w:kern w:val="0"/>
          <w:sz w:val="20"/>
          <w:szCs w:val="20"/>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995"/>
        <w:gridCol w:w="1200"/>
        <w:gridCol w:w="817"/>
        <w:gridCol w:w="683"/>
        <w:gridCol w:w="834"/>
        <w:gridCol w:w="300"/>
        <w:gridCol w:w="350"/>
        <w:gridCol w:w="633"/>
        <w:gridCol w:w="850"/>
        <w:gridCol w:w="527"/>
        <w:gridCol w:w="240"/>
        <w:gridCol w:w="351"/>
        <w:gridCol w:w="380"/>
        <w:gridCol w:w="60"/>
      </w:tblGrid>
      <w:tr>
        <w:tblPrEx>
          <w:tblLayout w:type="fixed"/>
          <w:tblCellMar>
            <w:top w:w="0" w:type="dxa"/>
            <w:left w:w="108" w:type="dxa"/>
            <w:bottom w:w="0" w:type="dxa"/>
            <w:right w:w="108" w:type="dxa"/>
          </w:tblCellMar>
        </w:tblPrEx>
        <w:trPr>
          <w:gridBefore w:val="1"/>
          <w:gridAfter w:val="1"/>
          <w:wBefore w:w="9" w:type="dxa"/>
          <w:wAfter w:w="60" w:type="dxa"/>
          <w:trHeight w:val="375" w:hRule="atLeast"/>
        </w:trPr>
        <w:tc>
          <w:tcPr>
            <w:tcW w:w="9471" w:type="dxa"/>
            <w:gridSpan w:val="16"/>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60" w:type="dxa"/>
          <w:trHeight w:val="307" w:hRule="atLeast"/>
        </w:trPr>
        <w:tc>
          <w:tcPr>
            <w:tcW w:w="7123" w:type="dxa"/>
            <w:gridSpan w:val="11"/>
            <w:tcBorders>
              <w:top w:val="nil"/>
              <w:left w:val="nil"/>
              <w:bottom w:val="nil"/>
              <w:right w:val="nil"/>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编制单位：呼图壁县城市管理综合服务中心</w:t>
            </w:r>
          </w:p>
          <w:p>
            <w:pPr>
              <w:widowControl/>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348" w:type="dxa"/>
            <w:gridSpan w:val="5"/>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99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0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1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68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3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30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3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3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8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52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24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35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4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6"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995"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8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34"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3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3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2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24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35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 w:hRule="atLeast"/>
        </w:trPr>
        <w:tc>
          <w:tcPr>
            <w:tcW w:w="486" w:type="dxa"/>
            <w:gridSpan w:val="2"/>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212</w:t>
            </w:r>
          </w:p>
        </w:tc>
        <w:tc>
          <w:tcPr>
            <w:tcW w:w="417" w:type="dxa"/>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城乡社区支出</w:t>
            </w: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800</w:t>
            </w:r>
            <w:r>
              <w:rPr>
                <w:rFonts w:ascii="仿宋_GB2312" w:hAnsi="宋体" w:eastAsia="仿宋_GB2312"/>
                <w:kern w:val="0"/>
                <w:sz w:val="18"/>
                <w:szCs w:val="18"/>
              </w:rPr>
              <w:t>.00</w:t>
            </w: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320</w:t>
            </w:r>
            <w:r>
              <w:rPr>
                <w:rFonts w:ascii="仿宋_GB2312" w:hAnsi="宋体" w:eastAsia="仿宋_GB2312"/>
                <w:kern w:val="0"/>
                <w:sz w:val="18"/>
                <w:szCs w:val="18"/>
              </w:rPr>
              <w:t>.00</w:t>
            </w: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480.00</w:t>
            </w: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8" w:hRule="atLeast"/>
        </w:trPr>
        <w:tc>
          <w:tcPr>
            <w:tcW w:w="486" w:type="dxa"/>
            <w:gridSpan w:val="2"/>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212</w:t>
            </w:r>
          </w:p>
        </w:tc>
        <w:tc>
          <w:tcPr>
            <w:tcW w:w="4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03</w:t>
            </w: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城乡社区公共设施</w:t>
            </w: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480.00</w:t>
            </w: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480.00</w:t>
            </w: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7" w:hRule="atLeast"/>
        </w:trPr>
        <w:tc>
          <w:tcPr>
            <w:tcW w:w="486" w:type="dxa"/>
            <w:gridSpan w:val="2"/>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212</w:t>
            </w:r>
          </w:p>
        </w:tc>
        <w:tc>
          <w:tcPr>
            <w:tcW w:w="417" w:type="dxa"/>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03</w:t>
            </w:r>
          </w:p>
        </w:tc>
        <w:tc>
          <w:tcPr>
            <w:tcW w:w="417" w:type="dxa"/>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99</w:t>
            </w:r>
          </w:p>
        </w:tc>
        <w:tc>
          <w:tcPr>
            <w:tcW w:w="995"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其他城乡社区公共设施支出</w:t>
            </w:r>
          </w:p>
        </w:tc>
        <w:tc>
          <w:tcPr>
            <w:tcW w:w="1200"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城区绿化养护费项目（非定额）</w:t>
            </w:r>
          </w:p>
        </w:tc>
        <w:tc>
          <w:tcPr>
            <w:tcW w:w="8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480.00</w:t>
            </w: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480.00</w:t>
            </w: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7" w:hRule="atLeast"/>
        </w:trPr>
        <w:tc>
          <w:tcPr>
            <w:tcW w:w="486" w:type="dxa"/>
            <w:gridSpan w:val="2"/>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212</w:t>
            </w:r>
          </w:p>
        </w:tc>
        <w:tc>
          <w:tcPr>
            <w:tcW w:w="4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05</w:t>
            </w: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其他城乡社区公共设施支出</w:t>
            </w: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320.00</w:t>
            </w: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320.00</w:t>
            </w: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212</w:t>
            </w:r>
          </w:p>
        </w:tc>
        <w:tc>
          <w:tcPr>
            <w:tcW w:w="417" w:type="dxa"/>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05</w:t>
            </w:r>
          </w:p>
        </w:tc>
        <w:tc>
          <w:tcPr>
            <w:tcW w:w="417" w:type="dxa"/>
            <w:vAlign w:val="center"/>
          </w:tcPr>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p>
          <w:p>
            <w:pPr>
              <w:widowControl/>
              <w:outlineLvl w:val="1"/>
              <w:rPr>
                <w:rFonts w:ascii="仿宋_GB2312" w:hAnsi="宋体" w:eastAsia="仿宋_GB2312"/>
                <w:kern w:val="0"/>
                <w:sz w:val="18"/>
                <w:szCs w:val="18"/>
              </w:rPr>
            </w:pPr>
            <w:r>
              <w:rPr>
                <w:rFonts w:ascii="仿宋_GB2312" w:hAnsi="宋体" w:eastAsia="仿宋_GB2312"/>
                <w:kern w:val="0"/>
                <w:sz w:val="18"/>
                <w:szCs w:val="18"/>
              </w:rPr>
              <w:t>01</w:t>
            </w:r>
          </w:p>
        </w:tc>
        <w:tc>
          <w:tcPr>
            <w:tcW w:w="995"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城乡社区环境卫生</w:t>
            </w:r>
          </w:p>
        </w:tc>
        <w:tc>
          <w:tcPr>
            <w:tcW w:w="1200" w:type="dxa"/>
            <w:vAlign w:val="center"/>
          </w:tcPr>
          <w:p>
            <w:pPr>
              <w:widowControl/>
              <w:outlineLvl w:val="1"/>
              <w:rPr>
                <w:rFonts w:ascii="仿宋_GB2312" w:hAnsi="宋体" w:eastAsia="仿宋_GB2312"/>
                <w:kern w:val="0"/>
                <w:sz w:val="18"/>
                <w:szCs w:val="18"/>
              </w:rPr>
            </w:pPr>
            <w:r>
              <w:rPr>
                <w:rFonts w:hint="eastAsia" w:ascii="仿宋_GB2312" w:hAnsi="宋体" w:eastAsia="仿宋_GB2312"/>
                <w:kern w:val="0"/>
                <w:sz w:val="18"/>
                <w:szCs w:val="18"/>
              </w:rPr>
              <w:t>特种车、绿化用车、垃圾场运行维护费（非定额）</w:t>
            </w:r>
          </w:p>
        </w:tc>
        <w:tc>
          <w:tcPr>
            <w:tcW w:w="817"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320.00</w:t>
            </w: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320.00</w:t>
            </w: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trPr>
        <w:tc>
          <w:tcPr>
            <w:tcW w:w="486" w:type="dxa"/>
            <w:gridSpan w:val="2"/>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86" w:type="dxa"/>
            <w:gridSpan w:val="2"/>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trPr>
        <w:tc>
          <w:tcPr>
            <w:tcW w:w="486" w:type="dxa"/>
            <w:gridSpan w:val="2"/>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417" w:type="dxa"/>
            <w:vAlign w:val="center"/>
          </w:tcPr>
          <w:p>
            <w:pPr>
              <w:widowControl/>
              <w:outlineLvl w:val="1"/>
              <w:rPr>
                <w:rFonts w:ascii="仿宋_GB2312" w:hAnsi="宋体" w:eastAsia="仿宋_GB2312"/>
                <w:kern w:val="0"/>
                <w:sz w:val="18"/>
                <w:szCs w:val="18"/>
              </w:rPr>
            </w:pPr>
          </w:p>
        </w:tc>
        <w:tc>
          <w:tcPr>
            <w:tcW w:w="995" w:type="dxa"/>
            <w:vAlign w:val="center"/>
          </w:tcPr>
          <w:p>
            <w:pPr>
              <w:widowControl/>
              <w:outlineLvl w:val="1"/>
              <w:rPr>
                <w:rFonts w:ascii="仿宋_GB2312" w:hAnsi="宋体" w:eastAsia="仿宋_GB2312"/>
                <w:kern w:val="0"/>
                <w:sz w:val="18"/>
                <w:szCs w:val="18"/>
              </w:rPr>
            </w:pPr>
          </w:p>
        </w:tc>
        <w:tc>
          <w:tcPr>
            <w:tcW w:w="1200" w:type="dxa"/>
            <w:vAlign w:val="center"/>
          </w:tcPr>
          <w:p>
            <w:pPr>
              <w:widowControl/>
              <w:outlineLvl w:val="1"/>
              <w:rPr>
                <w:rFonts w:ascii="仿宋_GB2312" w:hAnsi="宋体" w:eastAsia="仿宋_GB2312"/>
                <w:kern w:val="0"/>
                <w:sz w:val="18"/>
                <w:szCs w:val="18"/>
              </w:rPr>
            </w:pPr>
          </w:p>
        </w:tc>
        <w:tc>
          <w:tcPr>
            <w:tcW w:w="817" w:type="dxa"/>
            <w:vAlign w:val="center"/>
          </w:tcPr>
          <w:p>
            <w:pPr>
              <w:widowControl/>
              <w:outlineLvl w:val="1"/>
              <w:rPr>
                <w:rFonts w:ascii="仿宋_GB2312" w:hAnsi="宋体" w:eastAsia="仿宋_GB2312"/>
                <w:kern w:val="0"/>
                <w:sz w:val="18"/>
                <w:szCs w:val="18"/>
              </w:rPr>
            </w:pPr>
          </w:p>
        </w:tc>
        <w:tc>
          <w:tcPr>
            <w:tcW w:w="683" w:type="dxa"/>
            <w:vAlign w:val="center"/>
          </w:tcPr>
          <w:p>
            <w:pPr>
              <w:widowControl/>
              <w:outlineLvl w:val="1"/>
              <w:rPr>
                <w:rFonts w:ascii="仿宋_GB2312" w:hAnsi="宋体" w:eastAsia="仿宋_GB2312"/>
                <w:kern w:val="0"/>
                <w:sz w:val="18"/>
                <w:szCs w:val="18"/>
              </w:rPr>
            </w:pPr>
          </w:p>
        </w:tc>
        <w:tc>
          <w:tcPr>
            <w:tcW w:w="834" w:type="dxa"/>
            <w:vAlign w:val="center"/>
          </w:tcPr>
          <w:p>
            <w:pPr>
              <w:widowControl/>
              <w:outlineLvl w:val="1"/>
              <w:rPr>
                <w:rFonts w:ascii="仿宋_GB2312" w:hAnsi="宋体" w:eastAsia="仿宋_GB2312"/>
                <w:kern w:val="0"/>
                <w:sz w:val="18"/>
                <w:szCs w:val="18"/>
              </w:rPr>
            </w:pPr>
          </w:p>
        </w:tc>
        <w:tc>
          <w:tcPr>
            <w:tcW w:w="300" w:type="dxa"/>
            <w:vAlign w:val="center"/>
          </w:tcPr>
          <w:p>
            <w:pPr>
              <w:widowControl/>
              <w:outlineLvl w:val="1"/>
              <w:rPr>
                <w:rFonts w:ascii="仿宋_GB2312" w:hAnsi="宋体" w:eastAsia="仿宋_GB2312"/>
                <w:kern w:val="0"/>
                <w:sz w:val="18"/>
                <w:szCs w:val="18"/>
              </w:rPr>
            </w:pPr>
          </w:p>
        </w:tc>
        <w:tc>
          <w:tcPr>
            <w:tcW w:w="350" w:type="dxa"/>
            <w:vAlign w:val="center"/>
          </w:tcPr>
          <w:p>
            <w:pPr>
              <w:widowControl/>
              <w:outlineLvl w:val="1"/>
              <w:rPr>
                <w:rFonts w:ascii="仿宋_GB2312" w:hAnsi="宋体" w:eastAsia="仿宋_GB2312"/>
                <w:kern w:val="0"/>
                <w:sz w:val="18"/>
                <w:szCs w:val="18"/>
              </w:rPr>
            </w:pPr>
          </w:p>
        </w:tc>
        <w:tc>
          <w:tcPr>
            <w:tcW w:w="633" w:type="dxa"/>
            <w:vAlign w:val="center"/>
          </w:tcPr>
          <w:p>
            <w:pPr>
              <w:widowControl/>
              <w:outlineLvl w:val="1"/>
              <w:rPr>
                <w:rFonts w:ascii="仿宋_GB2312" w:hAnsi="宋体" w:eastAsia="仿宋_GB2312"/>
                <w:kern w:val="0"/>
                <w:sz w:val="18"/>
                <w:szCs w:val="18"/>
              </w:rPr>
            </w:pPr>
          </w:p>
        </w:tc>
        <w:tc>
          <w:tcPr>
            <w:tcW w:w="850" w:type="dxa"/>
            <w:vAlign w:val="center"/>
          </w:tcPr>
          <w:p>
            <w:pPr>
              <w:widowControl/>
              <w:outlineLvl w:val="1"/>
              <w:rPr>
                <w:rFonts w:ascii="仿宋_GB2312" w:hAnsi="宋体" w:eastAsia="仿宋_GB2312"/>
                <w:kern w:val="0"/>
                <w:sz w:val="18"/>
                <w:szCs w:val="18"/>
              </w:rPr>
            </w:pPr>
          </w:p>
        </w:tc>
        <w:tc>
          <w:tcPr>
            <w:tcW w:w="527" w:type="dxa"/>
            <w:vAlign w:val="center"/>
          </w:tcPr>
          <w:p>
            <w:pPr>
              <w:widowControl/>
              <w:outlineLvl w:val="1"/>
              <w:rPr>
                <w:rFonts w:ascii="仿宋_GB2312" w:hAnsi="宋体" w:eastAsia="仿宋_GB2312"/>
                <w:kern w:val="0"/>
                <w:sz w:val="18"/>
                <w:szCs w:val="18"/>
              </w:rPr>
            </w:pPr>
          </w:p>
        </w:tc>
        <w:tc>
          <w:tcPr>
            <w:tcW w:w="240" w:type="dxa"/>
            <w:vAlign w:val="center"/>
          </w:tcPr>
          <w:p>
            <w:pPr>
              <w:widowControl/>
              <w:outlineLvl w:val="1"/>
              <w:rPr>
                <w:rFonts w:ascii="仿宋_GB2312" w:hAnsi="宋体" w:eastAsia="仿宋_GB2312"/>
                <w:kern w:val="0"/>
                <w:sz w:val="18"/>
                <w:szCs w:val="18"/>
              </w:rPr>
            </w:pPr>
          </w:p>
        </w:tc>
        <w:tc>
          <w:tcPr>
            <w:tcW w:w="351" w:type="dxa"/>
            <w:vAlign w:val="center"/>
          </w:tcPr>
          <w:p>
            <w:pPr>
              <w:widowControl/>
              <w:outlineLvl w:val="1"/>
              <w:rPr>
                <w:rFonts w:ascii="仿宋_GB2312" w:hAnsi="宋体" w:eastAsia="仿宋_GB2312"/>
                <w:kern w:val="0"/>
                <w:sz w:val="18"/>
                <w:szCs w:val="18"/>
              </w:rPr>
            </w:pPr>
          </w:p>
        </w:tc>
        <w:tc>
          <w:tcPr>
            <w:tcW w:w="440" w:type="dxa"/>
            <w:gridSpan w:val="2"/>
            <w:vAlign w:val="center"/>
          </w:tcPr>
          <w:p>
            <w:pPr>
              <w:widowControl/>
              <w:outlineLvl w:val="1"/>
              <w:rPr>
                <w:rFonts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486" w:type="dxa"/>
            <w:gridSpan w:val="2"/>
            <w:vAlign w:val="center"/>
          </w:tcPr>
          <w:p>
            <w:pPr>
              <w:widowControl/>
              <w:outlineLvl w:val="1"/>
              <w:rPr>
                <w:rFonts w:ascii="仿宋_GB2312" w:hAnsi="宋体" w:eastAsia="仿宋_GB2312"/>
                <w:kern w:val="0"/>
                <w:sz w:val="32"/>
                <w:szCs w:val="32"/>
              </w:rPr>
            </w:pPr>
          </w:p>
        </w:tc>
        <w:tc>
          <w:tcPr>
            <w:tcW w:w="417" w:type="dxa"/>
            <w:vAlign w:val="center"/>
          </w:tcPr>
          <w:p>
            <w:pPr>
              <w:widowControl/>
              <w:outlineLvl w:val="1"/>
              <w:rPr>
                <w:rFonts w:ascii="仿宋_GB2312" w:hAnsi="宋体" w:eastAsia="仿宋_GB2312"/>
                <w:kern w:val="0"/>
                <w:sz w:val="32"/>
                <w:szCs w:val="32"/>
              </w:rPr>
            </w:pPr>
          </w:p>
        </w:tc>
        <w:tc>
          <w:tcPr>
            <w:tcW w:w="417" w:type="dxa"/>
            <w:vAlign w:val="center"/>
          </w:tcPr>
          <w:p>
            <w:pPr>
              <w:widowControl/>
              <w:outlineLvl w:val="1"/>
              <w:rPr>
                <w:rFonts w:ascii="仿宋_GB2312" w:hAnsi="宋体" w:eastAsia="仿宋_GB2312"/>
                <w:kern w:val="0"/>
                <w:sz w:val="32"/>
                <w:szCs w:val="32"/>
              </w:rPr>
            </w:pPr>
          </w:p>
        </w:tc>
        <w:tc>
          <w:tcPr>
            <w:tcW w:w="995" w:type="dxa"/>
            <w:vAlign w:val="center"/>
          </w:tcPr>
          <w:p>
            <w:pPr>
              <w:widowControl/>
              <w:outlineLvl w:val="1"/>
              <w:rPr>
                <w:rFonts w:ascii="仿宋_GB2312" w:hAnsi="宋体" w:eastAsia="仿宋_GB2312"/>
                <w:kern w:val="0"/>
                <w:sz w:val="32"/>
                <w:szCs w:val="32"/>
              </w:rPr>
            </w:pPr>
          </w:p>
        </w:tc>
        <w:tc>
          <w:tcPr>
            <w:tcW w:w="1200" w:type="dxa"/>
            <w:vAlign w:val="center"/>
          </w:tcPr>
          <w:p>
            <w:pPr>
              <w:widowControl/>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817" w:type="dxa"/>
            <w:vAlign w:val="center"/>
          </w:tcPr>
          <w:p>
            <w:pPr>
              <w:widowControl/>
              <w:outlineLvl w:val="1"/>
              <w:rPr>
                <w:rFonts w:ascii="仿宋_GB2312" w:hAnsi="宋体" w:eastAsia="仿宋_GB2312"/>
                <w:kern w:val="0"/>
                <w:szCs w:val="21"/>
              </w:rPr>
            </w:pPr>
            <w:r>
              <w:rPr>
                <w:rFonts w:ascii="仿宋_GB2312" w:hAnsi="宋体" w:eastAsia="仿宋_GB2312"/>
                <w:kern w:val="0"/>
                <w:sz w:val="18"/>
                <w:szCs w:val="18"/>
              </w:rPr>
              <w:t>800.00</w:t>
            </w:r>
          </w:p>
        </w:tc>
        <w:tc>
          <w:tcPr>
            <w:tcW w:w="683" w:type="dxa"/>
            <w:vAlign w:val="center"/>
          </w:tcPr>
          <w:p>
            <w:pPr>
              <w:widowControl/>
              <w:outlineLvl w:val="1"/>
              <w:rPr>
                <w:rFonts w:ascii="仿宋_GB2312" w:hAnsi="宋体" w:eastAsia="仿宋_GB2312"/>
                <w:kern w:val="0"/>
                <w:sz w:val="32"/>
                <w:szCs w:val="32"/>
              </w:rPr>
            </w:pPr>
          </w:p>
        </w:tc>
        <w:tc>
          <w:tcPr>
            <w:tcW w:w="834" w:type="dxa"/>
            <w:vAlign w:val="center"/>
          </w:tcPr>
          <w:p>
            <w:pPr>
              <w:widowControl/>
              <w:outlineLvl w:val="1"/>
              <w:rPr>
                <w:rFonts w:ascii="仿宋_GB2312" w:hAnsi="宋体" w:eastAsia="仿宋_GB2312"/>
                <w:kern w:val="0"/>
                <w:sz w:val="18"/>
                <w:szCs w:val="18"/>
              </w:rPr>
            </w:pPr>
            <w:r>
              <w:rPr>
                <w:rFonts w:ascii="仿宋_GB2312" w:hAnsi="宋体" w:eastAsia="仿宋_GB2312"/>
                <w:kern w:val="0"/>
                <w:sz w:val="18"/>
                <w:szCs w:val="18"/>
              </w:rPr>
              <w:t>320.00</w:t>
            </w:r>
          </w:p>
        </w:tc>
        <w:tc>
          <w:tcPr>
            <w:tcW w:w="300" w:type="dxa"/>
            <w:vAlign w:val="center"/>
          </w:tcPr>
          <w:p>
            <w:pPr>
              <w:widowControl/>
              <w:outlineLvl w:val="1"/>
              <w:rPr>
                <w:rFonts w:ascii="仿宋_GB2312" w:hAnsi="宋体" w:eastAsia="仿宋_GB2312"/>
                <w:kern w:val="0"/>
                <w:sz w:val="32"/>
                <w:szCs w:val="32"/>
              </w:rPr>
            </w:pPr>
          </w:p>
        </w:tc>
        <w:tc>
          <w:tcPr>
            <w:tcW w:w="350" w:type="dxa"/>
            <w:vAlign w:val="center"/>
          </w:tcPr>
          <w:p>
            <w:pPr>
              <w:widowControl/>
              <w:outlineLvl w:val="1"/>
              <w:rPr>
                <w:rFonts w:ascii="仿宋_GB2312" w:hAnsi="宋体" w:eastAsia="仿宋_GB2312"/>
                <w:kern w:val="0"/>
                <w:sz w:val="32"/>
                <w:szCs w:val="32"/>
              </w:rPr>
            </w:pPr>
          </w:p>
        </w:tc>
        <w:tc>
          <w:tcPr>
            <w:tcW w:w="633" w:type="dxa"/>
            <w:vAlign w:val="center"/>
          </w:tcPr>
          <w:p>
            <w:pPr>
              <w:widowControl/>
              <w:outlineLvl w:val="1"/>
              <w:rPr>
                <w:rFonts w:ascii="仿宋_GB2312" w:hAnsi="宋体" w:eastAsia="仿宋_GB2312"/>
                <w:kern w:val="0"/>
                <w:sz w:val="32"/>
                <w:szCs w:val="32"/>
              </w:rPr>
            </w:pPr>
          </w:p>
        </w:tc>
        <w:tc>
          <w:tcPr>
            <w:tcW w:w="850" w:type="dxa"/>
            <w:vAlign w:val="center"/>
          </w:tcPr>
          <w:p>
            <w:pPr>
              <w:widowControl/>
              <w:outlineLvl w:val="1"/>
              <w:rPr>
                <w:rFonts w:ascii="仿宋_GB2312" w:hAnsi="宋体" w:eastAsia="仿宋_GB2312"/>
                <w:kern w:val="0"/>
                <w:sz w:val="32"/>
                <w:szCs w:val="32"/>
              </w:rPr>
            </w:pPr>
            <w:r>
              <w:rPr>
                <w:rFonts w:ascii="仿宋_GB2312" w:hAnsi="宋体" w:eastAsia="仿宋_GB2312"/>
                <w:kern w:val="0"/>
                <w:sz w:val="18"/>
                <w:szCs w:val="18"/>
              </w:rPr>
              <w:t>480.00</w:t>
            </w:r>
          </w:p>
        </w:tc>
        <w:tc>
          <w:tcPr>
            <w:tcW w:w="527" w:type="dxa"/>
            <w:vAlign w:val="center"/>
          </w:tcPr>
          <w:p>
            <w:pPr>
              <w:widowControl/>
              <w:outlineLvl w:val="1"/>
              <w:rPr>
                <w:rFonts w:ascii="仿宋_GB2312" w:hAnsi="宋体" w:eastAsia="仿宋_GB2312"/>
                <w:kern w:val="0"/>
                <w:sz w:val="32"/>
                <w:szCs w:val="32"/>
              </w:rPr>
            </w:pPr>
          </w:p>
        </w:tc>
        <w:tc>
          <w:tcPr>
            <w:tcW w:w="240" w:type="dxa"/>
            <w:vAlign w:val="center"/>
          </w:tcPr>
          <w:p>
            <w:pPr>
              <w:widowControl/>
              <w:outlineLvl w:val="1"/>
              <w:rPr>
                <w:rFonts w:ascii="仿宋_GB2312" w:hAnsi="宋体" w:eastAsia="仿宋_GB2312"/>
                <w:kern w:val="0"/>
                <w:sz w:val="32"/>
                <w:szCs w:val="32"/>
              </w:rPr>
            </w:pPr>
          </w:p>
        </w:tc>
        <w:tc>
          <w:tcPr>
            <w:tcW w:w="351" w:type="dxa"/>
            <w:vAlign w:val="center"/>
          </w:tcPr>
          <w:p>
            <w:pPr>
              <w:widowControl/>
              <w:outlineLvl w:val="1"/>
              <w:rPr>
                <w:rFonts w:ascii="仿宋_GB2312" w:hAnsi="宋体" w:eastAsia="仿宋_GB2312"/>
                <w:kern w:val="0"/>
                <w:sz w:val="32"/>
                <w:szCs w:val="32"/>
              </w:rPr>
            </w:pPr>
          </w:p>
        </w:tc>
        <w:tc>
          <w:tcPr>
            <w:tcW w:w="440" w:type="dxa"/>
            <w:gridSpan w:val="2"/>
            <w:vAlign w:val="center"/>
          </w:tcPr>
          <w:p>
            <w:pPr>
              <w:widowControl/>
              <w:outlineLvl w:val="1"/>
              <w:rPr>
                <w:rFonts w:ascii="仿宋_GB2312" w:hAnsi="宋体" w:eastAsia="仿宋_GB2312"/>
                <w:kern w:val="0"/>
                <w:sz w:val="32"/>
                <w:szCs w:val="32"/>
              </w:rPr>
            </w:pPr>
          </w:p>
        </w:tc>
      </w:tr>
    </w:tbl>
    <w:p>
      <w:pPr>
        <w:widowControl/>
        <w:jc w:val="left"/>
        <w:textAlignment w:val="bottom"/>
        <w:rPr>
          <w:rFonts w:ascii="仿宋_GB2312" w:hAnsi="宋体" w:eastAsia="仿宋_GB2312"/>
          <w:b/>
          <w:kern w:val="0"/>
          <w:sz w:val="28"/>
          <w:szCs w:val="32"/>
        </w:rPr>
      </w:pPr>
      <w:r>
        <w:rPr>
          <w:rFonts w:ascii="仿宋_GB2312" w:hAnsi="宋体" w:eastAsia="仿宋_GB2312"/>
          <w:b/>
          <w:kern w:val="0"/>
          <w:sz w:val="28"/>
          <w:szCs w:val="32"/>
        </w:rPr>
        <w:t xml:space="preserve"> </w:t>
      </w:r>
    </w:p>
    <w:p>
      <w:pPr>
        <w:widowControl/>
        <w:jc w:val="left"/>
        <w:textAlignment w:val="bottom"/>
        <w:rPr>
          <w:rFonts w:ascii="宋体" w:hAnsi="宋体" w:cs="宋体"/>
          <w:kern w:val="0"/>
          <w:sz w:val="20"/>
          <w:szCs w:val="20"/>
        </w:rPr>
      </w:pPr>
      <w:r>
        <w:rPr>
          <w:rFonts w:hint="eastAsia" w:ascii="仿宋_GB2312" w:hAnsi="宋体" w:eastAsia="仿宋_GB2312"/>
          <w:b/>
          <w:kern w:val="0"/>
          <w:sz w:val="28"/>
          <w:szCs w:val="32"/>
        </w:rPr>
        <w:t xml:space="preserve"> </w:t>
      </w: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 呼图壁县城市管理综合服务中心               单位：万元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备注：呼图壁县城市管理综合服务中心无政府基金预算安排，此表为空</w:t>
      </w: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编制单位：呼图壁县城市管理综合服务中心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备注：呼图壁县城市管理综合服务中心无国有资本经营预算安排，此表为空</w:t>
      </w:r>
    </w:p>
    <w:p>
      <w:pPr>
        <w:widowControl/>
        <w:jc w:val="left"/>
        <w:textAlignment w:val="bottom"/>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left"/>
        <w:rPr>
          <w:rFonts w:ascii="仿宋_GB2312" w:hAnsi="宋体" w:eastAsia="仿宋_GB2312"/>
          <w:kern w:val="0"/>
          <w:sz w:val="24"/>
        </w:rPr>
      </w:pPr>
      <w:r>
        <w:rPr>
          <w:rFonts w:hint="eastAsia" w:ascii="仿宋_GB2312" w:hAnsi="宋体" w:eastAsia="仿宋_GB2312"/>
          <w:kern w:val="0"/>
          <w:sz w:val="24"/>
        </w:rPr>
        <w:t>编制单位： 呼图壁县城市管理者服务中心                     单位：万元</w:t>
      </w:r>
    </w:p>
    <w:p>
      <w:pPr>
        <w:widowControl/>
        <w:jc w:val="left"/>
        <w:rPr>
          <w:rFonts w:ascii="仿宋_GB2312" w:hAnsi="宋体" w:eastAsia="仿宋_GB2312"/>
          <w:kern w:val="0"/>
          <w:sz w:val="24"/>
        </w:rPr>
      </w:pPr>
      <w:r>
        <w:rPr>
          <w:rFonts w:hint="eastAsia" w:ascii="仿宋_GB2312" w:hAnsi="宋体" w:eastAsia="仿宋_GB2312"/>
          <w:kern w:val="0"/>
          <w:sz w:val="24"/>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6.</w:t>
            </w:r>
            <w:r>
              <w:rPr>
                <w:rFonts w:ascii="仿宋_GB2312" w:hAnsi="宋体" w:eastAsia="仿宋_GB2312"/>
                <w:b/>
                <w:kern w:val="0"/>
                <w:sz w:val="28"/>
                <w:szCs w:val="32"/>
              </w:rPr>
              <w:t>78</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6.</w:t>
            </w:r>
            <w:r>
              <w:rPr>
                <w:rFonts w:ascii="仿宋_GB2312" w:hAnsi="宋体" w:eastAsia="仿宋_GB2312"/>
                <w:b/>
                <w:kern w:val="0"/>
                <w:sz w:val="28"/>
                <w:szCs w:val="32"/>
              </w:rPr>
              <w:t>78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r>
              <w:rPr>
                <w:rFonts w:ascii="仿宋_GB2312" w:hAnsi="宋体" w:eastAsia="仿宋_GB2312"/>
                <w:b/>
                <w:kern w:val="0"/>
                <w:sz w:val="28"/>
                <w:szCs w:val="32"/>
              </w:rPr>
              <w:t>0.38</w:t>
            </w:r>
          </w:p>
        </w:tc>
        <w:tc>
          <w:tcPr>
            <w:tcW w:w="1314" w:type="dxa"/>
          </w:tcPr>
          <w:p>
            <w:pPr>
              <w:widowControl/>
              <w:outlineLvl w:val="1"/>
              <w:rPr>
                <w:rFonts w:ascii="仿宋_GB2312" w:hAnsi="宋体" w:eastAsia="仿宋_GB2312"/>
                <w:b/>
                <w:kern w:val="0"/>
                <w:sz w:val="28"/>
                <w:szCs w:val="32"/>
              </w:rPr>
            </w:pPr>
            <w:r>
              <w:rPr>
                <w:rFonts w:ascii="仿宋_GB2312" w:hAnsi="宋体" w:eastAsia="仿宋_GB2312"/>
                <w:b/>
                <w:kern w:val="0"/>
                <w:sz w:val="28"/>
                <w:szCs w:val="32"/>
              </w:rPr>
              <w:t>0.38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hint="default" w:ascii="仿宋_GB2312" w:hAnsi="宋体" w:eastAsia="仿宋_GB2312"/>
                <w:b/>
                <w:kern w:val="0"/>
                <w:sz w:val="28"/>
                <w:szCs w:val="32"/>
                <w:highlight w:val="yellow"/>
                <w:lang w:val="en-US"/>
              </w:rPr>
            </w:pPr>
            <w:r>
              <w:rPr>
                <w:rFonts w:hint="default" w:ascii="仿宋_GB2312" w:hAnsi="宋体" w:eastAsia="仿宋_GB2312"/>
                <w:b/>
                <w:kern w:val="0"/>
                <w:sz w:val="28"/>
                <w:szCs w:val="32"/>
                <w:highlight w:val="yellow"/>
                <w:lang w:val="en-US"/>
              </w:rPr>
              <w:t>6.40</w:t>
            </w:r>
          </w:p>
        </w:tc>
        <w:tc>
          <w:tcPr>
            <w:tcW w:w="1314" w:type="dxa"/>
          </w:tcPr>
          <w:p>
            <w:pPr>
              <w:widowControl/>
              <w:outlineLvl w:val="1"/>
              <w:rPr>
                <w:rFonts w:hint="default" w:ascii="仿宋_GB2312" w:hAnsi="宋体" w:eastAsia="仿宋_GB2312"/>
                <w:b/>
                <w:kern w:val="0"/>
                <w:sz w:val="28"/>
                <w:szCs w:val="32"/>
                <w:highlight w:val="yellow"/>
                <w:lang w:val="en-US"/>
              </w:rPr>
            </w:pPr>
            <w:r>
              <w:rPr>
                <w:rFonts w:hint="default" w:ascii="仿宋_GB2312" w:hAnsi="宋体" w:eastAsia="仿宋_GB2312"/>
                <w:b/>
                <w:kern w:val="0"/>
                <w:sz w:val="28"/>
                <w:szCs w:val="32"/>
                <w:highlight w:val="yellow"/>
                <w:lang w:val="en-US"/>
              </w:rPr>
              <w:t>6.40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6.40</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6.40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r>
        <w:rPr>
          <w:rFonts w:hint="eastAsia" w:ascii="仿宋_GB2312" w:hAnsi="宋体" w:eastAsia="仿宋_GB2312"/>
          <w:b/>
          <w:kern w:val="0"/>
          <w:sz w:val="28"/>
          <w:szCs w:val="32"/>
          <w:lang w:val="en-US" w:eastAsia="zh-CN"/>
        </w:rPr>
        <w:t xml:space="preserve"> </w:t>
      </w:r>
      <w:r>
        <w:rPr>
          <w:rFonts w:hint="eastAsia" w:ascii="仿宋_GB2312" w:hAnsi="宋体" w:eastAsia="仿宋_GB2312"/>
          <w:b/>
          <w:kern w:val="0"/>
          <w:sz w:val="28"/>
          <w:szCs w:val="32"/>
        </w:rPr>
        <w:t xml:space="preserve"> </w:t>
      </w: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宋体" w:hAnsi="宋体" w:cs="宋体"/>
          <w:kern w:val="0"/>
          <w:sz w:val="20"/>
          <w:szCs w:val="20"/>
        </w:rPr>
      </w:pPr>
    </w:p>
    <w:p>
      <w:pPr>
        <w:pStyle w:val="2"/>
      </w:pPr>
    </w:p>
    <w:p>
      <w:pPr>
        <w:widowControl/>
        <w:jc w:val="left"/>
        <w:textAlignment w:val="bottom"/>
        <w:rPr>
          <w:rFonts w:ascii="宋体" w:hAns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备注：呼图壁县城市管理综合服务中心无上年结转结余，此表为空</w:t>
      </w:r>
    </w:p>
    <w:p>
      <w:pPr>
        <w:widowControl/>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4"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2024年部门（单位）预算情况说明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一、关于呼图壁县城市管理综合服务中心2024年收支预算情况的总体说明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按照全口径预算的原则，呼图壁县城市管理综合服务中心2024年所有收入和支出均纳入呼图壁县城市管理综合服务中心预算管理。收支总预算3606.14万元。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收入预算包括：一般公共预算2919.34万元 单位资金686.80万元 。</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 社会保障和就业支出194.15万元、 卫生健康支出85.85万元、城乡社区支出3207.44万元、住房保障支出118.70万元 。</w:t>
      </w:r>
      <w:r>
        <w:rPr>
          <w:rFonts w:hint="eastAsia" w:ascii="仿宋_GB2312" w:hAnsi="宋体" w:eastAsia="仿宋_GB2312" w:cs="宋体"/>
          <w:color w:val="FF0000"/>
          <w:kern w:val="0"/>
          <w:sz w:val="32"/>
          <w:szCs w:val="32"/>
        </w:rPr>
        <w:t xml:space="preserve"> </w:t>
      </w:r>
    </w:p>
    <w:p>
      <w:pPr>
        <w:spacing w:line="60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w:t>
      </w:r>
      <w:r>
        <w:rPr>
          <w:rFonts w:hint="eastAsia" w:ascii="楷体_GB2312" w:hAnsi="楷体_GB2312" w:eastAsia="楷体_GB2312" w:cs="楷体_GB2312"/>
          <w:b/>
          <w:kern w:val="0"/>
          <w:sz w:val="32"/>
          <w:szCs w:val="32"/>
          <w:highlight w:val="none"/>
        </w:rPr>
        <w:t>呼图壁县城市管理综合服务中心</w:t>
      </w:r>
      <w:r>
        <w:rPr>
          <w:rFonts w:hint="eastAsia" w:ascii="楷体_GB2312" w:hAnsi="楷体_GB2312" w:eastAsia="楷体_GB2312" w:cs="楷体_GB2312"/>
          <w:b/>
          <w:bCs/>
          <w:kern w:val="0"/>
          <w:sz w:val="32"/>
          <w:szCs w:val="32"/>
          <w:highlight w:val="none"/>
        </w:rPr>
        <w:t>2024年收入预算情况说明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呼图壁县城市管理综合服务中心收入预算3606.14万元，其中：</w:t>
      </w:r>
    </w:p>
    <w:p>
      <w:pPr>
        <w:spacing w:line="600" w:lineRule="exact"/>
        <w:ind w:firstLine="640" w:firstLineChars="200"/>
        <w:rPr>
          <w:rFonts w:hint="eastAsia"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none"/>
        </w:rPr>
        <w:t>一般公共预算2919.34 万元，占 80.95 %，比上年预算增加</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2919.34万元，增长</w:t>
      </w:r>
      <w:r>
        <w:rPr>
          <w:rFonts w:hint="eastAsia" w:ascii="仿宋_GB2312" w:hAnsi="宋体" w:eastAsia="仿宋_GB2312" w:cs="宋体"/>
          <w:kern w:val="0"/>
          <w:sz w:val="32"/>
          <w:szCs w:val="32"/>
          <w:highlight w:val="yellow"/>
          <w:lang w:val="en-US" w:eastAsia="zh-CN"/>
        </w:rPr>
        <w:t xml:space="preserve"> </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yellow"/>
        </w:rPr>
        <w:t>我单位为机构改革新成立单位</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yellow"/>
          <w:lang w:eastAsia="zh-CN"/>
        </w:rPr>
        <w:t>上级一般公共预算安排的转移支付资金未安排。</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yellow"/>
          <w:lang w:eastAsia="zh-CN"/>
        </w:rPr>
        <w:t>政府性基金预算未安排。</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yellow"/>
          <w:lang w:eastAsia="zh-CN"/>
        </w:rPr>
        <w:t>上级政府性基金安排的转移支付资金未安排。</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yellow"/>
          <w:lang w:eastAsia="zh-CN"/>
        </w:rPr>
        <w:t>国有资本经营预算未安排。</w:t>
      </w:r>
    </w:p>
    <w:p>
      <w:pPr>
        <w:spacing w:line="600" w:lineRule="exact"/>
        <w:ind w:firstLine="640" w:firstLineChars="200"/>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yellow"/>
          <w:lang w:eastAsia="zh-CN"/>
        </w:rPr>
        <w:t>上级国有资本经营预算安排的转移支付资金未安排。</w:t>
      </w:r>
      <w:r>
        <w:rPr>
          <w:rFonts w:hint="eastAsia" w:ascii="仿宋_GB2312" w:hAnsi="宋体" w:eastAsia="仿宋_GB2312" w:cs="宋体"/>
          <w:kern w:val="0"/>
          <w:sz w:val="32"/>
          <w:szCs w:val="32"/>
          <w:highlight w:val="yellow"/>
        </w:rPr>
        <w:t xml:space="preserve">    </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none"/>
        </w:rPr>
        <w:t>单位资金686.8 万元，占19.05%，比上年预算增加</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686.8 万元，增长</w:t>
      </w:r>
      <w:r>
        <w:rPr>
          <w:rFonts w:hint="eastAsia" w:ascii="仿宋_GB2312" w:hAnsi="宋体" w:eastAsia="仿宋_GB2312" w:cs="宋体"/>
          <w:kern w:val="0"/>
          <w:sz w:val="32"/>
          <w:szCs w:val="32"/>
          <w:highlight w:val="none"/>
          <w:lang w:val="en-US" w:eastAsia="zh-CN"/>
        </w:rPr>
        <w:t xml:space="preserve"> </w:t>
      </w:r>
      <w:r>
        <w:rPr>
          <w:rFonts w:hint="default"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yellow"/>
        </w:rPr>
        <w:t>我单位为机构改革新成立单位</w:t>
      </w:r>
      <w:r>
        <w:rPr>
          <w:rFonts w:hint="eastAsia" w:ascii="仿宋_GB2312" w:hAnsi="宋体" w:eastAsia="仿宋_GB2312" w:cs="宋体"/>
          <w:kern w:val="0"/>
          <w:sz w:val="32"/>
          <w:szCs w:val="32"/>
          <w:highlight w:val="yellow"/>
          <w:lang w:eastAsia="zh-CN"/>
        </w:rPr>
        <w:t>。</w:t>
      </w:r>
    </w:p>
    <w:p>
      <w:pPr>
        <w:spacing w:line="600" w:lineRule="exact"/>
        <w:ind w:firstLine="640" w:firstLineChars="200"/>
        <w:rPr>
          <w:rFonts w:ascii="楷体_GB2312" w:hAnsi="楷体_GB2312" w:eastAsia="楷体_GB2312" w:cs="楷体_GB2312"/>
          <w:b/>
          <w:bCs/>
          <w:kern w:val="0"/>
          <w:sz w:val="32"/>
          <w:szCs w:val="32"/>
        </w:rPr>
      </w:pPr>
      <w:r>
        <w:rPr>
          <w:rFonts w:hint="eastAsia" w:ascii="仿宋_GB2312" w:hAnsi="宋体" w:eastAsia="仿宋_GB2312" w:cs="宋体"/>
          <w:kern w:val="0"/>
          <w:sz w:val="32"/>
          <w:szCs w:val="32"/>
        </w:rPr>
        <w:t xml:space="preserve"> </w:t>
      </w: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呼图壁县城市管理综合服务中心</w:t>
      </w:r>
      <w:r>
        <w:rPr>
          <w:rFonts w:hint="eastAsia" w:ascii="楷体_GB2312" w:hAnsi="楷体_GB2312" w:eastAsia="楷体_GB2312" w:cs="楷体_GB2312"/>
          <w:b/>
          <w:bCs/>
          <w:kern w:val="0"/>
          <w:sz w:val="32"/>
          <w:szCs w:val="32"/>
        </w:rPr>
        <w:t>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呼图壁县城市管理综合服务中心2024年支出预算    3606.14万元，其中：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基本支出2806.14万元，占 77.82 %，比上年预算增加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2806.14万元，增长</w:t>
      </w:r>
      <w:r>
        <w:rPr>
          <w:rFonts w:hint="eastAsia" w:ascii="仿宋_GB2312" w:hAnsi="宋体" w:eastAsia="仿宋_GB2312" w:cs="宋体"/>
          <w:kern w:val="0"/>
          <w:sz w:val="32"/>
          <w:szCs w:val="32"/>
          <w:highlight w:val="yellow"/>
          <w:lang w:val="en-US" w:eastAsia="zh-CN"/>
        </w:rPr>
        <w:t xml:space="preserve"> </w:t>
      </w:r>
      <w:r>
        <w:rPr>
          <w:rFonts w:hint="default" w:ascii="仿宋_GB2312" w:hAnsi="宋体" w:eastAsia="仿宋_GB2312" w:cs="宋体"/>
          <w:kern w:val="0"/>
          <w:sz w:val="32"/>
          <w:szCs w:val="32"/>
          <w:highlight w:val="yellow"/>
          <w:lang w:val="en-US" w:eastAsia="zh-CN"/>
        </w:rPr>
        <w:t>100</w:t>
      </w:r>
      <w:r>
        <w:rPr>
          <w:rFonts w:hint="eastAsia" w:ascii="仿宋_GB2312" w:hAnsi="宋体" w:eastAsia="仿宋_GB2312" w:cs="宋体"/>
          <w:kern w:val="0"/>
          <w:sz w:val="32"/>
          <w:szCs w:val="32"/>
          <w:highlight w:val="yellow"/>
        </w:rPr>
        <w:t xml:space="preserve"> </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我单位为机构改革新成立单位 </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 800 万元，占 22.18 %，比上年预算增加 800   万元，增长</w:t>
      </w:r>
      <w:r>
        <w:rPr>
          <w:rFonts w:hint="eastAsia" w:ascii="仿宋_GB2312" w:hAnsi="宋体" w:eastAsia="仿宋_GB2312" w:cs="宋体"/>
          <w:kern w:val="0"/>
          <w:sz w:val="32"/>
          <w:szCs w:val="32"/>
          <w:lang w:val="en-US" w:eastAsia="zh-CN"/>
        </w:rPr>
        <w:t xml:space="preserve"> </w:t>
      </w:r>
      <w:r>
        <w:rPr>
          <w:rFonts w:hint="default" w:ascii="仿宋_GB2312" w:hAnsi="宋体" w:eastAsia="仿宋_GB2312" w:cs="宋体"/>
          <w:kern w:val="0"/>
          <w:sz w:val="32"/>
          <w:szCs w:val="32"/>
          <w:highlight w:val="yellow"/>
          <w:lang w:val="en-US" w:eastAsia="zh-CN"/>
        </w:rPr>
        <w:t>100</w:t>
      </w:r>
      <w:r>
        <w:rPr>
          <w:rFonts w:hint="eastAsia" w:ascii="仿宋_GB2312" w:hAnsi="宋体" w:eastAsia="仿宋_GB2312" w:cs="宋体"/>
          <w:kern w:val="0"/>
          <w:sz w:val="32"/>
          <w:szCs w:val="32"/>
          <w:highlight w:val="yellow"/>
        </w:rPr>
        <w:t xml:space="preserve"> </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w:t>
      </w:r>
    </w:p>
    <w:p>
      <w:pPr>
        <w:spacing w:line="600" w:lineRule="exact"/>
        <w:ind w:firstLine="619" w:firstLineChars="200"/>
        <w:rPr>
          <w:rFonts w:ascii="楷体_GB2312" w:hAnsi="楷体_GB2312" w:eastAsia="楷体_GB2312" w:cs="楷体_GB2312"/>
          <w:b/>
          <w:bCs/>
          <w:kern w:val="0"/>
          <w:sz w:val="32"/>
          <w:szCs w:val="32"/>
        </w:rPr>
      </w:pPr>
      <w:r>
        <w:rPr>
          <w:rFonts w:hint="eastAsia" w:ascii="仿宋_GB2312" w:hAnsi="宋体" w:eastAsia="仿宋_GB2312" w:cs="宋体"/>
          <w:b/>
          <w:color w:val="FF0000"/>
          <w:spacing w:val="-6"/>
          <w:kern w:val="0"/>
          <w:sz w:val="32"/>
          <w:szCs w:val="32"/>
        </w:rPr>
        <w:t xml:space="preserve"> </w:t>
      </w:r>
      <w:r>
        <w:rPr>
          <w:rFonts w:hint="eastAsia" w:ascii="楷体_GB2312" w:hAnsi="楷体_GB2312" w:eastAsia="楷体_GB2312" w:cs="楷体_GB2312"/>
          <w:b/>
          <w:bCs/>
          <w:kern w:val="0"/>
          <w:sz w:val="32"/>
          <w:szCs w:val="32"/>
        </w:rPr>
        <w:t>四、关于呼图壁县城市管理综合服务中心2024年财政拨款收支预算情况的总体说明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2024年财政拨款收支总预算2919.34万元。</w:t>
      </w:r>
    </w:p>
    <w:p>
      <w:pPr>
        <w:spacing w:line="600" w:lineRule="exact"/>
        <w:ind w:firstLine="627" w:firstLineChars="200"/>
        <w:rPr>
          <w:rFonts w:ascii="仿宋_GB2312" w:hAnsi="宋体" w:eastAsia="仿宋_GB2312" w:cs="宋体"/>
          <w:spacing w:val="-6"/>
          <w:kern w:val="0"/>
          <w:sz w:val="32"/>
          <w:szCs w:val="32"/>
        </w:rPr>
      </w:pPr>
      <w:r>
        <w:rPr>
          <w:rFonts w:hint="eastAsia" w:ascii="仿宋_GB2312" w:hAnsi="宋体" w:eastAsia="仿宋_GB2312" w:cs="宋体"/>
          <w:b/>
          <w:color w:val="FF0000"/>
          <w:spacing w:val="-4"/>
          <w:kern w:val="0"/>
          <w:sz w:val="32"/>
          <w:szCs w:val="32"/>
        </w:rPr>
        <w:t xml:space="preserve"> </w:t>
      </w: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 2919.34万元。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支出包括：社会保障和就业支出103.15万元，主要用于单位职工社会保险缴费。卫生健康支出45.05万元，主要用于单位职工医疗保险缴费。城乡社区支出2712.44万元，主要用于人员经费和日常市政公共实施维护业务公用经费支出。住房保障支出58.70万元，主要用于职工住房公积金支出 。 </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关于呼图壁县城市管理综合服务中心2024年一般公共预算当年拨款情况说明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呼图壁县城市管理综合服务中心</w:t>
      </w:r>
      <w:r>
        <w:rPr>
          <w:rFonts w:hint="eastAsia" w:ascii="仿宋_GB2312" w:hAnsi="仿宋_GB2312" w:eastAsia="仿宋_GB2312" w:cs="仿宋_GB2312"/>
          <w:kern w:val="0"/>
          <w:sz w:val="32"/>
          <w:szCs w:val="32"/>
        </w:rPr>
        <w:t>2024年一般公共预算拨款合计2919.34万元，其中：基本支出2119.34万元，比上年预算增加2919.34万元，增长</w:t>
      </w:r>
      <w:r>
        <w:rPr>
          <w:rFonts w:hint="default" w:ascii="仿宋_GB2312" w:hAnsi="仿宋_GB2312" w:eastAsia="仿宋_GB2312" w:cs="仿宋_GB2312"/>
          <w:kern w:val="0"/>
          <w:sz w:val="32"/>
          <w:szCs w:val="32"/>
          <w:highlight w:val="yellow"/>
          <w:lang w:val="en-US"/>
        </w:rPr>
        <w:t>100</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kern w:val="0"/>
          <w:sz w:val="32"/>
          <w:szCs w:val="32"/>
        </w:rPr>
        <w:t>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 800 万元，比上年预算增加 800 万元，增长</w:t>
      </w:r>
      <w:r>
        <w:rPr>
          <w:rFonts w:hint="eastAsia" w:ascii="仿宋_GB2312" w:hAnsi="仿宋_GB2312" w:eastAsia="仿宋_GB2312" w:cs="仿宋_GB2312"/>
          <w:kern w:val="0"/>
          <w:sz w:val="32"/>
          <w:szCs w:val="32"/>
          <w:lang w:val="en-US" w:eastAsia="zh-CN"/>
        </w:rPr>
        <w:t xml:space="preserve"> </w:t>
      </w:r>
      <w:r>
        <w:rPr>
          <w:rFonts w:hint="default" w:ascii="仿宋_GB2312" w:hAnsi="仿宋_GB2312" w:eastAsia="仿宋_GB2312" w:cs="仿宋_GB2312"/>
          <w:kern w:val="0"/>
          <w:sz w:val="32"/>
          <w:szCs w:val="32"/>
          <w:highlight w:val="yellow"/>
          <w:lang w:val="en-US" w:eastAsia="zh-CN"/>
        </w:rPr>
        <w:t>100</w:t>
      </w:r>
      <w:r>
        <w:rPr>
          <w:rFonts w:hint="eastAsia" w:ascii="仿宋_GB2312" w:hAnsi="仿宋_GB2312" w:eastAsia="仿宋_GB2312" w:cs="仿宋_GB2312"/>
          <w:kern w:val="0"/>
          <w:sz w:val="32"/>
          <w:szCs w:val="32"/>
          <w:highlight w:val="yellow"/>
        </w:rPr>
        <w:t xml:space="preserve"> </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1.社会保障和就业支出（类）103.15 万元，占3.53%。</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2.卫生健康支出（类）45.05万元，占1.54%。</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3.城乡社区支出（类）2712.44万元，占92.91%。</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4.住房保障支出（类）58.70万元，占2.02%。</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社会保障和就业支出（208类）行政事业单位养老支出（05款）事业单位离退休（02项）：</w:t>
      </w:r>
      <w:r>
        <w:rPr>
          <w:rFonts w:hint="eastAsia" w:ascii="仿宋_GB2312" w:hAnsi="仿宋_GB2312" w:eastAsia="仿宋_GB2312" w:cs="仿宋_GB2312"/>
          <w:kern w:val="0"/>
          <w:sz w:val="32"/>
          <w:szCs w:val="32"/>
        </w:rPr>
        <w:t>2024年预算数为32.92万元，比上年预算增加32.92万元，增长</w:t>
      </w:r>
      <w:r>
        <w:rPr>
          <w:rFonts w:hint="default" w:ascii="仿宋_GB2312" w:hAnsi="仿宋_GB2312" w:eastAsia="仿宋_GB2312" w:cs="仿宋_GB2312"/>
          <w:kern w:val="0"/>
          <w:sz w:val="32"/>
          <w:szCs w:val="32"/>
          <w:highlight w:val="yellow"/>
          <w:lang w:val="en-US"/>
        </w:rPr>
        <w:t>100</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 xml:space="preserve">我单位为机构改革新成立单位 </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2.</w:t>
      </w:r>
      <w:r>
        <w:rPr>
          <w:rFonts w:hint="eastAsia" w:ascii="仿宋_GB2312" w:hAnsi="宋体" w:eastAsia="仿宋_GB2312" w:cs="宋体"/>
          <w:kern w:val="0"/>
          <w:sz w:val="32"/>
          <w:szCs w:val="32"/>
        </w:rPr>
        <w:t>社会保障和就业支出（208类）行政事业单位养老支出（05款）机关事业单位基本养老保险缴费支出（05项）:</w:t>
      </w:r>
      <w:r>
        <w:rPr>
          <w:rFonts w:hint="eastAsia" w:ascii="仿宋_GB2312" w:hAnsi="仿宋_GB2312" w:eastAsia="仿宋_GB2312" w:cs="仿宋_GB2312"/>
          <w:kern w:val="0"/>
          <w:sz w:val="32"/>
          <w:szCs w:val="32"/>
        </w:rPr>
        <w:t>2024年预算数为70.23万元，比上年预算增加70.23万元，增长</w:t>
      </w:r>
      <w:r>
        <w:rPr>
          <w:rFonts w:hint="default" w:ascii="仿宋_GB2312" w:hAnsi="仿宋_GB2312" w:eastAsia="仿宋_GB2312" w:cs="仿宋_GB2312"/>
          <w:kern w:val="0"/>
          <w:sz w:val="32"/>
          <w:szCs w:val="32"/>
          <w:highlight w:val="yellow"/>
          <w:lang w:val="en-US"/>
        </w:rPr>
        <w:t>100</w:t>
      </w:r>
      <w:r>
        <w:rPr>
          <w:rFonts w:hint="eastAsia" w:ascii="仿宋_GB2312" w:hAnsi="仿宋_GB2312" w:eastAsia="仿宋_GB2312" w:cs="仿宋_GB2312"/>
          <w:kern w:val="0"/>
          <w:sz w:val="32"/>
          <w:szCs w:val="32"/>
          <w:highlight w:val="yellow"/>
        </w:rPr>
        <w:t>%</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我单位为机构改革新成立单位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3.卫生健康支出（210类）事业单位医疗（11款）</w:t>
      </w:r>
      <w:r>
        <w:rPr>
          <w:rFonts w:hint="eastAsia" w:ascii="仿宋_GB2312" w:hAnsi="宋体" w:eastAsia="仿宋_GB2312" w:cs="宋体"/>
          <w:kern w:val="0"/>
          <w:sz w:val="32"/>
          <w:szCs w:val="32"/>
          <w:highlight w:val="yellow"/>
          <w:lang w:val="en-US" w:eastAsia="zh-CN"/>
        </w:rPr>
        <w:t>事业</w:t>
      </w:r>
      <w:r>
        <w:rPr>
          <w:rFonts w:hint="eastAsia" w:ascii="仿宋_GB2312" w:hAnsi="宋体" w:eastAsia="仿宋_GB2312" w:cs="宋体"/>
          <w:kern w:val="0"/>
          <w:sz w:val="32"/>
          <w:szCs w:val="32"/>
          <w:highlight w:val="yellow"/>
        </w:rPr>
        <w:t>单位医疗</w:t>
      </w:r>
      <w:r>
        <w:rPr>
          <w:rFonts w:hint="eastAsia" w:ascii="仿宋_GB2312" w:hAnsi="宋体" w:eastAsia="仿宋_GB2312" w:cs="宋体"/>
          <w:kern w:val="0"/>
          <w:sz w:val="32"/>
          <w:szCs w:val="32"/>
        </w:rPr>
        <w:t>（02项）:2024年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35.11万元 ，比上年预算增加35.11万元，增长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 xml:space="preserve">，主要原因是:我单位为机构改革新成立单位 </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4.卫生健康支出（210类）行政事业单位医疗（11款）公务员医疗补助（03项）:2024年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9.66万元 ，比上年预算增加9.66万元，增长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5.卫生健康支出（210类）行政事业单位医疗（11款）其他行政事业单位医疗支出（99项）:2024年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0.28万元 ，比上年预算增加0.28万元，增长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6.城乡社区支出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212类</w:t>
      </w:r>
      <w:r>
        <w:rPr>
          <w:rFonts w:ascii="仿宋_GB2312" w:hAnsi="宋体" w:eastAsia="仿宋_GB2312" w:cs="宋体"/>
          <w:kern w:val="0"/>
          <w:sz w:val="32"/>
          <w:szCs w:val="32"/>
        </w:rPr>
        <w:t>）</w:t>
      </w:r>
      <w:r>
        <w:rPr>
          <w:rFonts w:hint="eastAsia" w:ascii="仿宋_GB2312" w:hAnsi="宋体" w:eastAsia="仿宋_GB2312" w:cs="宋体"/>
          <w:kern w:val="0"/>
          <w:sz w:val="32"/>
          <w:szCs w:val="32"/>
        </w:rPr>
        <w:t>城乡社区公共设施</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w:t>
      </w:r>
      <w:r>
        <w:rPr>
          <w:rFonts w:hint="eastAsia" w:ascii="仿宋_GB2312" w:hAnsi="宋体" w:eastAsia="仿宋_GB2312" w:cs="宋体"/>
          <w:kern w:val="0"/>
          <w:sz w:val="32"/>
          <w:szCs w:val="32"/>
        </w:rPr>
        <w:t>其他城乡社区公共设施（99项）:2024年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480万元 ，比上年预算增加480万元，增长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7.城乡社区支出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212类</w:t>
      </w:r>
      <w:r>
        <w:rPr>
          <w:rFonts w:ascii="仿宋_GB2312" w:hAnsi="宋体" w:eastAsia="仿宋_GB2312" w:cs="宋体"/>
          <w:kern w:val="0"/>
          <w:sz w:val="32"/>
          <w:szCs w:val="32"/>
        </w:rPr>
        <w:t>）</w:t>
      </w:r>
      <w:r>
        <w:rPr>
          <w:rFonts w:hint="eastAsia" w:ascii="仿宋_GB2312" w:hAnsi="宋体" w:eastAsia="仿宋_GB2312" w:cs="宋体"/>
          <w:kern w:val="0"/>
          <w:sz w:val="32"/>
          <w:szCs w:val="32"/>
        </w:rPr>
        <w:t>城乡社区环境卫生</w:t>
      </w:r>
      <w:r>
        <w:rPr>
          <w:rFonts w:ascii="仿宋_GB2312" w:hAnsi="宋体" w:eastAsia="仿宋_GB2312" w:cs="宋体"/>
          <w:kern w:val="0"/>
          <w:sz w:val="32"/>
          <w:szCs w:val="32"/>
        </w:rPr>
        <w:t>（</w:t>
      </w:r>
      <w:r>
        <w:rPr>
          <w:rFonts w:hint="eastAsia" w:ascii="仿宋_GB2312" w:hAnsi="宋体" w:eastAsia="仿宋_GB2312" w:cs="宋体"/>
          <w:kern w:val="0"/>
          <w:sz w:val="32"/>
          <w:szCs w:val="32"/>
        </w:rPr>
        <w:t>05款</w:t>
      </w:r>
      <w:r>
        <w:rPr>
          <w:rFonts w:ascii="仿宋_GB2312" w:hAnsi="宋体" w:eastAsia="仿宋_GB2312" w:cs="宋体"/>
          <w:kern w:val="0"/>
          <w:sz w:val="32"/>
          <w:szCs w:val="32"/>
        </w:rPr>
        <w:t>）</w:t>
      </w:r>
      <w:r>
        <w:rPr>
          <w:rFonts w:hint="eastAsia" w:ascii="仿宋_GB2312" w:hAnsi="宋体" w:eastAsia="仿宋_GB2312" w:cs="宋体"/>
          <w:kern w:val="0"/>
          <w:sz w:val="32"/>
          <w:szCs w:val="32"/>
        </w:rPr>
        <w:t>城乡社区环境卫生（01项）:2024年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2232.44万元 ，比上年预算增加2232.44万元，增长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highlight w:val="yellow"/>
        </w:rPr>
        <w:t>%</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8.住房保障支出（221类）住房改革支出（02款）住房公积金（01项）:2024年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58.7万元 ，比上年预算增加58.7万元，增长</w:t>
      </w:r>
      <w:r>
        <w:rPr>
          <w:rFonts w:hint="default" w:ascii="仿宋_GB2312" w:hAnsi="宋体" w:eastAsia="仿宋_GB2312" w:cs="宋体"/>
          <w:kern w:val="0"/>
          <w:sz w:val="32"/>
          <w:szCs w:val="32"/>
          <w:highlight w:val="yellow"/>
          <w:lang w:val="en-US"/>
        </w:rPr>
        <w:t>100</w:t>
      </w:r>
      <w:r>
        <w:rPr>
          <w:rFonts w:hint="eastAsia" w:ascii="仿宋_GB2312" w:hAnsi="宋体" w:eastAsia="仿宋_GB2312" w:cs="宋体"/>
          <w:kern w:val="0"/>
          <w:sz w:val="32"/>
          <w:szCs w:val="32"/>
        </w:rPr>
        <w:t>%，主要原因是：我单位为机构改革新成立单位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关于呼图壁县城市管理综合服务中心2024年一般公共预算基本支出情况说明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呼图壁县城市管理综合服务中心</w:t>
      </w:r>
      <w:r>
        <w:rPr>
          <w:rFonts w:hint="eastAsia" w:ascii="仿宋_GB2312" w:hAnsi="宋体" w:eastAsia="仿宋_GB2312" w:cs="宋体"/>
          <w:spacing w:val="-6"/>
          <w:kern w:val="0"/>
          <w:sz w:val="32"/>
          <w:szCs w:val="32"/>
        </w:rPr>
        <w:t>2024年一般公共预算基本支出2119.34万元， 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2076.27万元，主要包括：基本工资173.32万元、津贴补贴55.88万元、奖金143.75万元、绩效工资116.2万元、机关事业单位基本养老保险缴费70.23万元、职工基本医疗保险缴费35.11万元、公务员医疗补助缴费9.66万元、其他社会保障缴费4.23万元、住房公积金58.70万元、其他工资福利支出1376.25万元、退休费31.01万元、奖励金1.91万元、 其他对个人和家庭的补助等0.02万元。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公用经费43.07万元，主要包括：办公费4.36万元、 邮电费2万元、取暖费19.44万元、差旅费2万元、公务接待费0.38万元、工会经费8.49万元、公务用车运行6.4万元。维护费 。</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关于呼图壁县城市管理综合服务中心2024年一般公共预算项目支出情况说明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城区绿化养护费项目（非定额）</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呼财字【2024】5号</w:t>
      </w:r>
      <w:r>
        <w:rPr>
          <w:rFonts w:hint="eastAsia" w:ascii="仿宋_GB2312" w:hAnsi="宋体" w:eastAsia="仿宋_GB2312" w:cs="宋体"/>
          <w:kern w:val="0"/>
          <w:sz w:val="32"/>
          <w:szCs w:val="32"/>
          <w:lang w:val="en-US" w:eastAsia="zh-CN"/>
        </w:rPr>
        <w:t xml:space="preserve"> </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480万元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呼图壁县城市管理综合服务中心</w:t>
      </w:r>
    </w:p>
    <w:p>
      <w:pPr>
        <w:spacing w:line="600" w:lineRule="exact"/>
        <w:ind w:firstLine="640" w:firstLineChars="200"/>
        <w:rPr>
          <w:rFonts w:hint="eastAsia" w:ascii="仿宋_GB2312" w:hAnsi="仿宋_GB2312" w:eastAsia="仿宋_GB2312" w:cs="仿宋_GB2312"/>
          <w:sz w:val="32"/>
          <w:szCs w:val="32"/>
          <w:highlight w:val="yellow"/>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仿宋_GB2312" w:eastAsia="仿宋_GB2312" w:cs="仿宋_GB2312"/>
          <w:sz w:val="32"/>
          <w:szCs w:val="32"/>
          <w:highlight w:val="yellow"/>
          <w:lang w:val="en-US" w:eastAsia="zh-CN"/>
        </w:rPr>
        <w:t>支付呼图壁县城绿地养护工作经费，以招投标方式分包给五家公司对锦华大道、天山雪大道、城中片区、西域春大道和吉祥大道、外环片区进行绿地养护。</w:t>
      </w:r>
      <w:r>
        <w:rPr>
          <w:rFonts w:hint="eastAsia" w:ascii="仿宋_GB2312" w:hAnsi="宋体" w:eastAsia="仿宋_GB2312" w:cs="宋体"/>
          <w:kern w:val="0"/>
          <w:sz w:val="32"/>
          <w:szCs w:val="32"/>
          <w:highlight w:val="yellow"/>
        </w:rPr>
        <w:t>按财政预算安排分配，</w:t>
      </w:r>
      <w:r>
        <w:rPr>
          <w:rFonts w:hint="eastAsia" w:ascii="仿宋_GB2312" w:hAnsi="宋体" w:eastAsia="仿宋_GB2312" w:cs="宋体"/>
          <w:kern w:val="0"/>
          <w:sz w:val="32"/>
          <w:szCs w:val="32"/>
          <w:highlight w:val="yellow"/>
          <w:lang w:val="en-US" w:eastAsia="zh-CN"/>
        </w:rPr>
        <w:t>每月支付40万元，</w:t>
      </w:r>
      <w:r>
        <w:rPr>
          <w:rFonts w:hint="eastAsia" w:ascii="仿宋_GB2312" w:hAnsi="仿宋_GB2312" w:eastAsia="仿宋_GB2312" w:cs="仿宋_GB2312"/>
          <w:sz w:val="32"/>
          <w:szCs w:val="32"/>
          <w:highlight w:val="yellow"/>
          <w:lang w:val="en-US" w:eastAsia="zh-CN"/>
        </w:rPr>
        <w:t>用于支付部分绿化养护费及农民工工资。</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2、项目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特种车、绿化用车、垃圾场运行维护费（非定额）</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呼财字【2024】5号</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320万元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呼图壁县城市管理综合服务中心</w:t>
      </w:r>
    </w:p>
    <w:p>
      <w:pPr>
        <w:spacing w:line="600" w:lineRule="exact"/>
        <w:ind w:firstLine="640" w:firstLineChars="200"/>
        <w:rPr>
          <w:rFonts w:hint="default" w:ascii="仿宋_GB2312" w:hAnsi="宋体" w:eastAsia="仿宋_GB2312" w:cs="宋体"/>
          <w:kern w:val="0"/>
          <w:sz w:val="32"/>
          <w:szCs w:val="32"/>
          <w:highlight w:val="yellow"/>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highlight w:val="yellow"/>
          <w:lang w:val="en-US" w:eastAsia="zh-CN"/>
        </w:rPr>
        <w:t>每月安排15-25万元，主要用于</w:t>
      </w:r>
      <w:r>
        <w:rPr>
          <w:rFonts w:hint="eastAsia" w:ascii="仿宋_GB2312" w:hAnsi="宋体" w:eastAsia="仿宋_GB2312" w:cs="宋体"/>
          <w:kern w:val="0"/>
          <w:sz w:val="32"/>
          <w:szCs w:val="32"/>
          <w:highlight w:val="yellow"/>
        </w:rPr>
        <w:t>特种车、绿化用车</w:t>
      </w:r>
      <w:r>
        <w:rPr>
          <w:rFonts w:hint="eastAsia" w:ascii="仿宋_GB2312" w:hAnsi="宋体" w:eastAsia="仿宋_GB2312" w:cs="宋体"/>
          <w:kern w:val="0"/>
          <w:sz w:val="32"/>
          <w:szCs w:val="32"/>
          <w:highlight w:val="yellow"/>
          <w:lang w:val="en-US" w:eastAsia="zh-CN"/>
        </w:rPr>
        <w:t>的油料费用，保障我县城区公共环境卫生清扫</w:t>
      </w:r>
      <w:r>
        <w:rPr>
          <w:rFonts w:hint="eastAsia" w:ascii="仿宋_GB2312" w:hAnsi="仿宋_GB2312" w:eastAsia="仿宋_GB2312" w:cs="仿宋_GB2312"/>
          <w:kern w:val="0"/>
          <w:sz w:val="32"/>
          <w:szCs w:val="32"/>
          <w:highlight w:val="yellow"/>
        </w:rPr>
        <w:t>、</w:t>
      </w:r>
      <w:r>
        <w:rPr>
          <w:rFonts w:hint="eastAsia" w:ascii="仿宋_GB2312" w:hAnsi="宋体" w:eastAsia="仿宋_GB2312" w:cs="宋体"/>
          <w:kern w:val="0"/>
          <w:sz w:val="32"/>
          <w:szCs w:val="32"/>
          <w:highlight w:val="yellow"/>
          <w:lang w:val="en-US" w:eastAsia="zh-CN"/>
        </w:rPr>
        <w:t>垃圾清运</w:t>
      </w:r>
      <w:r>
        <w:rPr>
          <w:rFonts w:hint="eastAsia" w:ascii="仿宋_GB2312" w:hAnsi="仿宋_GB2312" w:eastAsia="仿宋_GB2312" w:cs="仿宋_GB2312"/>
          <w:kern w:val="0"/>
          <w:sz w:val="32"/>
          <w:szCs w:val="32"/>
          <w:highlight w:val="yellow"/>
        </w:rPr>
        <w:t>、</w:t>
      </w:r>
      <w:r>
        <w:rPr>
          <w:rFonts w:hint="eastAsia" w:ascii="仿宋_GB2312" w:hAnsi="宋体" w:eastAsia="仿宋_GB2312" w:cs="宋体"/>
          <w:kern w:val="0"/>
          <w:sz w:val="32"/>
          <w:szCs w:val="32"/>
          <w:highlight w:val="yellow"/>
          <w:lang w:val="en-US" w:eastAsia="zh-CN"/>
        </w:rPr>
        <w:t>市政设施维护</w:t>
      </w:r>
      <w:r>
        <w:rPr>
          <w:rFonts w:hint="eastAsia" w:ascii="仿宋_GB2312" w:hAnsi="仿宋_GB2312" w:eastAsia="仿宋_GB2312" w:cs="仿宋_GB2312"/>
          <w:kern w:val="0"/>
          <w:sz w:val="32"/>
          <w:szCs w:val="32"/>
          <w:highlight w:val="yellow"/>
        </w:rPr>
        <w:t>、</w:t>
      </w:r>
      <w:r>
        <w:rPr>
          <w:rFonts w:hint="eastAsia" w:ascii="仿宋_GB2312" w:hAnsi="宋体" w:eastAsia="仿宋_GB2312" w:cs="宋体"/>
          <w:kern w:val="0"/>
          <w:sz w:val="32"/>
          <w:szCs w:val="32"/>
          <w:highlight w:val="yellow"/>
          <w:lang w:val="en-US" w:eastAsia="zh-CN"/>
        </w:rPr>
        <w:t>绿化浇灌等工作的正常开展。</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楷体_GB2312" w:hAnsi="楷体_GB2312" w:eastAsia="楷体_GB2312" w:cs="楷体_GB2312"/>
          <w:b/>
          <w:bCs/>
          <w:kern w:val="0"/>
          <w:sz w:val="32"/>
          <w:szCs w:val="32"/>
        </w:rPr>
      </w:pPr>
      <w:r>
        <w:rPr>
          <w:rFonts w:hint="eastAsia" w:ascii="仿宋_GB2312" w:hAnsi="仿宋_GB2312" w:eastAsia="仿宋_GB2312" w:cs="仿宋_GB2312"/>
          <w:kern w:val="0"/>
          <w:sz w:val="32"/>
          <w:szCs w:val="32"/>
        </w:rPr>
        <w:t xml:space="preserve"> </w:t>
      </w:r>
      <w:r>
        <w:rPr>
          <w:rFonts w:hint="eastAsia" w:ascii="楷体_GB2312" w:hAnsi="楷体_GB2312" w:eastAsia="楷体_GB2312" w:cs="楷体_GB2312"/>
          <w:b/>
          <w:bCs/>
          <w:kern w:val="0"/>
          <w:sz w:val="32"/>
          <w:szCs w:val="32"/>
        </w:rPr>
        <w:t>八、关于呼图壁县城市管理综合服务中心2024年政府性基金预算拨款情况说明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color w:val="FF0000"/>
          <w:kern w:val="0"/>
          <w:sz w:val="32"/>
          <w:szCs w:val="32"/>
        </w:rPr>
        <w:t xml:space="preserve"> </w:t>
      </w:r>
      <w:r>
        <w:rPr>
          <w:rFonts w:hint="eastAsia" w:ascii="仿宋_GB2312" w:hAnsi="仿宋_GB2312" w:eastAsia="仿宋_GB2312" w:cs="仿宋_GB2312"/>
          <w:kern w:val="0"/>
          <w:sz w:val="32"/>
          <w:szCs w:val="32"/>
        </w:rPr>
        <w:t>呼图壁县城市管理综合服务中心2024年没有使用政府性基金预算拨款安排的支出，政府性基金预算支出情况表为空表。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仿宋_GB2312" w:hAnsi="仿宋_GB2312" w:eastAsia="仿宋_GB2312" w:cs="仿宋_GB2312"/>
          <w:b/>
          <w:color w:val="FF0000"/>
          <w:kern w:val="0"/>
          <w:sz w:val="32"/>
          <w:szCs w:val="32"/>
        </w:rPr>
        <w:t xml:space="preserve"> </w:t>
      </w:r>
      <w:r>
        <w:rPr>
          <w:rFonts w:hint="eastAsia" w:ascii="楷体_GB2312" w:hAnsi="楷体_GB2312" w:eastAsia="楷体_GB2312" w:cs="楷体_GB2312"/>
          <w:b/>
          <w:bCs/>
          <w:kern w:val="0"/>
          <w:sz w:val="32"/>
          <w:szCs w:val="32"/>
        </w:rPr>
        <w:t>九、关于呼图壁县城市管理综合服务中心2024年国有资本经营预算拨款情况说明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FF0000"/>
          <w:kern w:val="0"/>
          <w:sz w:val="32"/>
          <w:szCs w:val="32"/>
        </w:rPr>
        <w:t xml:space="preserve"> </w:t>
      </w:r>
      <w:r>
        <w:rPr>
          <w:rFonts w:hint="eastAsia" w:ascii="仿宋_GB2312" w:hAnsi="仿宋_GB2312" w:eastAsia="仿宋_GB2312" w:cs="仿宋_GB2312"/>
          <w:kern w:val="0"/>
          <w:sz w:val="32"/>
          <w:szCs w:val="32"/>
        </w:rPr>
        <w:t>呼图壁县城市管理综合服务中心2024年没有使用国有资本经营预算拨款安排的支出，国有资本经营预算支出情况表为空表。</w:t>
      </w:r>
    </w:p>
    <w:p>
      <w:pPr>
        <w:spacing w:line="600" w:lineRule="exact"/>
        <w:ind w:firstLine="640" w:firstLineChars="200"/>
        <w:rPr>
          <w:rFonts w:ascii="楷体_GB2312" w:hAnsi="楷体_GB2312" w:eastAsia="楷体_GB2312" w:cs="楷体_GB2312"/>
          <w:b/>
          <w:bCs/>
          <w:kern w:val="0"/>
          <w:sz w:val="32"/>
          <w:szCs w:val="32"/>
        </w:rPr>
      </w:pPr>
      <w:r>
        <w:rPr>
          <w:rFonts w:hint="eastAsia" w:ascii="仿宋_GB2312" w:hAnsi="仿宋_GB2312" w:eastAsia="仿宋_GB2312" w:cs="仿宋_GB2312"/>
          <w:color w:val="FF0000"/>
          <w:kern w:val="0"/>
          <w:sz w:val="32"/>
          <w:szCs w:val="32"/>
        </w:rPr>
        <w:t xml:space="preserve"> </w:t>
      </w:r>
      <w:r>
        <w:rPr>
          <w:rFonts w:hint="eastAsia" w:ascii="楷体_GB2312" w:hAnsi="楷体_GB2312" w:eastAsia="楷体_GB2312" w:cs="楷体_GB2312"/>
          <w:b/>
          <w:bCs/>
          <w:kern w:val="0"/>
          <w:sz w:val="32"/>
          <w:szCs w:val="32"/>
        </w:rPr>
        <w:t>十、关于呼图壁县城市管理综合服务中心2024年财政拨款“三公”经费预算情况说明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呼图壁县城市管理综合服务中心</w:t>
      </w:r>
      <w:r>
        <w:rPr>
          <w:rFonts w:hint="eastAsia" w:ascii="仿宋_GB2312" w:hAnsi="宋体" w:eastAsia="仿宋_GB2312" w:cs="宋体"/>
          <w:kern w:val="0"/>
          <w:sz w:val="32"/>
          <w:szCs w:val="32"/>
        </w:rPr>
        <w:t>2024年财政拨款“三公”经费数为6.78万元，其中：因公出国（境）费0万元，公务用车购置费0万元，公务用车运行费6.4万元，公务接待费0.38万元。</w:t>
      </w:r>
    </w:p>
    <w:p>
      <w:pPr>
        <w:spacing w:line="600" w:lineRule="exact"/>
        <w:ind w:firstLine="640" w:firstLineChars="200"/>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2024年财政拨款“三公”经费比上年预算增加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 xml:space="preserve"> 0万元，增长</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0 %，其中：因公出国（境）费增加</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0万元，增长</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0%，主要原因是：</w:t>
      </w:r>
      <w:r>
        <w:rPr>
          <w:rFonts w:hint="eastAsia" w:ascii="仿宋_GB2312" w:hAnsi="宋体" w:eastAsia="仿宋_GB2312" w:cs="宋体"/>
          <w:kern w:val="0"/>
          <w:sz w:val="32"/>
          <w:szCs w:val="32"/>
          <w:highlight w:val="yellow"/>
        </w:rPr>
        <w:t>2024年未安排因公出国费</w:t>
      </w:r>
      <w:r>
        <w:rPr>
          <w:rFonts w:hint="eastAsia" w:ascii="仿宋_GB2312" w:hAnsi="宋体" w:eastAsia="仿宋_GB2312" w:cs="宋体"/>
          <w:kern w:val="0"/>
          <w:sz w:val="32"/>
          <w:szCs w:val="32"/>
          <w:highlight w:val="yellow"/>
          <w:lang w:eastAsia="zh-CN"/>
        </w:rPr>
        <w:t>，</w:t>
      </w:r>
      <w:r>
        <w:rPr>
          <w:rFonts w:hint="eastAsia" w:ascii="仿宋_GB2312" w:hAnsi="宋体" w:eastAsia="仿宋_GB2312" w:cs="宋体"/>
          <w:kern w:val="0"/>
          <w:sz w:val="32"/>
          <w:szCs w:val="32"/>
          <w:highlight w:val="yellow"/>
        </w:rPr>
        <w:t>公务用车购置费增加</w:t>
      </w:r>
      <w:r>
        <w:rPr>
          <w:rFonts w:hint="eastAsia" w:ascii="仿宋_GB2312" w:hAnsi="宋体" w:eastAsia="仿宋_GB2312" w:cs="宋体"/>
          <w:kern w:val="0"/>
          <w:sz w:val="32"/>
          <w:szCs w:val="32"/>
          <w:highlight w:val="yellow"/>
          <w:lang w:val="en-US" w:eastAsia="zh-CN"/>
        </w:rPr>
        <w:t xml:space="preserve"> </w:t>
      </w:r>
      <w:r>
        <w:rPr>
          <w:rFonts w:hint="eastAsia" w:ascii="仿宋_GB2312" w:hAnsi="宋体" w:eastAsia="仿宋_GB2312" w:cs="宋体"/>
          <w:kern w:val="0"/>
          <w:sz w:val="32"/>
          <w:szCs w:val="32"/>
          <w:highlight w:val="yellow"/>
        </w:rPr>
        <w:t>0万元，增长</w:t>
      </w:r>
      <w:r>
        <w:rPr>
          <w:rFonts w:hint="eastAsia" w:ascii="仿宋_GB2312" w:hAnsi="宋体" w:eastAsia="仿宋_GB2312" w:cs="宋体"/>
          <w:kern w:val="0"/>
          <w:sz w:val="32"/>
          <w:szCs w:val="32"/>
          <w:highlight w:val="yellow"/>
          <w:lang w:val="en-US" w:eastAsia="zh-CN"/>
        </w:rPr>
        <w:t xml:space="preserve"> </w:t>
      </w:r>
      <w:r>
        <w:rPr>
          <w:rFonts w:hint="eastAsia" w:ascii="仿宋_GB2312" w:hAnsi="宋体" w:eastAsia="仿宋_GB2312" w:cs="宋体"/>
          <w:kern w:val="0"/>
          <w:sz w:val="32"/>
          <w:szCs w:val="32"/>
          <w:highlight w:val="yellow"/>
        </w:rPr>
        <w:t>0%，主要原因是：2024年未安排公务用车</w:t>
      </w:r>
      <w:r>
        <w:rPr>
          <w:rFonts w:hint="eastAsia" w:ascii="仿宋_GB2312" w:hAnsi="宋体" w:eastAsia="仿宋_GB2312" w:cs="宋体"/>
          <w:kern w:val="0"/>
          <w:sz w:val="32"/>
          <w:szCs w:val="32"/>
        </w:rPr>
        <w:t>购置费；</w:t>
      </w:r>
      <w:r>
        <w:rPr>
          <w:rFonts w:hint="eastAsia" w:ascii="仿宋_GB2312" w:hAnsi="宋体" w:eastAsia="仿宋_GB2312" w:cs="宋体"/>
          <w:kern w:val="0"/>
          <w:sz w:val="32"/>
          <w:szCs w:val="32"/>
          <w:highlight w:val="yellow"/>
        </w:rPr>
        <w:t>公务用车运行费</w:t>
      </w:r>
      <w:r>
        <w:rPr>
          <w:rFonts w:hint="eastAsia" w:ascii="仿宋_GB2312" w:hAnsi="宋体" w:eastAsia="仿宋_GB2312" w:cs="宋体"/>
          <w:kern w:val="0"/>
          <w:sz w:val="32"/>
          <w:szCs w:val="32"/>
          <w:highlight w:val="yellow"/>
          <w:lang w:val="en-US" w:eastAsia="zh-CN"/>
        </w:rPr>
        <w:t>比上年预算</w:t>
      </w:r>
      <w:r>
        <w:rPr>
          <w:rFonts w:hint="eastAsia" w:ascii="仿宋_GB2312" w:hAnsi="宋体" w:eastAsia="仿宋_GB2312" w:cs="宋体"/>
          <w:kern w:val="0"/>
          <w:sz w:val="32"/>
          <w:szCs w:val="32"/>
          <w:highlight w:val="yellow"/>
        </w:rPr>
        <w:t>增加</w:t>
      </w:r>
      <w:r>
        <w:rPr>
          <w:rFonts w:hint="eastAsia" w:ascii="仿宋_GB2312" w:hAnsi="宋体" w:eastAsia="仿宋_GB2312" w:cs="宋体"/>
          <w:kern w:val="0"/>
          <w:sz w:val="32"/>
          <w:szCs w:val="32"/>
          <w:highlight w:val="yellow"/>
          <w:lang w:val="en-US" w:eastAsia="zh-CN"/>
        </w:rPr>
        <w:t>6.4</w:t>
      </w:r>
      <w:r>
        <w:rPr>
          <w:rFonts w:hint="eastAsia" w:ascii="仿宋_GB2312" w:hAnsi="宋体" w:eastAsia="仿宋_GB2312" w:cs="宋体"/>
          <w:kern w:val="0"/>
          <w:sz w:val="32"/>
          <w:szCs w:val="32"/>
          <w:highlight w:val="yellow"/>
        </w:rPr>
        <w:t>万元，增长</w:t>
      </w:r>
      <w:r>
        <w:rPr>
          <w:rFonts w:hint="eastAsia" w:ascii="仿宋_GB2312" w:hAnsi="宋体" w:eastAsia="仿宋_GB2312" w:cs="宋体"/>
          <w:kern w:val="0"/>
          <w:sz w:val="32"/>
          <w:szCs w:val="32"/>
          <w:highlight w:val="yellow"/>
          <w:lang w:val="en-US" w:eastAsia="zh-CN"/>
        </w:rPr>
        <w:t>100</w:t>
      </w:r>
      <w:r>
        <w:rPr>
          <w:rFonts w:hint="eastAsia" w:ascii="仿宋_GB2312" w:hAnsi="宋体" w:eastAsia="仿宋_GB2312" w:cs="宋体"/>
          <w:kern w:val="0"/>
          <w:sz w:val="32"/>
          <w:szCs w:val="32"/>
          <w:highlight w:val="yellow"/>
        </w:rPr>
        <w:t>%，主要原因是：我单位为机构改革新成立单位 ；公务接待费</w:t>
      </w:r>
      <w:r>
        <w:rPr>
          <w:rFonts w:hint="eastAsia" w:ascii="仿宋_GB2312" w:hAnsi="宋体" w:eastAsia="仿宋_GB2312" w:cs="宋体"/>
          <w:kern w:val="0"/>
          <w:sz w:val="32"/>
          <w:szCs w:val="32"/>
          <w:highlight w:val="yellow"/>
          <w:lang w:val="en-US" w:eastAsia="zh-CN"/>
        </w:rPr>
        <w:t>比上年预算</w:t>
      </w:r>
      <w:r>
        <w:rPr>
          <w:rFonts w:hint="eastAsia" w:ascii="仿宋_GB2312" w:hAnsi="宋体" w:eastAsia="仿宋_GB2312" w:cs="宋体"/>
          <w:kern w:val="0"/>
          <w:sz w:val="32"/>
          <w:szCs w:val="32"/>
          <w:highlight w:val="yellow"/>
        </w:rPr>
        <w:t>增加</w:t>
      </w:r>
      <w:r>
        <w:rPr>
          <w:rFonts w:hint="eastAsia" w:ascii="仿宋_GB2312" w:hAnsi="宋体" w:eastAsia="仿宋_GB2312" w:cs="宋体"/>
          <w:kern w:val="0"/>
          <w:sz w:val="32"/>
          <w:szCs w:val="32"/>
          <w:highlight w:val="yellow"/>
          <w:lang w:val="en-US" w:eastAsia="zh-CN"/>
        </w:rPr>
        <w:t>0.38</w:t>
      </w:r>
      <w:r>
        <w:rPr>
          <w:rFonts w:hint="eastAsia" w:ascii="仿宋_GB2312" w:hAnsi="宋体" w:eastAsia="仿宋_GB2312" w:cs="宋体"/>
          <w:kern w:val="0"/>
          <w:sz w:val="32"/>
          <w:szCs w:val="32"/>
          <w:highlight w:val="yellow"/>
        </w:rPr>
        <w:t>万元，增长</w:t>
      </w:r>
      <w:r>
        <w:rPr>
          <w:rFonts w:hint="eastAsia" w:ascii="仿宋_GB2312" w:hAnsi="宋体" w:eastAsia="仿宋_GB2312" w:cs="宋体"/>
          <w:kern w:val="0"/>
          <w:sz w:val="32"/>
          <w:szCs w:val="32"/>
          <w:highlight w:val="yellow"/>
          <w:lang w:val="en-US" w:eastAsia="zh-CN"/>
        </w:rPr>
        <w:t>100</w:t>
      </w:r>
      <w:r>
        <w:rPr>
          <w:rFonts w:hint="eastAsia" w:ascii="仿宋_GB2312" w:hAnsi="宋体" w:eastAsia="仿宋_GB2312" w:cs="宋体"/>
          <w:kern w:val="0"/>
          <w:sz w:val="32"/>
          <w:szCs w:val="32"/>
          <w:highlight w:val="yellow"/>
        </w:rPr>
        <w:t xml:space="preserve"> %，主要原因是：我单位为机构改革新成立单位</w:t>
      </w:r>
      <w:r>
        <w:rPr>
          <w:rFonts w:hint="eastAsia" w:ascii="仿宋_GB2312" w:hAnsi="宋体" w:eastAsia="仿宋_GB2312" w:cs="宋体"/>
          <w:kern w:val="0"/>
          <w:sz w:val="32"/>
          <w:szCs w:val="32"/>
          <w:highlight w:val="yellow"/>
          <w:lang w:eastAsia="zh-CN"/>
        </w:rPr>
        <w:t>，</w:t>
      </w:r>
      <w:r>
        <w:rPr>
          <w:rFonts w:hint="eastAsia" w:ascii="仿宋_GB2312" w:hAnsi="宋体" w:eastAsia="仿宋_GB2312" w:cs="宋体"/>
          <w:kern w:val="0"/>
          <w:sz w:val="32"/>
          <w:szCs w:val="32"/>
          <w:highlight w:val="yellow"/>
        </w:rPr>
        <w:t>单位202</w:t>
      </w:r>
      <w:r>
        <w:rPr>
          <w:rFonts w:hint="eastAsia" w:ascii="仿宋_GB2312" w:hAnsi="宋体" w:eastAsia="仿宋_GB2312" w:cs="宋体"/>
          <w:kern w:val="0"/>
          <w:sz w:val="32"/>
          <w:szCs w:val="32"/>
          <w:highlight w:val="yellow"/>
          <w:lang w:val="en-US" w:eastAsia="zh-CN"/>
        </w:rPr>
        <w:t>4</w:t>
      </w:r>
      <w:r>
        <w:rPr>
          <w:rFonts w:hint="eastAsia" w:ascii="仿宋_GB2312" w:hAnsi="宋体" w:eastAsia="仿宋_GB2312" w:cs="宋体"/>
          <w:kern w:val="0"/>
          <w:sz w:val="32"/>
          <w:szCs w:val="32"/>
          <w:highlight w:val="yellow"/>
        </w:rPr>
        <w:t>年未安排公务接待费。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十一、关于呼图壁县城市管理综合服务中心2024年上年结转结余预算情况说明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color w:val="FF0000"/>
          <w:kern w:val="0"/>
          <w:sz w:val="32"/>
          <w:szCs w:val="32"/>
        </w:rPr>
        <w:t xml:space="preserve"> </w:t>
      </w:r>
      <w:r>
        <w:rPr>
          <w:rFonts w:hint="eastAsia" w:ascii="仿宋_GB2312" w:hAnsi="仿宋_GB2312" w:eastAsia="仿宋_GB2312" w:cs="仿宋_GB2312"/>
          <w:kern w:val="0"/>
          <w:sz w:val="32"/>
          <w:szCs w:val="32"/>
        </w:rPr>
        <w:t>呼图壁县城市管理综合服务中心2024年无上年结转结余预算的支出，结转结余预算支出情况表为空表。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呼图壁县城市管理综合服务中心2024年的事业单位运行经费财政拨款预算</w:t>
      </w:r>
      <w:r>
        <w:rPr>
          <w:rFonts w:hint="eastAsia" w:ascii="仿宋_GB2312" w:hAnsi="仿宋_GB2312" w:eastAsia="仿宋_GB2312" w:cs="仿宋_GB2312"/>
          <w:kern w:val="0"/>
          <w:sz w:val="32"/>
          <w:szCs w:val="32"/>
          <w:highlight w:val="yellow"/>
          <w:lang w:val="en-US" w:eastAsia="zh-CN"/>
        </w:rPr>
        <w:t>43.07</w:t>
      </w:r>
      <w:r>
        <w:rPr>
          <w:rFonts w:hint="eastAsia" w:ascii="仿宋_GB2312" w:hAnsi="仿宋_GB2312" w:eastAsia="仿宋_GB2312" w:cs="仿宋_GB2312"/>
          <w:kern w:val="0"/>
          <w:sz w:val="32"/>
          <w:szCs w:val="32"/>
          <w:highlight w:val="yellow"/>
        </w:rPr>
        <w:t>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highlight w:val="yellow"/>
          <w:lang w:val="en-US" w:eastAsia="zh-CN"/>
        </w:rPr>
        <w:t>43.07</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 xml:space="preserve"> %。主要原因是：</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rPr>
        <w:t>我单位为机构改革新成立单位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无上年预算</w:t>
      </w:r>
      <w:r>
        <w:rPr>
          <w:rFonts w:hint="eastAsia" w:ascii="仿宋_GB2312" w:hAnsi="宋体" w:eastAsia="仿宋_GB2312" w:cs="宋体"/>
          <w:kern w:val="0"/>
          <w:sz w:val="32"/>
          <w:szCs w:val="32"/>
          <w:lang w:val="en-US" w:eastAsia="zh-CN"/>
        </w:rPr>
        <w:t xml:space="preserve"> </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2024年，呼图壁县城市管理综合服务中心政府采购预算   </w:t>
      </w:r>
      <w:r>
        <w:rPr>
          <w:rFonts w:ascii="仿宋_GB2312" w:hAnsi="仿宋_GB2312" w:eastAsia="仿宋_GB2312" w:cs="仿宋_GB2312"/>
          <w:kern w:val="0"/>
          <w:sz w:val="32"/>
          <w:szCs w:val="32"/>
        </w:rPr>
        <w:t>453.96</w:t>
      </w:r>
      <w:r>
        <w:rPr>
          <w:rFonts w:hint="eastAsia" w:ascii="仿宋_GB2312" w:hAnsi="仿宋_GB2312" w:eastAsia="仿宋_GB2312" w:cs="仿宋_GB2312"/>
          <w:kern w:val="0"/>
          <w:sz w:val="32"/>
          <w:szCs w:val="32"/>
        </w:rPr>
        <w:t>万元，其中：政府采购货物预算</w:t>
      </w:r>
      <w:r>
        <w:rPr>
          <w:rFonts w:ascii="仿宋_GB2312" w:hAnsi="仿宋_GB2312" w:eastAsia="仿宋_GB2312" w:cs="仿宋_GB2312"/>
          <w:kern w:val="0"/>
          <w:sz w:val="32"/>
          <w:szCs w:val="32"/>
        </w:rPr>
        <w:t>213.36</w:t>
      </w:r>
      <w:r>
        <w:rPr>
          <w:rFonts w:hint="eastAsia" w:ascii="仿宋_GB2312" w:hAnsi="仿宋_GB2312" w:eastAsia="仿宋_GB2312" w:cs="仿宋_GB2312"/>
          <w:kern w:val="0"/>
          <w:sz w:val="32"/>
          <w:szCs w:val="32"/>
        </w:rPr>
        <w:t>万元，政府采购工程预算</w:t>
      </w:r>
      <w:r>
        <w:rPr>
          <w:rFonts w:ascii="仿宋_GB2312" w:hAnsi="仿宋_GB2312" w:eastAsia="仿宋_GB2312" w:cs="仿宋_GB2312"/>
          <w:kern w:val="0"/>
          <w:sz w:val="32"/>
          <w:szCs w:val="32"/>
        </w:rPr>
        <w:t>225</w:t>
      </w:r>
      <w:r>
        <w:rPr>
          <w:rFonts w:hint="eastAsia" w:ascii="仿宋_GB2312" w:hAnsi="仿宋_GB2312" w:eastAsia="仿宋_GB2312" w:cs="仿宋_GB2312"/>
          <w:kern w:val="0"/>
          <w:sz w:val="32"/>
          <w:szCs w:val="32"/>
        </w:rPr>
        <w:t>万元，政府采购服务预算</w:t>
      </w:r>
      <w:r>
        <w:rPr>
          <w:rFonts w:ascii="仿宋_GB2312" w:hAnsi="仿宋_GB2312" w:eastAsia="仿宋_GB2312" w:cs="仿宋_GB2312"/>
          <w:kern w:val="0"/>
          <w:sz w:val="32"/>
          <w:szCs w:val="32"/>
        </w:rPr>
        <w:t>15.60</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2024年，呼图壁县城市管理综合服务中心</w:t>
      </w:r>
      <w:r>
        <w:rPr>
          <w:rFonts w:hint="eastAsia" w:ascii="仿宋_GB2312" w:hAnsi="仿宋_GB2312" w:eastAsia="仿宋_GB2312" w:cs="仿宋_GB2312"/>
          <w:sz w:val="32"/>
        </w:rPr>
        <w:t>面向中小企业预留政府采购项目预算金额</w:t>
      </w:r>
      <w:r>
        <w:rPr>
          <w:rFonts w:ascii="仿宋_GB2312" w:hAnsi="仿宋_GB2312" w:eastAsia="仿宋_GB2312" w:cs="仿宋_GB2312"/>
          <w:sz w:val="32"/>
        </w:rPr>
        <w:t>453.96</w:t>
      </w:r>
      <w:r>
        <w:rPr>
          <w:rFonts w:hint="eastAsia" w:ascii="仿宋_GB2312" w:hAnsi="仿宋_GB2312" w:eastAsia="仿宋_GB2312" w:cs="仿宋_GB2312"/>
          <w:sz w:val="32"/>
        </w:rPr>
        <w:t>万元，小微企业预留政府采购项目预算金额</w:t>
      </w:r>
      <w:r>
        <w:rPr>
          <w:rFonts w:ascii="仿宋_GB2312" w:hAnsi="仿宋_GB2312" w:eastAsia="仿宋_GB2312" w:cs="仿宋_GB2312"/>
          <w:sz w:val="32"/>
        </w:rPr>
        <w:t>453.96</w:t>
      </w:r>
      <w:r>
        <w:rPr>
          <w:rFonts w:hint="eastAsia" w:ascii="仿宋_GB2312" w:hAnsi="仿宋_GB2312" w:eastAsia="仿宋_GB2312" w:cs="仿宋_GB2312"/>
          <w:sz w:val="32"/>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截至2023年底，呼图壁县城市管理综合服务中心及下属各预算单位占用使用国有资产总体情况为：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ascii="仿宋_GB2312" w:hAnsi="仿宋_GB2312" w:eastAsia="仿宋_GB2312" w:cs="仿宋_GB2312"/>
          <w:kern w:val="0"/>
          <w:sz w:val="32"/>
          <w:szCs w:val="32"/>
        </w:rPr>
        <w:t>210703.58</w:t>
      </w:r>
      <w:r>
        <w:rPr>
          <w:rFonts w:hint="eastAsia" w:ascii="仿宋_GB2312" w:hAnsi="仿宋_GB2312" w:eastAsia="仿宋_GB2312" w:cs="仿宋_GB2312"/>
          <w:kern w:val="0"/>
          <w:sz w:val="32"/>
          <w:szCs w:val="32"/>
        </w:rPr>
        <w:t>平方米，价值</w:t>
      </w:r>
      <w:r>
        <w:rPr>
          <w:rFonts w:ascii="仿宋_GB2312" w:hAnsi="仿宋_GB2312" w:eastAsia="仿宋_GB2312" w:cs="仿宋_GB2312"/>
          <w:kern w:val="0"/>
          <w:sz w:val="32"/>
          <w:szCs w:val="32"/>
        </w:rPr>
        <w:t>1828.08</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ascii="仿宋_GB2312" w:hAnsi="仿宋_GB2312" w:eastAsia="仿宋_GB2312" w:cs="仿宋_GB2312"/>
          <w:kern w:val="0"/>
          <w:sz w:val="32"/>
          <w:szCs w:val="32"/>
        </w:rPr>
        <w:t>47</w:t>
      </w:r>
      <w:r>
        <w:rPr>
          <w:rFonts w:hint="eastAsia" w:ascii="仿宋_GB2312" w:hAnsi="仿宋_GB2312" w:eastAsia="仿宋_GB2312" w:cs="仿宋_GB2312"/>
          <w:kern w:val="0"/>
          <w:sz w:val="32"/>
          <w:szCs w:val="32"/>
        </w:rPr>
        <w:t>辆，价值</w:t>
      </w:r>
      <w:r>
        <w:rPr>
          <w:rFonts w:ascii="仿宋_GB2312" w:hAnsi="仿宋_GB2312" w:eastAsia="仿宋_GB2312" w:cs="仿宋_GB2312"/>
          <w:kern w:val="0"/>
          <w:sz w:val="32"/>
          <w:szCs w:val="32"/>
        </w:rPr>
        <w:t>1324.86</w:t>
      </w:r>
      <w:r>
        <w:rPr>
          <w:rFonts w:hint="eastAsia" w:ascii="仿宋_GB2312" w:hAnsi="仿宋_GB2312" w:eastAsia="仿宋_GB2312" w:cs="仿宋_GB2312"/>
          <w:kern w:val="0"/>
          <w:sz w:val="32"/>
          <w:szCs w:val="32"/>
        </w:rPr>
        <w:t>万元；其中：一般公务用车</w:t>
      </w: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辆，价值</w:t>
      </w:r>
      <w:r>
        <w:rPr>
          <w:rFonts w:ascii="仿宋_GB2312" w:hAnsi="仿宋_GB2312" w:eastAsia="仿宋_GB2312" w:cs="仿宋_GB2312"/>
          <w:kern w:val="0"/>
          <w:sz w:val="32"/>
          <w:szCs w:val="32"/>
        </w:rPr>
        <w:t>26.14</w:t>
      </w:r>
      <w:r>
        <w:rPr>
          <w:rFonts w:hint="eastAsia" w:ascii="仿宋_GB2312" w:hAnsi="仿宋_GB2312" w:eastAsia="仿宋_GB2312" w:cs="仿宋_GB2312"/>
          <w:kern w:val="0"/>
          <w:sz w:val="32"/>
          <w:szCs w:val="32"/>
        </w:rPr>
        <w:t>万元；执法执勤用车</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万元；其他车辆</w:t>
      </w:r>
      <w:r>
        <w:rPr>
          <w:rFonts w:ascii="仿宋_GB2312" w:hAnsi="仿宋_GB2312" w:eastAsia="仿宋_GB2312" w:cs="仿宋_GB2312"/>
          <w:kern w:val="0"/>
          <w:sz w:val="32"/>
          <w:szCs w:val="32"/>
        </w:rPr>
        <w:t>43</w:t>
      </w:r>
      <w:r>
        <w:rPr>
          <w:rFonts w:hint="eastAsia" w:ascii="仿宋_GB2312" w:hAnsi="仿宋_GB2312" w:eastAsia="仿宋_GB2312" w:cs="仿宋_GB2312"/>
          <w:kern w:val="0"/>
          <w:sz w:val="32"/>
          <w:szCs w:val="32"/>
        </w:rPr>
        <w:t>辆，价值</w:t>
      </w:r>
      <w:r>
        <w:rPr>
          <w:rFonts w:ascii="仿宋_GB2312" w:hAnsi="仿宋_GB2312" w:eastAsia="仿宋_GB2312" w:cs="仿宋_GB2312"/>
          <w:kern w:val="0"/>
          <w:sz w:val="32"/>
          <w:szCs w:val="32"/>
        </w:rPr>
        <w:t>1298.72</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ascii="仿宋_GB2312" w:hAnsi="仿宋_GB2312" w:eastAsia="仿宋_GB2312" w:cs="仿宋_GB2312"/>
          <w:kern w:val="0"/>
          <w:sz w:val="32"/>
          <w:szCs w:val="32"/>
        </w:rPr>
        <w:t>71</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ascii="仿宋_GB2312" w:hAnsi="仿宋_GB2312" w:eastAsia="仿宋_GB2312" w:cs="仿宋_GB2312"/>
          <w:kern w:val="0"/>
          <w:sz w:val="32"/>
          <w:szCs w:val="32"/>
        </w:rPr>
        <w:t>444.7</w:t>
      </w:r>
      <w:r>
        <w:rPr>
          <w:rFonts w:hint="eastAsia" w:ascii="仿宋_GB2312" w:hAnsi="仿宋_GB2312" w:eastAsia="仿宋_GB2312" w:cs="仿宋_GB2312"/>
          <w:kern w:val="0"/>
          <w:sz w:val="32"/>
          <w:szCs w:val="32"/>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呼图壁县城市管理综合服务中心价值50万元以上大型设备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台（套），呼图壁县城市管理综合服务中心价值100万元以上大型设备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2024年呼图壁县城市管理综合服务中心预算未安排购置车辆经费，安排购置50万元以上大型设备 </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 xml:space="preserve"> 台（套），单位价值100万元以上大型设备 </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2024年，本部门预算绩效管理整体预算绩效目标1个，涉及金额2919.34万元；当年财政拨款项目2个，涉及预算金额800万元；当年非财政拨款项目0个，涉及预算金额0万元。具体情况见下表</w:t>
      </w:r>
      <w:r>
        <w:rPr>
          <w:rFonts w:hint="eastAsia" w:ascii="仿宋_GB2312" w:hAnsi="仿宋_GB2312" w:eastAsia="仿宋_GB2312" w:cs="仿宋_GB2312"/>
          <w:color w:val="FF0000"/>
          <w:kern w:val="0"/>
          <w:sz w:val="32"/>
          <w:szCs w:val="32"/>
        </w:rPr>
        <w:t xml:space="preserve">  </w:t>
      </w:r>
    </w:p>
    <w:tbl>
      <w:tblPr>
        <w:tblStyle w:val="7"/>
        <w:tblpPr w:leftFromText="180" w:rightFromText="180" w:vertAnchor="text" w:horzAnchor="page" w:tblpX="1493" w:tblpY="-1252"/>
        <w:tblOverlap w:val="never"/>
        <w:tblW w:w="9300" w:type="dxa"/>
        <w:tblInd w:w="0" w:type="dxa"/>
        <w:tblLayout w:type="fixed"/>
        <w:tblCellMar>
          <w:top w:w="0" w:type="dxa"/>
          <w:left w:w="108" w:type="dxa"/>
          <w:bottom w:w="0" w:type="dxa"/>
          <w:right w:w="108" w:type="dxa"/>
        </w:tblCellMar>
      </w:tblPr>
      <w:tblGrid>
        <w:gridCol w:w="1117"/>
        <w:gridCol w:w="1361"/>
        <w:gridCol w:w="1892"/>
        <w:gridCol w:w="1023"/>
        <w:gridCol w:w="2420"/>
        <w:gridCol w:w="1487"/>
      </w:tblGrid>
      <w:tr>
        <w:tblPrEx>
          <w:tblLayout w:type="fixed"/>
          <w:tblCellMar>
            <w:top w:w="0" w:type="dxa"/>
            <w:left w:w="108" w:type="dxa"/>
            <w:bottom w:w="0" w:type="dxa"/>
            <w:right w:w="108" w:type="dxa"/>
          </w:tblCellMar>
        </w:tblPrEx>
        <w:trPr>
          <w:trHeight w:val="691" w:hRule="atLeast"/>
        </w:trPr>
        <w:tc>
          <w:tcPr>
            <w:tcW w:w="930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部门（单位）整体绩效目标表</w:t>
            </w:r>
          </w:p>
        </w:tc>
      </w:tr>
      <w:tr>
        <w:tblPrEx>
          <w:tblLayout w:type="fixed"/>
          <w:tblCellMar>
            <w:top w:w="0" w:type="dxa"/>
            <w:left w:w="108" w:type="dxa"/>
            <w:bottom w:w="0" w:type="dxa"/>
            <w:right w:w="108" w:type="dxa"/>
          </w:tblCellMar>
        </w:tblPrEx>
        <w:trPr>
          <w:trHeight w:val="534" w:hRule="atLeast"/>
        </w:trPr>
        <w:tc>
          <w:tcPr>
            <w:tcW w:w="930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55" w:hRule="atLeast"/>
        </w:trPr>
        <w:tc>
          <w:tcPr>
            <w:tcW w:w="247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部门（单位）名称（盖章）</w:t>
            </w:r>
          </w:p>
        </w:tc>
        <w:tc>
          <w:tcPr>
            <w:tcW w:w="6822"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kern w:val="0"/>
                <w:sz w:val="20"/>
                <w:szCs w:val="20"/>
              </w:rPr>
              <w:t>呼图壁县城市管理综合服务中心</w:t>
            </w:r>
          </w:p>
        </w:tc>
      </w:tr>
      <w:tr>
        <w:tblPrEx>
          <w:tblLayout w:type="fixed"/>
          <w:tblCellMar>
            <w:top w:w="0" w:type="dxa"/>
            <w:left w:w="108" w:type="dxa"/>
            <w:bottom w:w="0" w:type="dxa"/>
            <w:right w:w="108" w:type="dxa"/>
          </w:tblCellMar>
        </w:tblPrEx>
        <w:trPr>
          <w:trHeight w:val="407" w:hRule="atLeast"/>
        </w:trPr>
        <w:tc>
          <w:tcPr>
            <w:tcW w:w="247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部门（单位）联系人</w:t>
            </w:r>
          </w:p>
        </w:tc>
        <w:tc>
          <w:tcPr>
            <w:tcW w:w="291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韩小刚</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18196131798</w:t>
            </w:r>
          </w:p>
        </w:tc>
      </w:tr>
      <w:tr>
        <w:tblPrEx>
          <w:tblLayout w:type="fixed"/>
          <w:tblCellMar>
            <w:top w:w="0" w:type="dxa"/>
            <w:left w:w="108" w:type="dxa"/>
            <w:bottom w:w="0" w:type="dxa"/>
            <w:right w:w="108" w:type="dxa"/>
          </w:tblCellMar>
        </w:tblPrEx>
        <w:trPr>
          <w:trHeight w:val="1551" w:hRule="atLeast"/>
        </w:trPr>
        <w:tc>
          <w:tcPr>
            <w:tcW w:w="2478"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22" w:type="dxa"/>
            <w:gridSpan w:val="4"/>
            <w:tcBorders>
              <w:top w:val="single" w:color="000000" w:sz="4" w:space="0"/>
              <w:left w:val="single" w:color="000000" w:sz="4" w:space="0"/>
              <w:bottom w:val="single" w:color="000000" w:sz="4" w:space="0"/>
              <w:right w:val="single" w:color="000000" w:sz="4" w:space="0"/>
            </w:tcBorders>
            <w:vAlign w:val="center"/>
          </w:tcPr>
          <w:p>
            <w:pPr>
              <w:pStyle w:val="2"/>
              <w:ind w:left="0" w:leftChars="0" w:firstLine="0" w:firstLineChars="0"/>
            </w:pPr>
            <w:r>
              <w:rPr>
                <w:rFonts w:hint="eastAsia"/>
              </w:rPr>
              <w:t>目标1：在编46人、退休人员39人、同工同酬5人，临聘环卫工人及保绿保洁281人，全年工资福利和日常运行支出。</w:t>
            </w:r>
          </w:p>
          <w:p>
            <w:pPr>
              <w:pStyle w:val="2"/>
              <w:ind w:left="0" w:leftChars="0" w:firstLine="0" w:firstLineChars="0"/>
            </w:pPr>
            <w:r>
              <w:rPr>
                <w:rFonts w:hint="eastAsia"/>
              </w:rPr>
              <w:t>目标2：贯彻落实城区市政公共设施维护维修、城区环境卫生清扫保洁，游园、道路树木、花卉日常养护的实施与监督管理</w:t>
            </w:r>
          </w:p>
        </w:tc>
      </w:tr>
      <w:tr>
        <w:tblPrEx>
          <w:tblLayout w:type="fixed"/>
          <w:tblCellMar>
            <w:top w:w="0" w:type="dxa"/>
            <w:left w:w="108" w:type="dxa"/>
            <w:bottom w:w="0" w:type="dxa"/>
            <w:right w:w="108" w:type="dxa"/>
          </w:tblCellMar>
        </w:tblPrEx>
        <w:trPr>
          <w:trHeight w:val="710" w:hRule="atLeast"/>
        </w:trPr>
        <w:tc>
          <w:tcPr>
            <w:tcW w:w="247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1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0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718"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0</w:t>
            </w:r>
          </w:p>
        </w:tc>
      </w:tr>
      <w:tr>
        <w:tblPrEx>
          <w:tblLayout w:type="fixed"/>
          <w:tblCellMar>
            <w:top w:w="0" w:type="dxa"/>
            <w:left w:w="108" w:type="dxa"/>
            <w:bottom w:w="0" w:type="dxa"/>
            <w:right w:w="108" w:type="dxa"/>
          </w:tblCellMar>
        </w:tblPrEx>
        <w:trPr>
          <w:trHeight w:val="723"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2919.34</w:t>
            </w:r>
          </w:p>
        </w:tc>
      </w:tr>
      <w:tr>
        <w:tblPrEx>
          <w:tblLayout w:type="fixed"/>
          <w:tblCellMar>
            <w:top w:w="0" w:type="dxa"/>
            <w:left w:w="108" w:type="dxa"/>
            <w:bottom w:w="0" w:type="dxa"/>
            <w:right w:w="108" w:type="dxa"/>
          </w:tblCellMar>
        </w:tblPrEx>
        <w:trPr>
          <w:trHeight w:val="723" w:hRule="atLeast"/>
        </w:trPr>
        <w:tc>
          <w:tcPr>
            <w:tcW w:w="247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0</w:t>
            </w:r>
          </w:p>
        </w:tc>
      </w:tr>
      <w:tr>
        <w:tblPrEx>
          <w:tblLayout w:type="fixed"/>
          <w:tblCellMar>
            <w:top w:w="0" w:type="dxa"/>
            <w:left w:w="108" w:type="dxa"/>
            <w:bottom w:w="0" w:type="dxa"/>
            <w:right w:w="108" w:type="dxa"/>
          </w:tblCellMar>
        </w:tblPrEx>
        <w:trPr>
          <w:trHeight w:val="653" w:hRule="atLeast"/>
        </w:trPr>
        <w:tc>
          <w:tcPr>
            <w:tcW w:w="11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4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76" w:hRule="atLeast"/>
        </w:trPr>
        <w:tc>
          <w:tcPr>
            <w:tcW w:w="11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76" w:hRule="atLeast"/>
        </w:trPr>
        <w:tc>
          <w:tcPr>
            <w:tcW w:w="11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37" w:hRule="atLeast"/>
        </w:trPr>
        <w:tc>
          <w:tcPr>
            <w:tcW w:w="111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1"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病虫害防治面积</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&gt;=393万㎡</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 xml:space="preserve"> 整体绩效目标工作计划</w:t>
            </w:r>
          </w:p>
        </w:tc>
        <w:tc>
          <w:tcPr>
            <w:tcW w:w="148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737" w:hRule="atLeast"/>
        </w:trPr>
        <w:tc>
          <w:tcPr>
            <w:tcW w:w="111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1"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街头游园花卉更新次数</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&gt;=2次</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 xml:space="preserve"> 整体绩效目标工作计划</w:t>
            </w:r>
          </w:p>
        </w:tc>
        <w:tc>
          <w:tcPr>
            <w:tcW w:w="148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737" w:hRule="atLeast"/>
        </w:trPr>
        <w:tc>
          <w:tcPr>
            <w:tcW w:w="111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1"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日常养护管理公园数量</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&gt;=4个</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 xml:space="preserve"> 整体绩效目标工作计划</w:t>
            </w:r>
          </w:p>
        </w:tc>
        <w:tc>
          <w:tcPr>
            <w:tcW w:w="148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737" w:hRule="atLeast"/>
        </w:trPr>
        <w:tc>
          <w:tcPr>
            <w:tcW w:w="111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1" w:type="dxa"/>
            <w:vMerge w:val="restart"/>
            <w:tcBorders>
              <w:top w:val="single" w:color="000000" w:sz="4" w:space="0"/>
              <w:left w:val="single" w:color="000000" w:sz="4" w:space="0"/>
              <w:right w:val="single" w:color="000000" w:sz="4" w:space="0"/>
            </w:tcBorders>
            <w:vAlign w:val="center"/>
          </w:tcPr>
          <w:p>
            <w:pPr>
              <w:widowControl/>
              <w:jc w:val="left"/>
              <w:textAlignment w:val="center"/>
            </w:pPr>
          </w:p>
          <w:p>
            <w:pPr>
              <w:jc w:val="center"/>
            </w:pPr>
            <w:r>
              <w:rPr>
                <w:rFonts w:hint="eastAsia"/>
              </w:rPr>
              <w:t>质量指标</w:t>
            </w: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机械清扫覆盖率</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&gt;=81.5%</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 xml:space="preserve"> 整体绩效目标工作计划</w:t>
            </w:r>
          </w:p>
        </w:tc>
        <w:tc>
          <w:tcPr>
            <w:tcW w:w="148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737" w:hRule="atLeast"/>
        </w:trPr>
        <w:tc>
          <w:tcPr>
            <w:tcW w:w="111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1"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城市生活垃圾无害化处理率</w:t>
            </w: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&gt;=98.56%</w:t>
            </w: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 xml:space="preserve"> 整体绩效目标工作计划</w:t>
            </w:r>
          </w:p>
        </w:tc>
        <w:tc>
          <w:tcPr>
            <w:tcW w:w="148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576" w:hRule="atLeast"/>
        </w:trPr>
        <w:tc>
          <w:tcPr>
            <w:tcW w:w="11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29" w:hRule="atLeast"/>
        </w:trPr>
        <w:tc>
          <w:tcPr>
            <w:tcW w:w="11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56" w:hRule="atLeast"/>
        </w:trPr>
        <w:tc>
          <w:tcPr>
            <w:tcW w:w="1117"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89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0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4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p>
      <w:pPr>
        <w:spacing w:line="600" w:lineRule="exact"/>
        <w:rPr>
          <w:rFonts w:ascii="仿宋_GB2312" w:hAnsi="仿宋_GB2312" w:eastAsia="仿宋_GB2312" w:cs="仿宋_GB2312"/>
          <w:b/>
          <w:kern w:val="0"/>
          <w:sz w:val="32"/>
          <w:szCs w:val="32"/>
        </w:rPr>
      </w:pPr>
    </w:p>
    <w:tbl>
      <w:tblPr>
        <w:tblStyle w:val="7"/>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11"/>
        <w:gridCol w:w="1200"/>
        <w:gridCol w:w="1219"/>
        <w:gridCol w:w="1119"/>
        <w:gridCol w:w="1285"/>
        <w:gridCol w:w="828"/>
        <w:gridCol w:w="908"/>
        <w:gridCol w:w="1057"/>
        <w:gridCol w:w="833"/>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kern w:val="0"/>
                <w:sz w:val="20"/>
                <w:szCs w:val="20"/>
              </w:rPr>
              <w:t>呼图壁县城市管理综合服务中心</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特种车、绿化用车、垃圾场运行维护费（非定额）</w:t>
            </w:r>
          </w:p>
        </w:tc>
        <w:tc>
          <w:tcPr>
            <w:tcW w:w="173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韩小刚</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111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 xml:space="preserve">320 </w:t>
            </w:r>
          </w:p>
        </w:tc>
        <w:tc>
          <w:tcPr>
            <w:tcW w:w="128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2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 xml:space="preserve">320 </w:t>
            </w: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0</w:t>
            </w: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7"/>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r>
              <w:rPr>
                <w:rFonts w:hint="eastAsia" w:ascii="宋体" w:hAnsi="宋体" w:cs="宋体"/>
                <w:color w:val="000000"/>
                <w:sz w:val="18"/>
                <w:szCs w:val="18"/>
              </w:rPr>
              <w:t>确保县城环境卫生干净整洁，县城日产生活垃圾65.9吨，做到日产日清，集中收集处理率保持在100%，保障生活垃圾填埋场的环境监测、生活垃圾填埋碾压平整等工作正常开展。保证扫路车，清雪车、垃圾车等特种车辆油料、维修等日常业务正常开展，使环卫作业更加规范，县城内街道干净、整洁，环境更舒适</w:t>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11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8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43" w:hRule="atLeast"/>
        </w:trPr>
        <w:tc>
          <w:tcPr>
            <w:tcW w:w="811"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color w:val="000000"/>
                <w:kern w:val="0"/>
                <w:sz w:val="18"/>
                <w:szCs w:val="18"/>
              </w:rPr>
              <w:t>清扫车数量</w:t>
            </w:r>
          </w:p>
        </w:tc>
        <w:tc>
          <w:tcPr>
            <w:tcW w:w="11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color w:val="000000"/>
                <w:kern w:val="0"/>
                <w:sz w:val="18"/>
                <w:szCs w:val="18"/>
              </w:rPr>
              <w:t>=20辆</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b/>
                <w:bCs/>
                <w:color w:val="000000"/>
                <w:kern w:val="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43"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洒水及浇灌车数量</w:t>
            </w:r>
          </w:p>
        </w:tc>
        <w:tc>
          <w:tcPr>
            <w:tcW w:w="11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&gt;=10辆</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bCs/>
                <w:color w:val="000000"/>
                <w:kern w:val="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洒水及浇灌车数量</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&gt;=31辆</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城区环境卫生机械化清扫率</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&gt;=90%</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项目完成及时率</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&gt;=100%</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专用燃料费支出成本控制率</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&lt;=100%</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改善居民宜居环境</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有效改善</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居民满意度</w:t>
            </w:r>
          </w:p>
        </w:tc>
        <w:tc>
          <w:tcPr>
            <w:tcW w:w="111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&gt;=95%</w:t>
            </w:r>
          </w:p>
        </w:tc>
        <w:tc>
          <w:tcPr>
            <w:tcW w:w="1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10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bl>
    <w:p>
      <w:pPr>
        <w:spacing w:line="600" w:lineRule="exact"/>
        <w:rPr>
          <w:rFonts w:ascii="楷体_GB2312" w:hAnsi="宋体" w:eastAsia="楷体_GB2312" w:cs="宋体"/>
          <w:b/>
          <w:kern w:val="0"/>
          <w:sz w:val="32"/>
          <w:szCs w:val="32"/>
        </w:rPr>
      </w:pPr>
    </w:p>
    <w:tbl>
      <w:tblPr>
        <w:tblStyle w:val="7"/>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00"/>
        <w:gridCol w:w="1050"/>
        <w:gridCol w:w="1540"/>
        <w:gridCol w:w="1016"/>
        <w:gridCol w:w="1269"/>
        <w:gridCol w:w="821"/>
        <w:gridCol w:w="901"/>
        <w:gridCol w:w="1041"/>
        <w:gridCol w:w="822"/>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1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kern w:val="0"/>
                <w:sz w:val="20"/>
                <w:szCs w:val="20"/>
              </w:rPr>
              <w:t>呼图壁县城市管理综合服务中心</w:t>
            </w:r>
          </w:p>
        </w:tc>
      </w:tr>
      <w:tr>
        <w:tblPrEx>
          <w:tblLayout w:type="fixed"/>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82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Cs w:val="21"/>
              </w:rPr>
              <w:t>城区绿化养护费项目（非定额）</w:t>
            </w:r>
          </w:p>
        </w:tc>
        <w:tc>
          <w:tcPr>
            <w:tcW w:w="17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8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Cs w:val="21"/>
              </w:rPr>
              <w:t>韩小刚</w:t>
            </w:r>
          </w:p>
        </w:tc>
      </w:tr>
      <w:tr>
        <w:tblPrEx>
          <w:tblLayout w:type="fixed"/>
          <w:tblCellMar>
            <w:top w:w="0" w:type="dxa"/>
            <w:left w:w="108" w:type="dxa"/>
            <w:bottom w:w="0" w:type="dxa"/>
            <w:right w:w="108" w:type="dxa"/>
          </w:tblCellMar>
        </w:tblPrEx>
        <w:trPr>
          <w:trHeight w:val="69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5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年度预算总额：</w:t>
            </w:r>
          </w:p>
        </w:tc>
        <w:tc>
          <w:tcPr>
            <w:tcW w:w="10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480</w:t>
            </w:r>
          </w:p>
        </w:tc>
        <w:tc>
          <w:tcPr>
            <w:tcW w:w="1269"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其中：财政拨款</w:t>
            </w:r>
          </w:p>
        </w:tc>
        <w:tc>
          <w:tcPr>
            <w:tcW w:w="82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480</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其他资金：</w:t>
            </w:r>
          </w:p>
        </w:tc>
        <w:tc>
          <w:tcPr>
            <w:tcW w:w="18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0</w:t>
            </w:r>
          </w:p>
        </w:tc>
      </w:tr>
      <w:tr>
        <w:tblPrEx>
          <w:tblLayout w:type="fixed"/>
          <w:tblCellMar>
            <w:top w:w="0" w:type="dxa"/>
            <w:left w:w="108" w:type="dxa"/>
            <w:bottom w:w="0" w:type="dxa"/>
            <w:right w:w="108" w:type="dxa"/>
          </w:tblCellMar>
        </w:tblPrEx>
        <w:trPr>
          <w:trHeight w:val="1492"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10"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szCs w:val="21"/>
              </w:rPr>
              <w:t>（1） 通过日常养护对树木修剪、定置，使树木达到健康、优美的造型；对草坪定期每月修剪、浇灌；春秋两季花卉补种植 。 （2）通过春秋两季对城区、居民小区、各行政事业单位树木、花卉病虫害防治、防治 ，有效提高绿植的健康生长。</w:t>
            </w:r>
          </w:p>
        </w:tc>
      </w:tr>
      <w:tr>
        <w:tblPrEx>
          <w:tblLayout w:type="fixed"/>
          <w:tblCellMar>
            <w:top w:w="0" w:type="dxa"/>
            <w:left w:w="108" w:type="dxa"/>
            <w:bottom w:w="0" w:type="dxa"/>
            <w:right w:w="108" w:type="dxa"/>
          </w:tblCellMar>
        </w:tblPrEx>
        <w:trPr>
          <w:trHeight w:val="992" w:hRule="atLeast"/>
        </w:trPr>
        <w:tc>
          <w:tcPr>
            <w:tcW w:w="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5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8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64" w:hRule="atLeast"/>
        </w:trPr>
        <w:tc>
          <w:tcPr>
            <w:tcW w:w="800" w:type="dxa"/>
            <w:vMerge w:val="restart"/>
            <w:tcBorders>
              <w:top w:val="single" w:color="000000" w:sz="4" w:space="0"/>
              <w:left w:val="single" w:color="000000" w:sz="4"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540" w:type="dxa"/>
            <w:tcBorders>
              <w:top w:val="single" w:color="000000"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绿化养护、维护维修面积</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bCs/>
                <w:color w:val="000000"/>
                <w:kern w:val="0"/>
                <w:sz w:val="18"/>
                <w:szCs w:val="18"/>
              </w:rPr>
            </w:pPr>
            <w:r>
              <w:rPr>
                <w:rFonts w:hint="eastAsia" w:ascii="宋体" w:hAnsi="宋体" w:cs="宋体"/>
                <w:color w:val="000000"/>
                <w:kern w:val="0"/>
                <w:sz w:val="20"/>
                <w:szCs w:val="20"/>
              </w:rPr>
              <w:t>&gt;=240.29万㎡</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rPr>
              <w:t>8</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b/>
                <w:bCs/>
                <w:color w:val="000000"/>
                <w:kern w:val="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43" w:hRule="atLeast"/>
        </w:trPr>
        <w:tc>
          <w:tcPr>
            <w:tcW w:w="800" w:type="dxa"/>
            <w:vMerge w:val="continue"/>
            <w:tcBorders>
              <w:left w:val="single" w:color="000000" w:sz="4" w:space="0"/>
              <w:right w:val="single" w:color="auto" w:sz="4" w:space="0"/>
            </w:tcBorders>
            <w:vAlign w:val="center"/>
          </w:tcPr>
          <w:p>
            <w:pPr>
              <w:widowControl/>
              <w:jc w:val="center"/>
              <w:textAlignment w:val="center"/>
              <w:rPr>
                <w:rFonts w:ascii="宋体" w:hAnsi="宋体" w:cs="宋体"/>
                <w:b/>
                <w:bCs/>
                <w:color w:val="000000"/>
                <w:kern w:val="0"/>
                <w:sz w:val="18"/>
                <w:szCs w:val="18"/>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18"/>
                <w:szCs w:val="18"/>
              </w:rPr>
            </w:pPr>
          </w:p>
        </w:tc>
        <w:tc>
          <w:tcPr>
            <w:tcW w:w="1540" w:type="dxa"/>
            <w:tcBorders>
              <w:top w:val="single" w:color="000000"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乔灌木修剪次数</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rPr>
              <w:t>&gt;=6次</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bCs/>
                <w:color w:val="000000"/>
                <w:kern w:val="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rPr>
              <w:t>8</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050"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绿化养护合格率</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&gt;=95%</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8</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00" w:type="dxa"/>
            <w:vMerge w:val="continue"/>
            <w:tcBorders>
              <w:left w:val="single" w:color="000000" w:sz="4" w:space="0"/>
              <w:right w:val="single" w:color="000000" w:sz="4" w:space="0"/>
            </w:tcBorders>
            <w:vAlign w:val="center"/>
          </w:tcPr>
          <w:p>
            <w:pPr>
              <w:jc w:val="center"/>
              <w:rPr>
                <w:rFonts w:ascii="宋体" w:hAnsi="宋体" w:cs="宋体"/>
                <w:color w:val="000000"/>
                <w:sz w:val="18"/>
                <w:szCs w:val="18"/>
              </w:rPr>
            </w:pPr>
          </w:p>
        </w:tc>
        <w:tc>
          <w:tcPr>
            <w:tcW w:w="105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 xml:space="preserve"> </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预算资金执行及时率</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=100%</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8</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00"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5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54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城区绿化养护完成及时性</w:t>
            </w:r>
          </w:p>
        </w:tc>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&gt;=98%</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8</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 xml:space="preserve"> 绿化养护经费支出成本控制率</w:t>
            </w:r>
          </w:p>
        </w:tc>
        <w:tc>
          <w:tcPr>
            <w:tcW w:w="101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&lt;=100%</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793" w:hRule="atLeast"/>
        </w:trPr>
        <w:tc>
          <w:tcPr>
            <w:tcW w:w="800"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 xml:space="preserve"> </w:t>
            </w:r>
          </w:p>
        </w:tc>
        <w:tc>
          <w:tcPr>
            <w:tcW w:w="101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 xml:space="preserve"> </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 xml:space="preserve"> </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730" w:hRule="atLeast"/>
        </w:trPr>
        <w:tc>
          <w:tcPr>
            <w:tcW w:w="80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改善居民宜居生活环境，提高居民幸福感</w:t>
            </w:r>
          </w:p>
        </w:tc>
        <w:tc>
          <w:tcPr>
            <w:tcW w:w="101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6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709" w:hRule="atLeast"/>
        </w:trPr>
        <w:tc>
          <w:tcPr>
            <w:tcW w:w="80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1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6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41" w:hRule="atLeast"/>
        </w:trPr>
        <w:tc>
          <w:tcPr>
            <w:tcW w:w="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54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居民满意度</w:t>
            </w:r>
          </w:p>
        </w:tc>
        <w:tc>
          <w:tcPr>
            <w:tcW w:w="101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&gt;=95%</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104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工作资料</w:t>
            </w:r>
          </w:p>
        </w:tc>
      </w:tr>
    </w:tbl>
    <w:p>
      <w:pPr>
        <w:pStyle w:val="2"/>
        <w:ind w:left="0" w:leftChars="0" w:firstLine="0" w:firstLineChars="0"/>
        <w:rPr>
          <w:rFonts w:ascii="楷体_GB2312" w:hAnsi="宋体" w:eastAsia="楷体_GB2312" w:cs="宋体"/>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jc w:val="both"/>
        <w:rPr>
          <w:rFonts w:hint="eastAsia" w:ascii="黑体" w:hAnsi="黑体" w:eastAsia="黑体"/>
          <w:kern w:val="0"/>
          <w:sz w:val="32"/>
          <w:szCs w:val="32"/>
        </w:rPr>
      </w:pPr>
      <w:r>
        <w:rPr>
          <w:rFonts w:hint="eastAsia" w:ascii="仿宋_GB2312" w:hAnsi="仿宋_GB2312" w:eastAsia="仿宋_GB2312" w:cs="仿宋_GB2312"/>
          <w:kern w:val="0"/>
          <w:sz w:val="32"/>
          <w:szCs w:val="32"/>
        </w:rPr>
        <w:t>当年非财政拨款项目0个，涉及预算金额0万元</w:t>
      </w:r>
      <w:r>
        <w:rPr>
          <w:rFonts w:hint="eastAsia" w:ascii="仿宋_GB2312" w:hAnsi="仿宋_GB2312" w:eastAsia="仿宋_GB2312" w:cs="仿宋_GB2312"/>
          <w:kern w:val="0"/>
          <w:sz w:val="32"/>
          <w:szCs w:val="32"/>
          <w:lang w:eastAsia="zh-CN"/>
        </w:rPr>
        <w:t>，不公开绩效目标表</w:t>
      </w:r>
      <w:bookmarkStart w:id="0" w:name="_GoBack"/>
      <w:bookmarkEnd w:id="0"/>
      <w:r>
        <w:rPr>
          <w:rFonts w:hint="eastAsia" w:ascii="仿宋_GB2312" w:hAnsi="仿宋_GB2312" w:eastAsia="仿宋_GB2312" w:cs="仿宋_GB2312"/>
          <w:kern w:val="0"/>
          <w:sz w:val="32"/>
          <w:szCs w:val="32"/>
        </w:rPr>
        <w:t>。</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jc w:val="right"/>
        <w:rPr>
          <w:rFonts w:ascii="仿宋_GB2312" w:hAnsi="宋体" w:eastAsia="仿宋_GB2312" w:cs="宋体"/>
          <w:kern w:val="0"/>
          <w:sz w:val="32"/>
          <w:szCs w:val="32"/>
        </w:rPr>
      </w:pPr>
      <w:r>
        <w:rPr>
          <w:rFonts w:hint="default" w:ascii="仿宋_GB2312" w:hAnsi="仿宋_GB2312" w:eastAsia="仿宋_GB2312" w:cs="仿宋_GB2312"/>
          <w:kern w:val="0"/>
          <w:sz w:val="32"/>
          <w:szCs w:val="32"/>
          <w:lang w:val="en-US"/>
        </w:rPr>
        <w:t xml:space="preserve">            </w:t>
      </w:r>
      <w:r>
        <w:rPr>
          <w:rFonts w:hint="eastAsia" w:ascii="仿宋_GB2312" w:hAnsi="仿宋_GB2312" w:eastAsia="仿宋_GB2312" w:cs="仿宋_GB2312"/>
          <w:kern w:val="0"/>
          <w:sz w:val="32"/>
          <w:szCs w:val="32"/>
        </w:rPr>
        <w:t>呼图壁县城市管理综合服务中心</w:t>
      </w:r>
      <w:r>
        <w:rPr>
          <w:rFonts w:hint="eastAsia" w:ascii="仿宋_GB2312" w:hAnsi="宋体" w:eastAsia="仿宋_GB2312" w:cs="宋体"/>
          <w:kern w:val="0"/>
          <w:sz w:val="32"/>
          <w:szCs w:val="32"/>
        </w:rPr>
        <w:t xml:space="preserve">                         </w:t>
      </w:r>
      <w:r>
        <w:rPr>
          <w:rFonts w:hint="default" w:ascii="仿宋_GB2312" w:hAnsi="宋体" w:eastAsia="仿宋_GB2312" w:cs="宋体"/>
          <w:kern w:val="0"/>
          <w:sz w:val="32"/>
          <w:szCs w:val="32"/>
          <w:lang w:val="en-US"/>
        </w:rPr>
        <w:t xml:space="preserve">          </w:t>
      </w:r>
      <w:r>
        <w:rPr>
          <w:rFonts w:hint="eastAsia" w:ascii="仿宋_GB2312" w:hAnsi="宋体" w:eastAsia="仿宋_GB2312" w:cs="宋体"/>
          <w:kern w:val="0"/>
          <w:sz w:val="32"/>
          <w:szCs w:val="32"/>
        </w:rPr>
        <w:t>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3</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1 </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- 4 -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14</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0734FA"/>
    <w:rsid w:val="00455824"/>
    <w:rsid w:val="00464235"/>
    <w:rsid w:val="00E20549"/>
    <w:rsid w:val="00EE2224"/>
    <w:rsid w:val="00F250B9"/>
    <w:rsid w:val="0207265F"/>
    <w:rsid w:val="04267B2D"/>
    <w:rsid w:val="047A2DC6"/>
    <w:rsid w:val="04F937F9"/>
    <w:rsid w:val="05397FD9"/>
    <w:rsid w:val="070E6657"/>
    <w:rsid w:val="07B23D73"/>
    <w:rsid w:val="08111F76"/>
    <w:rsid w:val="08450B28"/>
    <w:rsid w:val="091E5FAA"/>
    <w:rsid w:val="0B247F12"/>
    <w:rsid w:val="0BD7768F"/>
    <w:rsid w:val="0D4B5533"/>
    <w:rsid w:val="0D6E5FD0"/>
    <w:rsid w:val="0E9208E7"/>
    <w:rsid w:val="0F9109AD"/>
    <w:rsid w:val="0FA6121B"/>
    <w:rsid w:val="102862A2"/>
    <w:rsid w:val="10587512"/>
    <w:rsid w:val="10916BDA"/>
    <w:rsid w:val="11F11BB1"/>
    <w:rsid w:val="16086F8A"/>
    <w:rsid w:val="1697741D"/>
    <w:rsid w:val="1732414C"/>
    <w:rsid w:val="17A95A53"/>
    <w:rsid w:val="181B0DB4"/>
    <w:rsid w:val="1ACB2E00"/>
    <w:rsid w:val="1B5D166C"/>
    <w:rsid w:val="1BEB54C3"/>
    <w:rsid w:val="1C3C6084"/>
    <w:rsid w:val="1CEB6DC6"/>
    <w:rsid w:val="1D3E1AFE"/>
    <w:rsid w:val="1DA4246A"/>
    <w:rsid w:val="1EB20B9E"/>
    <w:rsid w:val="1EB61656"/>
    <w:rsid w:val="20DD55C0"/>
    <w:rsid w:val="21F75FC6"/>
    <w:rsid w:val="22DB78DD"/>
    <w:rsid w:val="23824017"/>
    <w:rsid w:val="244D65B8"/>
    <w:rsid w:val="2492221D"/>
    <w:rsid w:val="253761E5"/>
    <w:rsid w:val="26B4291F"/>
    <w:rsid w:val="26E769FA"/>
    <w:rsid w:val="28462BC3"/>
    <w:rsid w:val="28AA0E14"/>
    <w:rsid w:val="293B2E83"/>
    <w:rsid w:val="2A012DF7"/>
    <w:rsid w:val="2ACB1CFB"/>
    <w:rsid w:val="2AFC4894"/>
    <w:rsid w:val="2C3242F3"/>
    <w:rsid w:val="2C397D09"/>
    <w:rsid w:val="2C823C36"/>
    <w:rsid w:val="2C88415C"/>
    <w:rsid w:val="2D480265"/>
    <w:rsid w:val="2D977453"/>
    <w:rsid w:val="2EF22236"/>
    <w:rsid w:val="30671904"/>
    <w:rsid w:val="30F91083"/>
    <w:rsid w:val="3687165B"/>
    <w:rsid w:val="3ADB6E13"/>
    <w:rsid w:val="3B037AC9"/>
    <w:rsid w:val="3E4B68EA"/>
    <w:rsid w:val="3F5256BA"/>
    <w:rsid w:val="3F9B6249"/>
    <w:rsid w:val="3FDF4D23"/>
    <w:rsid w:val="43C26223"/>
    <w:rsid w:val="43D8307E"/>
    <w:rsid w:val="44CE74D0"/>
    <w:rsid w:val="45A73FA0"/>
    <w:rsid w:val="46821F5F"/>
    <w:rsid w:val="46CE3131"/>
    <w:rsid w:val="47E06535"/>
    <w:rsid w:val="494F7907"/>
    <w:rsid w:val="4A17665A"/>
    <w:rsid w:val="4C0055E5"/>
    <w:rsid w:val="4C2647E0"/>
    <w:rsid w:val="4C3677AE"/>
    <w:rsid w:val="4C706B3A"/>
    <w:rsid w:val="4DD10CEA"/>
    <w:rsid w:val="4E1D5CD9"/>
    <w:rsid w:val="4EFB4D7D"/>
    <w:rsid w:val="51C15CED"/>
    <w:rsid w:val="52285DEB"/>
    <w:rsid w:val="52AD62F0"/>
    <w:rsid w:val="53DF47B9"/>
    <w:rsid w:val="546308FE"/>
    <w:rsid w:val="552F66CE"/>
    <w:rsid w:val="57B21398"/>
    <w:rsid w:val="5D8076AD"/>
    <w:rsid w:val="5F2346ED"/>
    <w:rsid w:val="5F7A1F9E"/>
    <w:rsid w:val="5FCC07CC"/>
    <w:rsid w:val="61086613"/>
    <w:rsid w:val="632F4B5C"/>
    <w:rsid w:val="6408782B"/>
    <w:rsid w:val="64B50C7D"/>
    <w:rsid w:val="65322CBF"/>
    <w:rsid w:val="658F1816"/>
    <w:rsid w:val="66C562C1"/>
    <w:rsid w:val="67254BB9"/>
    <w:rsid w:val="67BA1318"/>
    <w:rsid w:val="68CC52CB"/>
    <w:rsid w:val="68DE4FFE"/>
    <w:rsid w:val="694B58D7"/>
    <w:rsid w:val="69CE4E15"/>
    <w:rsid w:val="6B466811"/>
    <w:rsid w:val="6B7F3246"/>
    <w:rsid w:val="6E6F3324"/>
    <w:rsid w:val="6EE14A0B"/>
    <w:rsid w:val="6EEE17AF"/>
    <w:rsid w:val="6EF07839"/>
    <w:rsid w:val="6F433DFE"/>
    <w:rsid w:val="6F63000B"/>
    <w:rsid w:val="7064578B"/>
    <w:rsid w:val="71593CFA"/>
    <w:rsid w:val="72B56DCF"/>
    <w:rsid w:val="72CE7E9D"/>
    <w:rsid w:val="74147559"/>
    <w:rsid w:val="74AE7FA2"/>
    <w:rsid w:val="75B570E6"/>
    <w:rsid w:val="780A1873"/>
    <w:rsid w:val="787D11B8"/>
    <w:rsid w:val="792C5912"/>
    <w:rsid w:val="79A16008"/>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BodyText1I"/>
    <w:basedOn w:val="11"/>
    <w:qFormat/>
    <w:uiPriority w:val="0"/>
    <w:pPr>
      <w:ind w:firstLine="420" w:firstLineChars="100"/>
    </w:pPr>
  </w:style>
  <w:style w:type="paragraph" w:customStyle="1" w:styleId="11">
    <w:name w:val="BodyText"/>
    <w:basedOn w:val="1"/>
    <w:qFormat/>
    <w:uiPriority w:val="0"/>
    <w:pPr>
      <w:spacing w:after="120"/>
      <w:textAlignment w:val="baseline"/>
    </w:pPr>
  </w:style>
  <w:style w:type="character" w:customStyle="1" w:styleId="12">
    <w:name w:val="font11"/>
    <w:basedOn w:val="9"/>
    <w:qFormat/>
    <w:uiPriority w:val="0"/>
    <w:rPr>
      <w:rFonts w:hint="eastAsia" w:ascii="宋体" w:hAnsi="宋体" w:eastAsia="宋体" w:cs="宋体"/>
      <w:color w:val="000000"/>
      <w:sz w:val="24"/>
      <w:szCs w:val="24"/>
      <w:u w:val="none"/>
    </w:rPr>
  </w:style>
  <w:style w:type="character" w:customStyle="1" w:styleId="13">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2406</Words>
  <Characters>13718</Characters>
  <Lines>114</Lines>
  <Paragraphs>32</Paragraphs>
  <TotalTime>0</TotalTime>
  <ScaleCrop>false</ScaleCrop>
  <LinksUpToDate>false</LinksUpToDate>
  <CharactersWithSpaces>16092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2024-07-23T11:03:08Z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B333E5F65C53439DB5F2729AD86B4F67</vt:lpwstr>
  </property>
</Properties>
</file>