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bookmarkStart w:id="0" w:name="_GoBack"/>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呼图壁县住房和城乡建设局2024年部门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呼图壁县住房和城乡建设局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highlight w:val="none"/>
        </w:rPr>
        <w:t>单位</w:t>
      </w:r>
      <w:r>
        <w:rPr>
          <w:rFonts w:hint="eastAsia" w:ascii="仿宋_GB2312" w:hAnsi="仿宋_GB2312" w:eastAsia="仿宋_GB2312" w:cs="仿宋_GB2312"/>
          <w:b/>
          <w:kern w:val="0"/>
          <w:sz w:val="32"/>
          <w:szCs w:val="32"/>
          <w:highlight w:val="none"/>
          <w:lang w:val="en-US" w:eastAsia="zh-CN"/>
        </w:rPr>
        <w:t>预算</w:t>
      </w:r>
      <w:r>
        <w:rPr>
          <w:rFonts w:hint="eastAsia" w:ascii="仿宋_GB2312" w:hAnsi="仿宋_GB2312" w:eastAsia="仿宋_GB2312" w:cs="仿宋_GB2312"/>
          <w:b/>
          <w:color w:val="auto"/>
          <w:kern w:val="0"/>
          <w:sz w:val="32"/>
          <w:szCs w:val="32"/>
          <w:highlight w:val="none"/>
        </w:rPr>
        <w:t>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二、部门（单位）收入总体情况表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三、部门（单位）支出总体情况表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kern w:val="0"/>
          <w:sz w:val="32"/>
          <w:szCs w:val="32"/>
          <w:highlight w:val="none"/>
        </w:rPr>
        <w:t>单位</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kern w:val="0"/>
          <w:sz w:val="32"/>
          <w:szCs w:val="32"/>
          <w:highlight w:val="none"/>
          <w:lang w:val="en-US" w:eastAsia="zh-CN"/>
        </w:rPr>
        <w:t>呼图壁县住房和城乡建设局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line="560" w:lineRule="exact"/>
        <w:ind w:firstLine="640" w:firstLineChars="200"/>
        <w:rPr>
          <w:rFonts w:hint="eastAsia" w:ascii="仿宋" w:hAnsi="仿宋" w:eastAsia="仿宋" w:cs="仿宋"/>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 w:hAnsi="仿宋" w:eastAsia="仿宋" w:cs="仿宋"/>
          <w:sz w:val="32"/>
          <w:szCs w:val="32"/>
          <w:highlight w:val="none"/>
        </w:rPr>
        <w:t>贯彻执行国家、自治区、州、县有关工程建设、城市建设、村镇建设、房地产开发、住房体系保障建设、市政公用事业的方针、政策、法律、法规；进行建筑、房产等行业管理；推进城市公共基础设施工程项目建设，并负责全县建设档案建档工作。</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全县城镇低收入家庭住房保障工作，规范全县房地产市场秩序、监督管理全县房地产市场；监督管理全县建筑市场，规范各方主体行为。负责全县住房保障信息平台的建设、管理和各类数据的统计上报工作；负责全县保障性住房建设、分配、管理、维修、维护和物业管理等相关业务；负责全县保障性住房的申请、审核、分配和后续动态管理等业务工作；负责全县保障性安居工程项目建设资金、住房保障专项资金的核算和使用管理等工作。</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负责城市道路、供排水、市政照明、维护及日常管理工作。负责全县市政公用事业特许经营；监督指导供水供气、供热和市容环境卫生、园林绿化法律法规规章的执行；指导市政公用设施建设、安全和应急管理。</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建设工程质量和安全管理有关业务工作。建立建设工程质量和安全管理台账；协助对本县建筑工程质量和安全进行日常巡查和抽查；参与建筑工程重大质量事故和安全事故的调查处理；协助受理本县建筑工程质量和安全问题的投诉、举报工作；负责对建筑工程竣工验收的质量监督；</w:t>
      </w:r>
      <w:r>
        <w:rPr>
          <w:rFonts w:hint="eastAsia" w:ascii="仿宋" w:hAnsi="仿宋" w:eastAsia="仿宋" w:cs="仿宋"/>
          <w:color w:val="000000"/>
          <w:sz w:val="32"/>
          <w:szCs w:val="32"/>
          <w:highlight w:val="none"/>
        </w:rPr>
        <w:t>负责全县建设工程消防设计审查验收。</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负责城乡安居富民工程建设的指导监督，指导农村住房建设和安全及危房改造，指导城镇人居生态环境的改善工作。</w:t>
      </w:r>
    </w:p>
    <w:p>
      <w:pPr>
        <w:spacing w:line="560" w:lineRule="exact"/>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负责宣传国家房屋征收与补偿的法律法规、房屋征收与补偿政策；负责征收范围内房屋、人员等基本信息的采集等工作；负责征迁区域内的征迁户签订安置协议相关工作；负责征收补偿有关费用的结算工作；负责房屋征收与补偿数据信息的统计、档案资料管理等工作。</w:t>
      </w:r>
    </w:p>
    <w:p>
      <w:pPr>
        <w:spacing w:line="560" w:lineRule="exact"/>
        <w:ind w:firstLine="640" w:firstLineChars="200"/>
        <w:rPr>
          <w:rFonts w:hint="eastAsia" w:ascii="仿宋" w:hAnsi="仿宋" w:eastAsia="仿宋" w:cs="仿宋"/>
          <w:bCs/>
          <w:kern w:val="0"/>
          <w:sz w:val="32"/>
          <w:szCs w:val="32"/>
          <w:highlight w:val="none"/>
        </w:rPr>
      </w:pPr>
      <w:r>
        <w:rPr>
          <w:rFonts w:hint="eastAsia" w:ascii="仿宋" w:hAnsi="仿宋" w:eastAsia="仿宋" w:cs="仿宋"/>
          <w:sz w:val="32"/>
          <w:szCs w:val="32"/>
          <w:highlight w:val="none"/>
        </w:rPr>
        <w:t>行使住房和城乡建设、城市综合管理范围内的行政处罚权；负责市政公用设施运行管理、市容环境卫生管理、园林绿化设施管理等方面的全部执法工作。依法行使环境保护管理方面社会生活噪音污染、餐饮服务业油烟污染、露天烧烤污染、城市焚烧沥青塑料垃圾等烟尘和恶臭污染、露天焚烧秸秆落叶等盐城污染、燃放烟花爆竹污染等的行政处罚权；行使市场管理方面户外公共场所无证无照经营、违规设置户外广告的行政处罚权；行使交通管理方面侵占城市道路、车行道外违法停放车辆等的行政处罚权。</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机构设置及人员情况</w:t>
      </w:r>
    </w:p>
    <w:p>
      <w:pPr>
        <w:widowControl/>
        <w:spacing w:line="560" w:lineRule="exact"/>
        <w:ind w:firstLine="640"/>
        <w:jc w:val="left"/>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rPr>
        <w:t>呼图壁县住房和城乡建设局无下属预算单位，下设</w:t>
      </w:r>
      <w:r>
        <w:rPr>
          <w:rFonts w:hint="eastAsia" w:ascii="仿宋_GB2312" w:hAnsi="黑体" w:eastAsia="仿宋_GB2312" w:cs="宋体"/>
          <w:bCs/>
          <w:kern w:val="0"/>
          <w:sz w:val="32"/>
          <w:szCs w:val="32"/>
          <w:highlight w:val="none"/>
          <w:lang w:val="en-US" w:eastAsia="zh-CN"/>
        </w:rPr>
        <w:t>中心2个，</w:t>
      </w:r>
      <w:r>
        <w:rPr>
          <w:rFonts w:hint="eastAsia" w:ascii="仿宋_GB2312" w:hAnsi="黑体" w:eastAsia="仿宋_GB2312" w:cs="宋体"/>
          <w:bCs/>
          <w:kern w:val="0"/>
          <w:sz w:val="32"/>
          <w:szCs w:val="32"/>
          <w:highlight w:val="none"/>
        </w:rPr>
        <w:t>执法大队1个及</w:t>
      </w:r>
      <w:r>
        <w:rPr>
          <w:rFonts w:hint="eastAsia" w:ascii="仿宋_GB2312" w:hAnsi="黑体" w:eastAsia="仿宋_GB2312" w:cs="宋体"/>
          <w:bCs/>
          <w:kern w:val="0"/>
          <w:sz w:val="32"/>
          <w:szCs w:val="32"/>
          <w:highlight w:val="none"/>
          <w:lang w:val="en-US" w:eastAsia="zh-CN"/>
        </w:rPr>
        <w:t>2</w:t>
      </w:r>
      <w:r>
        <w:rPr>
          <w:rFonts w:hint="eastAsia" w:ascii="仿宋_GB2312" w:hAnsi="黑体" w:eastAsia="仿宋_GB2312" w:cs="宋体"/>
          <w:bCs/>
          <w:kern w:val="0"/>
          <w:sz w:val="32"/>
          <w:szCs w:val="32"/>
          <w:highlight w:val="none"/>
        </w:rPr>
        <w:t>个业务科室，分别是：</w:t>
      </w:r>
      <w:r>
        <w:rPr>
          <w:rFonts w:hint="eastAsia" w:ascii="仿宋" w:hAnsi="仿宋" w:eastAsia="仿宋" w:cs="仿宋"/>
          <w:sz w:val="32"/>
          <w:szCs w:val="32"/>
          <w:highlight w:val="none"/>
          <w:lang w:val="en-US" w:eastAsia="zh-CN"/>
        </w:rPr>
        <w:t>呼图壁县综合保障中心</w:t>
      </w:r>
      <w:r>
        <w:rPr>
          <w:rFonts w:hint="eastAsia" w:ascii="仿宋" w:hAnsi="仿宋" w:eastAsia="仿宋" w:cs="仿宋"/>
          <w:sz w:val="32"/>
          <w:szCs w:val="32"/>
          <w:highlight w:val="none"/>
        </w:rPr>
        <w:t>、</w:t>
      </w:r>
      <w:r>
        <w:rPr>
          <w:rFonts w:hint="eastAsia" w:ascii="仿宋" w:hAnsi="仿宋" w:eastAsia="仿宋" w:cs="仿宋"/>
          <w:sz w:val="32"/>
          <w:szCs w:val="32"/>
          <w:highlight w:val="none"/>
          <w:lang w:val="en-US" w:eastAsia="zh-CN"/>
        </w:rPr>
        <w:t>呼图壁县建设工程质量安全消防技术服务中心（城建档案室）、呼图壁县住房和</w:t>
      </w:r>
      <w:r>
        <w:rPr>
          <w:rFonts w:hint="eastAsia" w:ascii="仿宋" w:hAnsi="仿宋" w:eastAsia="仿宋" w:cs="仿宋"/>
          <w:sz w:val="32"/>
          <w:szCs w:val="32"/>
          <w:highlight w:val="none"/>
        </w:rPr>
        <w:t>城乡</w:t>
      </w:r>
      <w:r>
        <w:rPr>
          <w:rFonts w:hint="eastAsia" w:ascii="仿宋" w:hAnsi="仿宋" w:eastAsia="仿宋" w:cs="仿宋"/>
          <w:sz w:val="32"/>
          <w:szCs w:val="32"/>
          <w:highlight w:val="none"/>
          <w:lang w:val="en-US" w:eastAsia="zh-CN"/>
        </w:rPr>
        <w:t>建设综合行政</w:t>
      </w:r>
      <w:r>
        <w:rPr>
          <w:rFonts w:hint="eastAsia" w:ascii="仿宋" w:hAnsi="仿宋" w:eastAsia="仿宋" w:cs="仿宋"/>
          <w:sz w:val="32"/>
          <w:szCs w:val="32"/>
          <w:highlight w:val="none"/>
        </w:rPr>
        <w:t>执法大队、财务室、综合办公室。</w:t>
      </w:r>
    </w:p>
    <w:p>
      <w:pPr>
        <w:widowControl/>
        <w:spacing w:line="540" w:lineRule="exact"/>
        <w:ind w:firstLine="640"/>
        <w:jc w:val="left"/>
        <w:rPr>
          <w:rFonts w:hint="eastAsia" w:ascii="仿宋_GB2312" w:hAnsi="宋体" w:eastAsia="仿宋_GB2312" w:cs="宋体"/>
          <w:kern w:val="0"/>
          <w:sz w:val="32"/>
          <w:szCs w:val="32"/>
          <w:highlight w:val="none"/>
          <w:lang w:eastAsia="zh-Hans"/>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kern w:val="0"/>
          <w:sz w:val="32"/>
          <w:szCs w:val="32"/>
          <w:highlight w:val="none"/>
        </w:rPr>
        <w:t>单位编制数</w:t>
      </w:r>
      <w:r>
        <w:rPr>
          <w:rFonts w:hint="eastAsia" w:ascii="仿宋_GB2312" w:hAnsi="宋体" w:eastAsia="仿宋_GB2312" w:cs="宋体"/>
          <w:kern w:val="0"/>
          <w:sz w:val="32"/>
          <w:szCs w:val="32"/>
          <w:highlight w:val="none"/>
          <w:lang w:val="en-US" w:eastAsia="zh-CN"/>
        </w:rPr>
        <w:t>45</w:t>
      </w:r>
      <w:r>
        <w:rPr>
          <w:rFonts w:hint="eastAsia" w:ascii="仿宋_GB2312" w:hAnsi="宋体" w:eastAsia="仿宋_GB2312" w:cs="宋体"/>
          <w:kern w:val="0"/>
          <w:sz w:val="32"/>
          <w:szCs w:val="32"/>
          <w:highlight w:val="none"/>
        </w:rPr>
        <w:t>，实有人数</w:t>
      </w:r>
      <w:r>
        <w:rPr>
          <w:rFonts w:hint="eastAsia" w:ascii="仿宋_GB2312" w:hAnsi="宋体" w:eastAsia="仿宋_GB2312" w:cs="宋体"/>
          <w:kern w:val="0"/>
          <w:sz w:val="32"/>
          <w:szCs w:val="32"/>
          <w:highlight w:val="none"/>
          <w:lang w:val="en-US" w:eastAsia="zh-CN"/>
        </w:rPr>
        <w:t>53</w:t>
      </w:r>
      <w:r>
        <w:rPr>
          <w:rFonts w:hint="eastAsia" w:ascii="仿宋_GB2312" w:hAnsi="宋体" w:eastAsia="仿宋_GB2312" w:cs="宋体"/>
          <w:kern w:val="0"/>
          <w:sz w:val="32"/>
          <w:szCs w:val="32"/>
          <w:highlight w:val="none"/>
        </w:rPr>
        <w:t>人，其中：在职</w:t>
      </w:r>
      <w:r>
        <w:rPr>
          <w:rFonts w:hint="eastAsia" w:ascii="仿宋_GB2312" w:hAnsi="宋体" w:eastAsia="仿宋_GB2312" w:cs="宋体"/>
          <w:kern w:val="0"/>
          <w:sz w:val="32"/>
          <w:szCs w:val="32"/>
          <w:highlight w:val="none"/>
          <w:lang w:val="en-US" w:eastAsia="zh-CN"/>
        </w:rPr>
        <w:t>42</w:t>
      </w:r>
      <w:r>
        <w:rPr>
          <w:rFonts w:hint="eastAsia" w:ascii="仿宋_GB2312" w:hAnsi="宋体" w:eastAsia="仿宋_GB2312" w:cs="宋体"/>
          <w:kern w:val="0"/>
          <w:sz w:val="32"/>
          <w:szCs w:val="32"/>
          <w:highlight w:val="none"/>
        </w:rPr>
        <w:t>人，</w:t>
      </w:r>
      <w:r>
        <w:rPr>
          <w:rFonts w:hint="eastAsia" w:ascii="仿宋_GB2312" w:hAnsi="宋体" w:eastAsia="仿宋_GB2312" w:cs="宋体"/>
          <w:kern w:val="0"/>
          <w:sz w:val="32"/>
          <w:szCs w:val="32"/>
          <w:highlight w:val="none"/>
          <w:lang w:val="en-US" w:eastAsia="zh-CN"/>
        </w:rPr>
        <w:t>增加13人</w:t>
      </w:r>
      <w:r>
        <w:rPr>
          <w:rFonts w:hint="eastAsia" w:ascii="仿宋_GB2312" w:hAnsi="宋体" w:eastAsia="仿宋_GB2312" w:cs="宋体"/>
          <w:kern w:val="0"/>
          <w:sz w:val="32"/>
          <w:szCs w:val="32"/>
          <w:highlight w:val="none"/>
        </w:rPr>
        <w:t>； 退休</w:t>
      </w:r>
      <w:r>
        <w:rPr>
          <w:rFonts w:hint="eastAsia" w:ascii="仿宋_GB2312" w:hAnsi="宋体" w:eastAsia="仿宋_GB2312" w:cs="宋体"/>
          <w:kern w:val="0"/>
          <w:sz w:val="32"/>
          <w:szCs w:val="32"/>
          <w:highlight w:val="none"/>
          <w:lang w:val="en-US" w:eastAsia="zh-CN"/>
        </w:rPr>
        <w:t>11</w:t>
      </w:r>
      <w:r>
        <w:rPr>
          <w:rFonts w:hint="eastAsia" w:ascii="仿宋_GB2312" w:hAnsi="宋体" w:eastAsia="仿宋_GB2312" w:cs="宋体"/>
          <w:kern w:val="0"/>
          <w:sz w:val="32"/>
          <w:szCs w:val="32"/>
          <w:highlight w:val="none"/>
        </w:rPr>
        <w:t>人，增加</w:t>
      </w: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人；离休</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人，减少</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70</w:t>
            </w:r>
            <w:r>
              <w:rPr>
                <w:rFonts w:hint="eastAsia" w:ascii="仿宋_GB2312" w:hAnsi="宋体" w:eastAsia="仿宋_GB2312" w:cs="宋体"/>
                <w:color w:val="auto"/>
                <w:kern w:val="0"/>
                <w:sz w:val="18"/>
                <w:szCs w:val="18"/>
                <w:highlight w:val="none"/>
              </w:rPr>
              <w:t>10.43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3798.00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3537.00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261.00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2612.43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2612.43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227.21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113.29</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8255.80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600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15661.98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lang w:val="en-US" w:eastAsia="zh-CN" w:bidi="ar-SA"/>
              </w:rPr>
            </w:pPr>
            <w:r>
              <w:rPr>
                <w:rFonts w:hint="eastAsia" w:ascii="仿宋_GB2312" w:hAnsi="宋体" w:eastAsia="仿宋_GB2312" w:cs="宋体"/>
                <w:color w:val="auto"/>
                <w:kern w:val="0"/>
                <w:sz w:val="18"/>
                <w:szCs w:val="18"/>
                <w:highlight w:val="none"/>
              </w:rPr>
              <w:t>15661.98</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4251.82</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2665.96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11410.16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11410.16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22</w:t>
            </w:r>
            <w:r>
              <w:rPr>
                <w:rFonts w:hint="eastAsia" w:ascii="仿宋_GB2312" w:hAnsi="宋体" w:eastAsia="仿宋_GB2312" w:cs="宋体"/>
                <w:b/>
                <w:bCs/>
                <w:color w:val="auto"/>
                <w:kern w:val="0"/>
                <w:sz w:val="20"/>
                <w:szCs w:val="20"/>
                <w:highlight w:val="none"/>
                <w:lang w:val="en-US" w:eastAsia="zh-CN"/>
              </w:rPr>
              <w:t>6</w:t>
            </w:r>
            <w:r>
              <w:rPr>
                <w:rFonts w:hint="eastAsia" w:ascii="仿宋_GB2312" w:hAnsi="宋体" w:eastAsia="仿宋_GB2312" w:cs="宋体"/>
                <w:b/>
                <w:bCs/>
                <w:color w:val="auto"/>
                <w:kern w:val="0"/>
                <w:sz w:val="20"/>
                <w:szCs w:val="20"/>
                <w:highlight w:val="none"/>
              </w:rPr>
              <w:t>72.41</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rPr>
              <w:t>22672.41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widowControl/>
        <w:jc w:val="left"/>
        <w:textAlignment w:val="bottom"/>
        <w:rPr>
          <w:rFonts w:hint="eastAsia" w:ascii="宋体" w:hAnsi="宋体" w:cs="宋体"/>
          <w:color w:val="000000"/>
          <w:kern w:val="0"/>
          <w:sz w:val="20"/>
          <w:szCs w:val="20"/>
          <w:highlight w:val="none"/>
          <w:lang w:bidi="ar"/>
        </w:rPr>
      </w:pPr>
      <w:r>
        <w:rPr>
          <w:rFonts w:hint="eastAsia" w:ascii="宋体" w:hAnsi="宋体" w:cs="宋体"/>
          <w:color w:val="000000"/>
          <w:kern w:val="0"/>
          <w:sz w:val="20"/>
          <w:szCs w:val="20"/>
          <w:highlight w:val="none"/>
          <w:lang w:bidi="ar"/>
        </w:rPr>
        <w:t>表2</w:t>
      </w:r>
    </w:p>
    <w:p>
      <w:pPr>
        <w:widowControl/>
        <w:spacing w:line="440" w:lineRule="exact"/>
        <w:jc w:val="center"/>
        <w:outlineLvl w:val="1"/>
        <w:rPr>
          <w:rFonts w:hint="eastAsia" w:ascii="仿宋_GB2312" w:hAnsi="仿宋_GB2312" w:eastAsia="仿宋_GB2312" w:cs="仿宋_GB2312"/>
          <w:b/>
          <w:kern w:val="0"/>
          <w:sz w:val="32"/>
          <w:szCs w:val="32"/>
          <w:highlight w:val="none"/>
        </w:rPr>
      </w:pPr>
      <w:r>
        <w:rPr>
          <w:rFonts w:hint="eastAsia" w:ascii="仿宋_GB2312" w:hAnsi="仿宋_GB2312" w:eastAsia="仿宋_GB2312" w:cs="仿宋_GB2312"/>
          <w:b/>
          <w:kern w:val="0"/>
          <w:sz w:val="32"/>
          <w:szCs w:val="32"/>
          <w:highlight w:val="none"/>
          <w:lang w:val="en-US" w:eastAsia="zh-CN"/>
        </w:rPr>
        <w:t>单位</w:t>
      </w:r>
      <w:r>
        <w:rPr>
          <w:rFonts w:hint="eastAsia" w:ascii="仿宋_GB2312" w:hAnsi="仿宋_GB2312" w:eastAsia="仿宋_GB2312" w:cs="仿宋_GB2312"/>
          <w:b/>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240" w:lineRule="atLeast"/>
        <w:jc w:val="left"/>
        <w:textAlignment w:val="auto"/>
        <w:outlineLvl w:val="1"/>
        <w:rPr>
          <w:rFonts w:ascii="仿宋_GB2312" w:hAnsi="宋体" w:eastAsia="仿宋_GB2312"/>
          <w:kern w:val="0"/>
          <w:sz w:val="24"/>
          <w:highlight w:val="none"/>
        </w:rPr>
      </w:pPr>
      <w:r>
        <w:rPr>
          <w:rFonts w:hint="eastAsia" w:ascii="仿宋_GB2312" w:hAnsi="宋体" w:eastAsia="仿宋_GB2312"/>
          <w:kern w:val="0"/>
          <w:sz w:val="24"/>
          <w:highlight w:val="none"/>
        </w:rPr>
        <w:t>编制单位</w:t>
      </w:r>
      <w:r>
        <w:rPr>
          <w:rFonts w:hint="eastAsia" w:ascii="仿宋_GB2312" w:hAnsi="宋体" w:eastAsia="仿宋_GB2312"/>
          <w:kern w:val="0"/>
          <w:sz w:val="24"/>
          <w:highlight w:val="none"/>
          <w:lang w:val="en-US" w:eastAsia="zh-CN"/>
        </w:rPr>
        <w:t>:</w:t>
      </w:r>
      <w:r>
        <w:rPr>
          <w:rFonts w:hint="eastAsia" w:ascii="仿宋_GB2312" w:hAnsi="宋体" w:eastAsia="仿宋_GB2312"/>
          <w:kern w:val="0"/>
          <w:sz w:val="24"/>
          <w:highlight w:val="none"/>
        </w:rPr>
        <w:t xml:space="preserve"> </w:t>
      </w:r>
      <w:r>
        <w:rPr>
          <w:rFonts w:hint="eastAsia" w:ascii="仿宋_GB2312" w:hAnsi="宋体" w:eastAsia="仿宋_GB2312"/>
          <w:kern w:val="0"/>
          <w:sz w:val="24"/>
          <w:highlight w:val="none"/>
          <w:lang w:val="en-US" w:eastAsia="zh-CN"/>
        </w:rPr>
        <w:t>呼图壁县住房和城乡建设局</w:t>
      </w:r>
      <w:r>
        <w:rPr>
          <w:rFonts w:hint="eastAsia" w:ascii="仿宋_GB2312" w:hAnsi="宋体" w:eastAsia="仿宋_GB2312"/>
          <w:kern w:val="0"/>
          <w:sz w:val="24"/>
          <w:highlight w:val="none"/>
        </w:rPr>
        <w:t xml:space="preserve">                           单位：万元                  </w:t>
      </w:r>
    </w:p>
    <w:tbl>
      <w:tblPr>
        <w:tblStyle w:val="5"/>
        <w:tblW w:w="11141" w:type="dxa"/>
        <w:tblInd w:w="-1085" w:type="dxa"/>
        <w:tblLayout w:type="fixed"/>
        <w:tblCellMar>
          <w:top w:w="0" w:type="dxa"/>
          <w:left w:w="108" w:type="dxa"/>
          <w:bottom w:w="0" w:type="dxa"/>
          <w:right w:w="108" w:type="dxa"/>
        </w:tblCellMar>
      </w:tblPr>
      <w:tblGrid>
        <w:gridCol w:w="523"/>
        <w:gridCol w:w="477"/>
        <w:gridCol w:w="408"/>
        <w:gridCol w:w="2175"/>
        <w:gridCol w:w="870"/>
        <w:gridCol w:w="795"/>
        <w:gridCol w:w="780"/>
        <w:gridCol w:w="630"/>
        <w:gridCol w:w="795"/>
        <w:gridCol w:w="675"/>
        <w:gridCol w:w="240"/>
        <w:gridCol w:w="915"/>
        <w:gridCol w:w="240"/>
        <w:gridCol w:w="465"/>
        <w:gridCol w:w="913"/>
        <w:gridCol w:w="240"/>
      </w:tblGrid>
      <w:tr>
        <w:tblPrEx>
          <w:tblLayout w:type="fixed"/>
          <w:tblCellMar>
            <w:top w:w="0" w:type="dxa"/>
            <w:left w:w="108" w:type="dxa"/>
            <w:bottom w:w="0" w:type="dxa"/>
            <w:right w:w="108" w:type="dxa"/>
          </w:tblCellMar>
        </w:tblPrEx>
        <w:trPr>
          <w:trHeight w:val="253" w:hRule="atLeast"/>
        </w:trPr>
        <w:tc>
          <w:tcPr>
            <w:tcW w:w="140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功能分类科目编码</w:t>
            </w:r>
          </w:p>
        </w:tc>
        <w:tc>
          <w:tcPr>
            <w:tcW w:w="21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功能分类科目名称</w:t>
            </w:r>
          </w:p>
        </w:tc>
        <w:tc>
          <w:tcPr>
            <w:tcW w:w="87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eastAsia="仿宋_GB2312"/>
                <w:b/>
                <w:color w:val="000000"/>
                <w:sz w:val="20"/>
                <w:szCs w:val="20"/>
                <w:highlight w:val="none"/>
              </w:rPr>
              <w:t>总  计</w:t>
            </w:r>
          </w:p>
        </w:tc>
        <w:tc>
          <w:tcPr>
            <w:tcW w:w="483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sz w:val="20"/>
                <w:szCs w:val="20"/>
                <w:highlight w:val="none"/>
              </w:rPr>
            </w:pPr>
            <w:r>
              <w:rPr>
                <w:rFonts w:hint="eastAsia" w:ascii="仿宋_GB2312" w:hAnsi="宋体" w:eastAsia="仿宋_GB2312" w:cs="宋体"/>
                <w:b/>
                <w:color w:val="000000"/>
                <w:sz w:val="20"/>
                <w:szCs w:val="20"/>
                <w:highlight w:val="none"/>
              </w:rPr>
              <w:t>财  政  拨  款  (  补  助  )</w:t>
            </w:r>
          </w:p>
        </w:tc>
        <w:tc>
          <w:tcPr>
            <w:tcW w:w="2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财政专户（教育收费）</w:t>
            </w:r>
          </w:p>
        </w:tc>
        <w:tc>
          <w:tcPr>
            <w:tcW w:w="46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单位资金</w:t>
            </w:r>
          </w:p>
        </w:tc>
        <w:tc>
          <w:tcPr>
            <w:tcW w:w="91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财政拨款结转</w:t>
            </w:r>
          </w:p>
        </w:tc>
        <w:tc>
          <w:tcPr>
            <w:tcW w:w="2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000000"/>
                <w:sz w:val="20"/>
                <w:szCs w:val="20"/>
                <w:highlight w:val="none"/>
              </w:rPr>
            </w:pPr>
            <w:r>
              <w:rPr>
                <w:rFonts w:hint="eastAsia" w:ascii="仿宋_GB2312" w:eastAsia="仿宋_GB2312"/>
                <w:b/>
                <w:color w:val="000000"/>
                <w:sz w:val="20"/>
                <w:szCs w:val="20"/>
                <w:highlight w:val="none"/>
              </w:rPr>
              <w:t>非财政拨款结转结余</w:t>
            </w:r>
          </w:p>
        </w:tc>
      </w:tr>
      <w:tr>
        <w:tblPrEx>
          <w:tblLayout w:type="fixed"/>
          <w:tblCellMar>
            <w:top w:w="0" w:type="dxa"/>
            <w:left w:w="108" w:type="dxa"/>
            <w:bottom w:w="0" w:type="dxa"/>
            <w:right w:w="108" w:type="dxa"/>
          </w:tblCellMar>
        </w:tblPrEx>
        <w:trPr>
          <w:trHeight w:val="2218" w:hRule="atLeast"/>
        </w:trPr>
        <w:tc>
          <w:tcPr>
            <w:tcW w:w="523"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类</w:t>
            </w:r>
          </w:p>
        </w:tc>
        <w:tc>
          <w:tcPr>
            <w:tcW w:w="477"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款</w:t>
            </w:r>
          </w:p>
        </w:tc>
        <w:tc>
          <w:tcPr>
            <w:tcW w:w="408" w:type="dxa"/>
            <w:tcBorders>
              <w:left w:val="nil"/>
              <w:bottom w:val="single" w:color="auto" w:sz="4" w:space="0"/>
              <w:right w:val="single" w:color="auto" w:sz="4" w:space="0"/>
            </w:tcBorders>
            <w:noWrap w:val="0"/>
            <w:vAlign w:val="center"/>
          </w:tcPr>
          <w:p>
            <w:pPr>
              <w:jc w:val="right"/>
              <w:rPr>
                <w:rFonts w:hint="eastAsia" w:ascii="仿宋_GB2312" w:eastAsia="仿宋_GB2312"/>
                <w:b/>
                <w:color w:val="000000"/>
                <w:sz w:val="20"/>
                <w:szCs w:val="20"/>
                <w:highlight w:val="none"/>
                <w:lang w:eastAsia="zh-Hans"/>
              </w:rPr>
            </w:pPr>
            <w:r>
              <w:rPr>
                <w:rFonts w:hint="eastAsia" w:ascii="仿宋_GB2312" w:eastAsia="仿宋_GB2312"/>
                <w:b/>
                <w:color w:val="000000"/>
                <w:sz w:val="20"/>
                <w:szCs w:val="20"/>
                <w:highlight w:val="none"/>
                <w:lang w:eastAsia="zh-Hans"/>
              </w:rPr>
              <w:t>项</w:t>
            </w:r>
          </w:p>
        </w:tc>
        <w:tc>
          <w:tcPr>
            <w:tcW w:w="21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87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财政拨款(补助)小计</w:t>
            </w:r>
          </w:p>
        </w:tc>
        <w:tc>
          <w:tcPr>
            <w:tcW w:w="7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一般公共预算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上级一般公共预算安排的转移支付</w:t>
            </w:r>
          </w:p>
        </w:tc>
        <w:tc>
          <w:tcPr>
            <w:tcW w:w="7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上级政府性基金安排的转移支付</w:t>
            </w:r>
          </w:p>
        </w:tc>
        <w:tc>
          <w:tcPr>
            <w:tcW w:w="24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国有资本经营预算</w:t>
            </w:r>
          </w:p>
        </w:tc>
        <w:tc>
          <w:tcPr>
            <w:tcW w:w="9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000000"/>
                <w:sz w:val="20"/>
                <w:szCs w:val="20"/>
                <w:highlight w:val="none"/>
              </w:rPr>
            </w:pPr>
            <w:r>
              <w:rPr>
                <w:rFonts w:hint="eastAsia" w:ascii="仿宋_GB2312" w:hAnsi="宋体" w:eastAsia="仿宋_GB2312" w:cs="宋体"/>
                <w:b/>
                <w:bCs/>
                <w:color w:val="000000"/>
                <w:sz w:val="20"/>
                <w:szCs w:val="20"/>
                <w:highlight w:val="none"/>
              </w:rPr>
              <w:t>上级国有资本经营预算安排的转移支付</w:t>
            </w:r>
          </w:p>
        </w:tc>
        <w:tc>
          <w:tcPr>
            <w:tcW w:w="2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46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91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c>
          <w:tcPr>
            <w:tcW w:w="2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highlight w:val="none"/>
              </w:rPr>
            </w:pPr>
          </w:p>
        </w:tc>
      </w:tr>
      <w:tr>
        <w:tblPrEx>
          <w:tblLayout w:type="fixed"/>
          <w:tblCellMar>
            <w:top w:w="0" w:type="dxa"/>
            <w:left w:w="108" w:type="dxa"/>
            <w:bottom w:w="0" w:type="dxa"/>
            <w:right w:w="108" w:type="dxa"/>
          </w:tblCellMar>
        </w:tblPrEx>
        <w:trPr>
          <w:trHeight w:val="255" w:hRule="atLeast"/>
        </w:trPr>
        <w:tc>
          <w:tcPr>
            <w:tcW w:w="523"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shd w:val="clear" w:color="auto" w:fill="auto"/>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auto"/>
                <w:sz w:val="16"/>
                <w:szCs w:val="16"/>
                <w:highlight w:val="none"/>
                <w:lang w:val="en-US" w:eastAsia="zh-CN"/>
              </w:rPr>
              <w:t>社会保障和就业支出</w:t>
            </w:r>
          </w:p>
        </w:tc>
        <w:tc>
          <w:tcPr>
            <w:tcW w:w="870"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227.21</w:t>
            </w:r>
          </w:p>
        </w:tc>
        <w:tc>
          <w:tcPr>
            <w:tcW w:w="795"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77.21</w:t>
            </w:r>
          </w:p>
        </w:tc>
        <w:tc>
          <w:tcPr>
            <w:tcW w:w="780" w:type="dxa"/>
            <w:tcBorders>
              <w:top w:val="nil"/>
              <w:left w:val="nil"/>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77.21</w:t>
            </w:r>
          </w:p>
        </w:tc>
        <w:tc>
          <w:tcPr>
            <w:tcW w:w="630"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shd w:val="clear" w:color="000000" w:fill="FFFFFF"/>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150</w:t>
            </w:r>
          </w:p>
        </w:tc>
        <w:tc>
          <w:tcPr>
            <w:tcW w:w="913" w:type="dxa"/>
            <w:tcBorders>
              <w:top w:val="nil"/>
              <w:left w:val="single" w:color="auto" w:sz="4" w:space="0"/>
              <w:bottom w:val="single" w:color="auto" w:sz="4" w:space="0"/>
              <w:right w:val="single" w:color="auto" w:sz="4" w:space="0"/>
            </w:tcBorders>
            <w:shd w:val="clear" w:color="000000" w:fill="FFFFFF"/>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auto"/>
                <w:sz w:val="16"/>
                <w:szCs w:val="16"/>
                <w:highlight w:val="none"/>
                <w:lang w:val="en-US" w:eastAsia="zh-CN"/>
              </w:rPr>
              <w:t>行政事业单位养老支出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227.21</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77.21</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77.21</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150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01</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6"/>
                <w:szCs w:val="16"/>
                <w:highlight w:val="none"/>
                <w:lang w:val="en-US" w:eastAsia="zh-CN"/>
              </w:rPr>
            </w:pPr>
            <w:r>
              <w:rPr>
                <w:rFonts w:hint="eastAsia" w:ascii="仿宋" w:hAnsi="仿宋" w:eastAsia="仿宋" w:cs="仿宋"/>
                <w:color w:val="auto"/>
                <w:sz w:val="16"/>
                <w:szCs w:val="16"/>
                <w:highlight w:val="none"/>
                <w:lang w:val="en-US" w:eastAsia="zh-CN"/>
              </w:rPr>
              <w:t>行政单位离退休</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54.81</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4.81</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4.81</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02</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事业单位离退休</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4.89</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4.89</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4.89</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356"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lang w:val="en-US" w:eastAsia="zh-CN"/>
              </w:rPr>
              <w:t>05</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auto"/>
                <w:sz w:val="16"/>
                <w:szCs w:val="16"/>
                <w:highlight w:val="none"/>
              </w:rPr>
              <w:t>机关事业单位基本养老保险缴费支出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147.51</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67.51</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67.51</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356"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208</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05</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06</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auto"/>
                <w:sz w:val="16"/>
                <w:szCs w:val="16"/>
                <w:highlight w:val="none"/>
              </w:rPr>
            </w:pPr>
            <w:r>
              <w:rPr>
                <w:rFonts w:hint="eastAsia" w:ascii="仿宋" w:hAnsi="仿宋" w:eastAsia="仿宋" w:cs="仿宋"/>
                <w:color w:val="auto"/>
                <w:sz w:val="16"/>
                <w:szCs w:val="16"/>
                <w:highlight w:val="none"/>
              </w:rPr>
              <w:t>机关事业单位职业年金缴费支出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20.00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1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lang w:val="en-US" w:eastAsia="zh-CN"/>
              </w:rPr>
              <w:t>卫生健康支出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113.29</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9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lang w:val="en-US" w:eastAsia="zh-CN"/>
              </w:rPr>
              <w:t>行政事业单位医疗</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113.29</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43.29</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70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53"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01</w:t>
            </w: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rPr>
              <w:t>行政单位医疗　</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59.38</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9.38</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9.38</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02</w:t>
            </w: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rPr>
              <w:t>事业单位医疗</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24.37</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24.37</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24.37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4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03</w:t>
            </w:r>
          </w:p>
        </w:tc>
        <w:tc>
          <w:tcPr>
            <w:tcW w:w="2175" w:type="dxa"/>
            <w:tcBorders>
              <w:top w:val="nil"/>
              <w:left w:val="nil"/>
              <w:bottom w:val="single" w:color="auto" w:sz="4" w:space="0"/>
              <w:right w:val="single" w:color="auto" w:sz="4" w:space="0"/>
            </w:tcBorders>
            <w:noWrap w:val="0"/>
            <w:vAlign w:val="center"/>
          </w:tcPr>
          <w:p>
            <w:pPr>
              <w:rPr>
                <w:rFonts w:hint="eastAsia" w:ascii="仿宋" w:hAnsi="仿宋" w:eastAsia="仿宋" w:cs="仿宋"/>
                <w:color w:val="000000"/>
                <w:kern w:val="2"/>
                <w:sz w:val="16"/>
                <w:szCs w:val="16"/>
                <w:highlight w:val="none"/>
                <w:lang w:val="en-US" w:eastAsia="zh-CN" w:bidi="ar-SA"/>
              </w:rPr>
            </w:pPr>
            <w:r>
              <w:rPr>
                <w:rFonts w:hint="eastAsia" w:ascii="仿宋" w:hAnsi="仿宋" w:eastAsia="仿宋" w:cs="仿宋"/>
                <w:color w:val="000000"/>
                <w:sz w:val="16"/>
                <w:szCs w:val="16"/>
                <w:highlight w:val="none"/>
              </w:rPr>
              <w:t>公务员医疗补助</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29.28</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9.28</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9.28</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93"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210</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11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r>
              <w:rPr>
                <w:rFonts w:hint="eastAsia" w:ascii="仿宋" w:hAnsi="仿宋" w:eastAsia="仿宋" w:cs="仿宋"/>
                <w:color w:val="000000"/>
                <w:sz w:val="16"/>
                <w:szCs w:val="16"/>
                <w:highlight w:val="none"/>
                <w:lang w:val="en-US" w:eastAsia="zh-CN"/>
              </w:rPr>
              <w:t>99</w:t>
            </w:r>
          </w:p>
        </w:tc>
        <w:tc>
          <w:tcPr>
            <w:tcW w:w="2175"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其他行政事业单位医疗支出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0.25</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0.25</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0.25</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城乡社区支出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8255.80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5972.80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3360.37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1963</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49"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城乡社区管理事务</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870.37</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行政运行</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870.37</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550.37</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320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19"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03</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城乡社区公共设施</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4773.00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1963</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23"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03</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03</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小城镇基础设施建设</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4773.00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2810</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1963</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338"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08</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国有土地使用权出让收入安排的支出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212</w:t>
            </w:r>
          </w:p>
        </w:tc>
        <w:tc>
          <w:tcPr>
            <w:tcW w:w="47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08</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99</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rPr>
            </w:pPr>
            <w:r>
              <w:rPr>
                <w:rFonts w:hint="default" w:ascii="仿宋" w:hAnsi="仿宋" w:eastAsia="仿宋" w:cs="仿宋"/>
                <w:color w:val="000000"/>
                <w:sz w:val="16"/>
                <w:szCs w:val="16"/>
                <w:highlight w:val="none"/>
                <w:lang w:val="en-US" w:eastAsia="zh-CN"/>
              </w:rPr>
              <w:t>其他国有土地使用权出让收入安排的支出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78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4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住房保障支出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2665.96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317.14</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317.14</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60</w:t>
            </w: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2288.82</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保障性安居工程支出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2549.82</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2288.82</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6"/>
                <w:szCs w:val="16"/>
                <w:highlight w:val="none"/>
                <w:lang w:val="en-US"/>
              </w:rPr>
            </w:pPr>
            <w:r>
              <w:rPr>
                <w:rFonts w:hint="eastAsia" w:ascii="仿宋" w:hAnsi="仿宋" w:eastAsia="仿宋" w:cs="仿宋"/>
                <w:color w:val="000000"/>
                <w:sz w:val="16"/>
                <w:szCs w:val="16"/>
                <w:highlight w:val="none"/>
                <w:lang w:val="en-US" w:eastAsia="zh-CN"/>
              </w:rPr>
              <w:t>05</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农村危房改造</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41.02</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37.00</w:t>
            </w:r>
          </w:p>
        </w:tc>
        <w:tc>
          <w:tcPr>
            <w:tcW w:w="78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4.02</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6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01</w:t>
            </w:r>
          </w:p>
        </w:tc>
        <w:tc>
          <w:tcPr>
            <w:tcW w:w="40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08</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老旧小区改造</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2508.80</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224.00</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224</w:t>
            </w:r>
          </w:p>
        </w:tc>
        <w:tc>
          <w:tcPr>
            <w:tcW w:w="63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224</w:t>
            </w: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2284.80</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5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40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rPr>
            </w:pPr>
          </w:p>
        </w:tc>
        <w:tc>
          <w:tcPr>
            <w:tcW w:w="217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住房改革支出</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116.14</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221</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408"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01</w:t>
            </w:r>
          </w:p>
        </w:tc>
        <w:tc>
          <w:tcPr>
            <w:tcW w:w="217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住房公积金　</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116.14</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56.14</w:t>
            </w: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 w:hAnsi="仿宋" w:eastAsia="仿宋" w:cs="仿宋"/>
                <w:color w:val="000000"/>
                <w:sz w:val="16"/>
                <w:szCs w:val="16"/>
                <w:highlight w:val="none"/>
                <w:lang w:val="en-US" w:eastAsia="zh-CN"/>
              </w:rPr>
            </w:pPr>
            <w:r>
              <w:rPr>
                <w:rFonts w:hint="eastAsia" w:ascii="仿宋" w:hAnsi="仿宋" w:eastAsia="仿宋" w:cs="仿宋"/>
                <w:color w:val="000000"/>
                <w:sz w:val="16"/>
                <w:szCs w:val="16"/>
                <w:highlight w:val="none"/>
                <w:lang w:val="en-US" w:eastAsia="zh-CN"/>
              </w:rPr>
              <w:t>60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229</w:t>
            </w:r>
          </w:p>
        </w:tc>
        <w:tc>
          <w:tcPr>
            <w:tcW w:w="477"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lang w:val="en-US" w:eastAsia="zh-CN"/>
              </w:rPr>
            </w:pPr>
          </w:p>
        </w:tc>
        <w:tc>
          <w:tcPr>
            <w:tcW w:w="40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lang w:val="en-US" w:eastAsia="zh-CN"/>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其他支出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229</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04</w:t>
            </w:r>
          </w:p>
        </w:tc>
        <w:tc>
          <w:tcPr>
            <w:tcW w:w="408"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000000"/>
                <w:sz w:val="18"/>
                <w:szCs w:val="18"/>
                <w:highlight w:val="none"/>
                <w:lang w:val="en-US" w:eastAsia="zh-CN"/>
              </w:rPr>
            </w:pP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其他政府性基金及对应专项债务收入安排的支出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285" w:hRule="atLeast"/>
        </w:trPr>
        <w:tc>
          <w:tcPr>
            <w:tcW w:w="523"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229</w:t>
            </w:r>
          </w:p>
        </w:tc>
        <w:tc>
          <w:tcPr>
            <w:tcW w:w="477"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04</w:t>
            </w:r>
          </w:p>
        </w:tc>
        <w:tc>
          <w:tcPr>
            <w:tcW w:w="408"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18"/>
                <w:szCs w:val="18"/>
                <w:highlight w:val="none"/>
                <w:lang w:val="en-US" w:eastAsia="zh-CN"/>
              </w:rPr>
            </w:pPr>
            <w:r>
              <w:rPr>
                <w:rFonts w:hint="eastAsia" w:ascii="仿宋_GB2312" w:eastAsia="仿宋_GB2312"/>
                <w:color w:val="000000"/>
                <w:sz w:val="18"/>
                <w:szCs w:val="18"/>
                <w:highlight w:val="none"/>
                <w:lang w:val="en-US" w:eastAsia="zh-CN"/>
              </w:rPr>
              <w:t>02</w:t>
            </w:r>
          </w:p>
        </w:tc>
        <w:tc>
          <w:tcPr>
            <w:tcW w:w="2175" w:type="dxa"/>
            <w:tcBorders>
              <w:top w:val="nil"/>
              <w:left w:val="nil"/>
              <w:bottom w:val="single" w:color="auto" w:sz="4" w:space="0"/>
              <w:right w:val="single" w:color="auto" w:sz="4" w:space="0"/>
            </w:tcBorders>
            <w:noWrap w:val="0"/>
            <w:vAlign w:val="top"/>
          </w:tcPr>
          <w:p>
            <w:pPr>
              <w:jc w:val="both"/>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其他地方自行试点项目收益专项债券收入安排的支出</w:t>
            </w:r>
          </w:p>
        </w:tc>
        <w:tc>
          <w:tcPr>
            <w:tcW w:w="870"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795" w:type="dxa"/>
            <w:tcBorders>
              <w:top w:val="nil"/>
              <w:left w:val="nil"/>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p>
        </w:tc>
        <w:tc>
          <w:tcPr>
            <w:tcW w:w="63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79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67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5" w:type="dxa"/>
            <w:tcBorders>
              <w:top w:val="nil"/>
              <w:left w:val="nil"/>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sz w:val="16"/>
                <w:szCs w:val="16"/>
                <w:highlight w:val="none"/>
                <w:lang w:val="en-US" w:eastAsia="zh-CN"/>
              </w:rPr>
            </w:pPr>
          </w:p>
        </w:tc>
        <w:tc>
          <w:tcPr>
            <w:tcW w:w="913" w:type="dxa"/>
            <w:tcBorders>
              <w:top w:val="nil"/>
              <w:left w:val="single" w:color="auto" w:sz="4" w:space="0"/>
              <w:bottom w:val="single" w:color="auto" w:sz="4" w:space="0"/>
              <w:right w:val="single" w:color="auto" w:sz="4" w:space="0"/>
            </w:tcBorders>
            <w:noWrap w:val="0"/>
            <w:vAlign w:val="top"/>
          </w:tcPr>
          <w:p>
            <w:pPr>
              <w:jc w:val="left"/>
              <w:rPr>
                <w:rFonts w:hint="eastAsia"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11410.16</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 w:hAnsi="仿宋" w:eastAsia="仿宋" w:cs="仿宋"/>
                <w:color w:val="000000"/>
                <w:sz w:val="16"/>
                <w:szCs w:val="16"/>
                <w:highlight w:val="none"/>
                <w:lang w:val="en-US" w:eastAsia="zh-CN"/>
              </w:rPr>
            </w:pPr>
          </w:p>
        </w:tc>
      </w:tr>
      <w:tr>
        <w:tblPrEx>
          <w:tblLayout w:type="fixed"/>
          <w:tblCellMar>
            <w:top w:w="0" w:type="dxa"/>
            <w:left w:w="108" w:type="dxa"/>
            <w:bottom w:w="0" w:type="dxa"/>
            <w:right w:w="108" w:type="dxa"/>
          </w:tblCellMar>
        </w:tblPrEx>
        <w:trPr>
          <w:trHeight w:val="465" w:hRule="atLeast"/>
        </w:trPr>
        <w:tc>
          <w:tcPr>
            <w:tcW w:w="523"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77"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408"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sz w:val="18"/>
                <w:szCs w:val="18"/>
                <w:highlight w:val="none"/>
              </w:rPr>
            </w:pPr>
            <w:r>
              <w:rPr>
                <w:rFonts w:hint="eastAsia" w:ascii="仿宋_GB2312" w:eastAsia="仿宋_GB2312"/>
                <w:color w:val="000000"/>
                <w:sz w:val="18"/>
                <w:szCs w:val="18"/>
                <w:highlight w:val="none"/>
              </w:rPr>
              <w:t>　</w:t>
            </w:r>
          </w:p>
        </w:tc>
        <w:tc>
          <w:tcPr>
            <w:tcW w:w="21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sz w:val="18"/>
                <w:szCs w:val="18"/>
                <w:highlight w:val="none"/>
              </w:rPr>
            </w:pPr>
            <w:r>
              <w:rPr>
                <w:rFonts w:hint="eastAsia" w:ascii="仿宋_GB2312" w:eastAsia="仿宋_GB2312"/>
                <w:b/>
                <w:bCs/>
                <w:color w:val="000000"/>
                <w:sz w:val="18"/>
                <w:szCs w:val="18"/>
                <w:highlight w:val="none"/>
              </w:rPr>
              <w:t>合 计</w:t>
            </w:r>
          </w:p>
        </w:tc>
        <w:tc>
          <w:tcPr>
            <w:tcW w:w="87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22672.41</w:t>
            </w:r>
          </w:p>
        </w:tc>
        <w:tc>
          <w:tcPr>
            <w:tcW w:w="79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6410.43</w:t>
            </w:r>
          </w:p>
        </w:tc>
        <w:tc>
          <w:tcPr>
            <w:tcW w:w="78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3798</w:t>
            </w:r>
            <w:r>
              <w:rPr>
                <w:rFonts w:hint="eastAsia" w:ascii="仿宋" w:hAnsi="仿宋" w:eastAsia="仿宋" w:cs="仿宋"/>
                <w:color w:val="000000"/>
                <w:sz w:val="16"/>
                <w:szCs w:val="16"/>
                <w:highlight w:val="none"/>
                <w:lang w:val="en-US" w:eastAsia="zh-CN"/>
              </w:rPr>
              <w:t>.01</w:t>
            </w:r>
          </w:p>
        </w:tc>
        <w:tc>
          <w:tcPr>
            <w:tcW w:w="630"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w:t>
            </w:r>
          </w:p>
        </w:tc>
        <w:tc>
          <w:tcPr>
            <w:tcW w:w="79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6"/>
                <w:szCs w:val="16"/>
                <w:highlight w:val="none"/>
                <w:lang w:val="en-US" w:eastAsia="zh-CN"/>
              </w:rPr>
            </w:pPr>
            <w:r>
              <w:rPr>
                <w:rFonts w:hint="default" w:ascii="仿宋" w:hAnsi="仿宋" w:eastAsia="仿宋" w:cs="仿宋"/>
                <w:color w:val="000000"/>
                <w:sz w:val="16"/>
                <w:szCs w:val="16"/>
                <w:highlight w:val="none"/>
                <w:lang w:val="en-US" w:eastAsia="zh-CN"/>
              </w:rPr>
              <w:t>2612.43</w:t>
            </w:r>
          </w:p>
        </w:tc>
        <w:tc>
          <w:tcPr>
            <w:tcW w:w="67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highlight w:val="none"/>
              </w:rPr>
            </w:pPr>
          </w:p>
        </w:tc>
        <w:tc>
          <w:tcPr>
            <w:tcW w:w="24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highlight w:val="none"/>
              </w:rPr>
            </w:pPr>
            <w:r>
              <w:rPr>
                <w:rFonts w:hint="eastAsia" w:ascii="仿宋_GB2312" w:eastAsia="仿宋_GB2312"/>
                <w:color w:val="000000"/>
                <w:sz w:val="16"/>
                <w:szCs w:val="16"/>
                <w:highlight w:val="none"/>
              </w:rPr>
              <w:t>　</w:t>
            </w:r>
          </w:p>
        </w:tc>
        <w:tc>
          <w:tcPr>
            <w:tcW w:w="915"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000000"/>
                <w:sz w:val="16"/>
                <w:szCs w:val="16"/>
                <w:highlight w:val="none"/>
              </w:rPr>
            </w:pPr>
            <w:r>
              <w:rPr>
                <w:rFonts w:hint="eastAsia" w:ascii="仿宋_GB2312" w:eastAsia="仿宋_GB2312"/>
                <w:color w:val="000000"/>
                <w:sz w:val="16"/>
                <w:szCs w:val="16"/>
                <w:highlight w:val="none"/>
              </w:rPr>
              <w:t>　</w:t>
            </w:r>
          </w:p>
        </w:tc>
        <w:tc>
          <w:tcPr>
            <w:tcW w:w="240"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6"/>
                <w:szCs w:val="16"/>
                <w:highlight w:val="none"/>
              </w:rPr>
            </w:pPr>
          </w:p>
        </w:tc>
        <w:tc>
          <w:tcPr>
            <w:tcW w:w="465" w:type="dxa"/>
            <w:tcBorders>
              <w:top w:val="nil"/>
              <w:left w:val="single" w:color="auto" w:sz="4" w:space="0"/>
              <w:bottom w:val="single" w:color="auto" w:sz="4" w:space="0"/>
              <w:right w:val="single" w:color="auto" w:sz="4" w:space="0"/>
            </w:tcBorders>
            <w:noWrap w:val="0"/>
            <w:vAlign w:val="center"/>
          </w:tcPr>
          <w:p>
            <w:pPr>
              <w:jc w:val="left"/>
              <w:rPr>
                <w:rFonts w:hint="default" w:ascii="仿宋_GB2312" w:eastAsia="仿宋_GB2312"/>
                <w:color w:val="000000"/>
                <w:sz w:val="16"/>
                <w:szCs w:val="16"/>
                <w:highlight w:val="none"/>
                <w:lang w:val="en-US" w:eastAsia="zh-CN"/>
              </w:rPr>
            </w:pPr>
            <w:r>
              <w:rPr>
                <w:rFonts w:hint="eastAsia" w:ascii="仿宋_GB2312" w:eastAsia="仿宋_GB2312"/>
                <w:color w:val="000000"/>
                <w:sz w:val="16"/>
                <w:szCs w:val="16"/>
                <w:highlight w:val="none"/>
                <w:lang w:val="en-US" w:eastAsia="zh-CN"/>
              </w:rPr>
              <w:t>600</w:t>
            </w:r>
          </w:p>
        </w:tc>
        <w:tc>
          <w:tcPr>
            <w:tcW w:w="913" w:type="dxa"/>
            <w:tcBorders>
              <w:top w:val="nil"/>
              <w:left w:val="single" w:color="auto" w:sz="4" w:space="0"/>
              <w:bottom w:val="single" w:color="auto" w:sz="4" w:space="0"/>
              <w:right w:val="single" w:color="auto" w:sz="4" w:space="0"/>
            </w:tcBorders>
            <w:noWrap w:val="0"/>
            <w:vAlign w:val="center"/>
          </w:tcPr>
          <w:p>
            <w:pPr>
              <w:jc w:val="left"/>
              <w:rPr>
                <w:rFonts w:hint="eastAsia" w:ascii="仿宋_GB2312" w:eastAsia="仿宋_GB2312"/>
                <w:color w:val="000000"/>
                <w:sz w:val="16"/>
                <w:szCs w:val="16"/>
                <w:highlight w:val="none"/>
              </w:rPr>
            </w:pPr>
            <w:r>
              <w:rPr>
                <w:rFonts w:hint="eastAsia" w:ascii="仿宋_GB2312" w:eastAsia="仿宋_GB2312"/>
                <w:color w:val="000000"/>
                <w:sz w:val="16"/>
                <w:szCs w:val="16"/>
                <w:highlight w:val="none"/>
              </w:rPr>
              <w:t>15661.98</w:t>
            </w:r>
          </w:p>
        </w:tc>
        <w:tc>
          <w:tcPr>
            <w:tcW w:w="24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000000"/>
                <w:sz w:val="16"/>
                <w:szCs w:val="16"/>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部门（单位）支出总体情况表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420" w:type="dxa"/>
        <w:tblInd w:w="-240" w:type="dxa"/>
        <w:tblLayout w:type="fixed"/>
        <w:tblCellMar>
          <w:top w:w="0" w:type="dxa"/>
          <w:left w:w="108" w:type="dxa"/>
          <w:bottom w:w="0" w:type="dxa"/>
          <w:right w:w="108" w:type="dxa"/>
        </w:tblCellMar>
      </w:tblPr>
      <w:tblGrid>
        <w:gridCol w:w="486"/>
        <w:gridCol w:w="417"/>
        <w:gridCol w:w="920"/>
        <w:gridCol w:w="4455"/>
        <w:gridCol w:w="1020"/>
        <w:gridCol w:w="1035"/>
        <w:gridCol w:w="1087"/>
      </w:tblGrid>
      <w:tr>
        <w:tblPrEx>
          <w:tblLayout w:type="fixed"/>
          <w:tblCellMar>
            <w:top w:w="0" w:type="dxa"/>
            <w:left w:w="108" w:type="dxa"/>
            <w:bottom w:w="0" w:type="dxa"/>
            <w:right w:w="108" w:type="dxa"/>
          </w:tblCellMar>
        </w:tblPrEx>
        <w:trPr>
          <w:trHeight w:val="328" w:hRule="atLeast"/>
        </w:trPr>
        <w:tc>
          <w:tcPr>
            <w:tcW w:w="627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314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255" w:hRule="atLeast"/>
        </w:trPr>
        <w:tc>
          <w:tcPr>
            <w:tcW w:w="182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445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0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03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08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6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92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445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3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08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社会保障和就业支出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行政事业单位养老支出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227.21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01</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行政单位离退休</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54.81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54.81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事业单位离退休</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4.89</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4.89</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195"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机关事业单位基本养老保险缴费支出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147.51</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147.51</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06</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机关事业单位职业年金缴费支出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20.00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20.00</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4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kern w:val="2"/>
                <w:sz w:val="18"/>
                <w:szCs w:val="18"/>
                <w:highlight w:val="none"/>
                <w:lang w:val="en-US" w:eastAsia="zh-CN" w:bidi="ar-SA"/>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卫生健康支出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行政事业单位医疗</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113.29</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行政单位医疗</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59.38</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59.38</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事业单位医疗</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24.37</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24.37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8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公务员医疗补助</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29.28</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29.28</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210</w:t>
            </w:r>
          </w:p>
        </w:tc>
        <w:tc>
          <w:tcPr>
            <w:tcW w:w="417"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99</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其他行政事业单位医疗支出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0.25</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0.25</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城乡社区支出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8255.80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7385.43</w:t>
            </w:r>
          </w:p>
        </w:tc>
      </w:tr>
      <w:tr>
        <w:tblPrEx>
          <w:tblLayout w:type="fixed"/>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城乡社区管理事务</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2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01</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行政运行</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870.37</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8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城乡社区公共设施</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r>
      <w:tr>
        <w:tblPrEx>
          <w:tblLayout w:type="fixed"/>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03</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03</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小城镇基础设施建设</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4773.00</w:t>
            </w: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国有土地使用权出让收入安排的支出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r>
      <w:tr>
        <w:tblPrEx>
          <w:tblLayout w:type="fixed"/>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212</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08</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99</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其他国有土地使用权出让收入安排的支出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2612.43</w:t>
            </w: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住房保障支出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2665.96</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2549.82</w:t>
            </w:r>
          </w:p>
        </w:tc>
      </w:tr>
      <w:tr>
        <w:tblPrEx>
          <w:tblLayout w:type="fixed"/>
          <w:tblCellMar>
            <w:top w:w="0" w:type="dxa"/>
            <w:left w:w="108" w:type="dxa"/>
            <w:bottom w:w="0" w:type="dxa"/>
            <w:right w:w="108" w:type="dxa"/>
          </w:tblCellMar>
        </w:tblPrEx>
        <w:trPr>
          <w:trHeight w:val="25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保障性安居工程支出</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2549.82</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2549.82</w:t>
            </w:r>
          </w:p>
        </w:tc>
      </w:tr>
      <w:tr>
        <w:tblPrEx>
          <w:tblLayout w:type="fixed"/>
          <w:tblCellMar>
            <w:top w:w="0" w:type="dxa"/>
            <w:left w:w="108" w:type="dxa"/>
            <w:bottom w:w="0" w:type="dxa"/>
            <w:right w:w="108" w:type="dxa"/>
          </w:tblCellMar>
        </w:tblPrEx>
        <w:trPr>
          <w:trHeight w:val="285" w:hRule="atLeast"/>
        </w:trPr>
        <w:tc>
          <w:tcPr>
            <w:tcW w:w="486" w:type="dxa"/>
            <w:tcBorders>
              <w:top w:val="nil"/>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nil"/>
              <w:left w:val="nil"/>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05</w:t>
            </w:r>
          </w:p>
        </w:tc>
        <w:tc>
          <w:tcPr>
            <w:tcW w:w="4455" w:type="dxa"/>
            <w:tcBorders>
              <w:top w:val="nil"/>
              <w:left w:val="nil"/>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农村危房改造</w:t>
            </w:r>
          </w:p>
        </w:tc>
        <w:tc>
          <w:tcPr>
            <w:tcW w:w="1020"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41.02</w:t>
            </w:r>
          </w:p>
        </w:tc>
        <w:tc>
          <w:tcPr>
            <w:tcW w:w="1035"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nil"/>
              <w:left w:val="nil"/>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41.02</w:t>
            </w:r>
          </w:p>
        </w:tc>
      </w:tr>
      <w:tr>
        <w:tblPrEx>
          <w:tblLayout w:type="fixed"/>
          <w:tblCellMar>
            <w:top w:w="0" w:type="dxa"/>
            <w:left w:w="108" w:type="dxa"/>
            <w:bottom w:w="0" w:type="dxa"/>
            <w:right w:w="108" w:type="dxa"/>
          </w:tblCellMar>
        </w:tblPrEx>
        <w:trPr>
          <w:trHeight w:val="325"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01</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08</w:t>
            </w: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老旧小区改造</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2508.80</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2508.80</w:t>
            </w:r>
          </w:p>
        </w:tc>
      </w:tr>
      <w:tr>
        <w:tblPrEx>
          <w:tblLayout w:type="fixed"/>
          <w:tblCellMar>
            <w:top w:w="0" w:type="dxa"/>
            <w:left w:w="108" w:type="dxa"/>
            <w:bottom w:w="0" w:type="dxa"/>
            <w:right w:w="108" w:type="dxa"/>
          </w:tblCellMar>
        </w:tblPrEx>
        <w:trPr>
          <w:trHeight w:val="30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住房改革支出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4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221</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02</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01</w:t>
            </w: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住房公积金</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116.14</w:t>
            </w: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r>
      <w:tr>
        <w:tblPrEx>
          <w:tblLayout w:type="fixed"/>
          <w:tblCellMar>
            <w:top w:w="0" w:type="dxa"/>
            <w:left w:w="108" w:type="dxa"/>
            <w:bottom w:w="0" w:type="dxa"/>
            <w:right w:w="108" w:type="dxa"/>
          </w:tblCellMar>
        </w:tblPrEx>
        <w:trPr>
          <w:trHeight w:val="27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sz w:val="18"/>
                <w:szCs w:val="18"/>
                <w:highlight w:val="none"/>
                <w:lang w:val="en-US" w:eastAsia="zh-CN"/>
              </w:rPr>
            </w:pP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r>
      <w:tr>
        <w:tblPrEx>
          <w:tblLayout w:type="fixed"/>
          <w:tblCellMar>
            <w:top w:w="0" w:type="dxa"/>
            <w:left w:w="108" w:type="dxa"/>
            <w:bottom w:w="0" w:type="dxa"/>
            <w:right w:w="108" w:type="dxa"/>
          </w:tblCellMar>
        </w:tblPrEx>
        <w:trPr>
          <w:trHeight w:val="305"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其他政府性基金及对应专项债务收入安排的支出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r>
      <w:tr>
        <w:tblPrEx>
          <w:tblLayout w:type="fixed"/>
          <w:tblCellMar>
            <w:top w:w="0" w:type="dxa"/>
            <w:left w:w="108" w:type="dxa"/>
            <w:bottom w:w="0" w:type="dxa"/>
            <w:right w:w="108" w:type="dxa"/>
          </w:tblCellMar>
        </w:tblPrEx>
        <w:trPr>
          <w:trHeight w:val="250" w:hRule="atLeast"/>
        </w:trPr>
        <w:tc>
          <w:tcPr>
            <w:tcW w:w="486" w:type="dxa"/>
            <w:tcBorders>
              <w:top w:val="single" w:color="auto" w:sz="4" w:space="0"/>
              <w:left w:val="single" w:color="auto" w:sz="4" w:space="0"/>
              <w:bottom w:val="single" w:color="auto" w:sz="4" w:space="0"/>
              <w:right w:val="single" w:color="auto" w:sz="4" w:space="0"/>
            </w:tcBorders>
            <w:noWrap w:val="0"/>
            <w:vAlign w:val="top"/>
          </w:tcPr>
          <w:p>
            <w:pPr>
              <w:jc w:val="center"/>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229</w:t>
            </w:r>
          </w:p>
        </w:tc>
        <w:tc>
          <w:tcPr>
            <w:tcW w:w="417"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仿宋" w:hAnsi="仿宋" w:eastAsia="仿宋" w:cs="仿宋"/>
                <w:color w:val="000000"/>
                <w:sz w:val="18"/>
                <w:szCs w:val="18"/>
                <w:highlight w:val="none"/>
                <w:lang w:val="en-US" w:eastAsia="zh-CN"/>
              </w:rPr>
            </w:pPr>
            <w:r>
              <w:rPr>
                <w:rFonts w:hint="eastAsia" w:ascii="仿宋" w:hAnsi="仿宋" w:eastAsia="仿宋" w:cs="仿宋"/>
                <w:color w:val="000000"/>
                <w:sz w:val="18"/>
                <w:szCs w:val="18"/>
                <w:highlight w:val="none"/>
                <w:lang w:val="en-US" w:eastAsia="zh-CN"/>
              </w:rPr>
              <w:t>04</w:t>
            </w:r>
          </w:p>
        </w:tc>
        <w:tc>
          <w:tcPr>
            <w:tcW w:w="920" w:type="dxa"/>
            <w:tcBorders>
              <w:top w:val="single" w:color="auto" w:sz="4" w:space="0"/>
              <w:left w:val="single" w:color="auto" w:sz="4" w:space="0"/>
              <w:bottom w:val="single" w:color="auto" w:sz="4" w:space="0"/>
              <w:right w:val="single" w:color="auto" w:sz="4" w:space="0"/>
            </w:tcBorders>
            <w:noWrap w:val="0"/>
            <w:vAlign w:val="top"/>
          </w:tcPr>
          <w:p>
            <w:pPr>
              <w:jc w:val="center"/>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02</w:t>
            </w:r>
          </w:p>
        </w:tc>
        <w:tc>
          <w:tcPr>
            <w:tcW w:w="4455" w:type="dxa"/>
            <w:tcBorders>
              <w:top w:val="single" w:color="auto" w:sz="4" w:space="0"/>
              <w:left w:val="single" w:color="auto" w:sz="4" w:space="0"/>
              <w:bottom w:val="single" w:color="auto" w:sz="4" w:space="0"/>
              <w:right w:val="single" w:color="auto" w:sz="4" w:space="0"/>
            </w:tcBorders>
            <w:noWrap w:val="0"/>
            <w:vAlign w:val="top"/>
          </w:tcPr>
          <w:p>
            <w:pPr>
              <w:jc w:val="left"/>
              <w:rPr>
                <w:rFonts w:hint="default"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其他地方自行试点项目收益专项债券收入安排的支出</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11410.16</w:t>
            </w:r>
          </w:p>
        </w:tc>
      </w:tr>
      <w:tr>
        <w:tblPrEx>
          <w:tblLayout w:type="fixed"/>
          <w:tblCellMar>
            <w:top w:w="0" w:type="dxa"/>
            <w:left w:w="108" w:type="dxa"/>
            <w:bottom w:w="0" w:type="dxa"/>
            <w:right w:w="108" w:type="dxa"/>
          </w:tblCellMar>
        </w:tblPrEx>
        <w:trPr>
          <w:trHeight w:val="405" w:hRule="atLeast"/>
        </w:trPr>
        <w:tc>
          <w:tcPr>
            <w:tcW w:w="486"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2"/>
                <w:szCs w:val="22"/>
                <w:highlight w:val="none"/>
              </w:rPr>
            </w:pPr>
          </w:p>
        </w:tc>
        <w:tc>
          <w:tcPr>
            <w:tcW w:w="417"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left"/>
              <w:rPr>
                <w:rFonts w:hint="eastAsia" w:ascii="宋体" w:hAnsi="宋体" w:cs="宋体"/>
                <w:color w:val="auto"/>
                <w:kern w:val="0"/>
                <w:sz w:val="22"/>
                <w:szCs w:val="22"/>
                <w:highlight w:val="none"/>
              </w:rPr>
            </w:pPr>
          </w:p>
        </w:tc>
        <w:tc>
          <w:tcPr>
            <w:tcW w:w="920" w:type="dxa"/>
            <w:tcBorders>
              <w:top w:val="single" w:color="auto" w:sz="4" w:space="0"/>
              <w:left w:val="single" w:color="auto" w:sz="4" w:space="0"/>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highlight w:val="none"/>
                <w:u w:val="none"/>
                <w:lang w:val="en-US" w:eastAsia="zh-CN" w:bidi="ar"/>
              </w:rPr>
            </w:pPr>
          </w:p>
        </w:tc>
        <w:tc>
          <w:tcPr>
            <w:tcW w:w="445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Calibri" w:hAnsi="Calibri" w:eastAsia="宋体" w:cs="Calibri"/>
                <w:i w:val="0"/>
                <w:iCs w:val="0"/>
                <w:color w:val="000000"/>
                <w:kern w:val="0"/>
                <w:sz w:val="22"/>
                <w:szCs w:val="22"/>
                <w:highlight w:val="none"/>
                <w:u w:val="none"/>
                <w:lang w:val="en-US" w:eastAsia="zh-CN" w:bidi="ar"/>
              </w:rPr>
            </w:pPr>
            <w:r>
              <w:rPr>
                <w:rFonts w:hint="eastAsia" w:ascii="仿宋_GB2312" w:hAnsi="仿宋_GB2312" w:eastAsia="仿宋_GB2312" w:cs="仿宋_GB2312"/>
                <w:b/>
                <w:bCs/>
                <w:color w:val="000000"/>
                <w:kern w:val="0"/>
                <w:sz w:val="20"/>
                <w:szCs w:val="20"/>
                <w:highlight w:val="none"/>
              </w:rPr>
              <w:t>合  计</w:t>
            </w:r>
          </w:p>
        </w:tc>
        <w:tc>
          <w:tcPr>
            <w:tcW w:w="1020"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22672.41</w:t>
            </w:r>
          </w:p>
        </w:tc>
        <w:tc>
          <w:tcPr>
            <w:tcW w:w="1035"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1327.00</w:t>
            </w:r>
          </w:p>
        </w:tc>
        <w:tc>
          <w:tcPr>
            <w:tcW w:w="1087" w:type="dxa"/>
            <w:tcBorders>
              <w:top w:val="single" w:color="auto" w:sz="4" w:space="0"/>
              <w:left w:val="single" w:color="auto" w:sz="4" w:space="0"/>
              <w:bottom w:val="single" w:color="auto" w:sz="4" w:space="0"/>
              <w:right w:val="single" w:color="auto" w:sz="4" w:space="0"/>
            </w:tcBorders>
            <w:noWrap w:val="0"/>
            <w:vAlign w:val="top"/>
          </w:tcPr>
          <w:p>
            <w:pPr>
              <w:jc w:val="right"/>
              <w:rPr>
                <w:rFonts w:hint="eastAsia" w:ascii="仿宋" w:hAnsi="仿宋" w:eastAsia="仿宋" w:cs="仿宋"/>
                <w:color w:val="000000"/>
                <w:sz w:val="18"/>
                <w:szCs w:val="18"/>
                <w:highlight w:val="none"/>
                <w:lang w:val="en-US" w:eastAsia="zh-CN"/>
              </w:rPr>
            </w:pPr>
            <w:r>
              <w:rPr>
                <w:rFonts w:hint="default" w:ascii="仿宋" w:hAnsi="仿宋" w:eastAsia="仿宋" w:cs="仿宋"/>
                <w:color w:val="000000"/>
                <w:sz w:val="18"/>
                <w:szCs w:val="18"/>
                <w:highlight w:val="none"/>
                <w:lang w:val="en-US" w:eastAsia="zh-CN"/>
              </w:rPr>
              <w:t>21345.41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jc w:val="center"/>
        <w:rPr>
          <w:rFonts w:hint="eastAsia"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财政拨款收支预算总体情况表</w:t>
      </w:r>
    </w:p>
    <w:p>
      <w:pPr>
        <w:widowControl/>
        <w:spacing w:before="120" w:beforeLines="50" w:line="280" w:lineRule="exact"/>
        <w:outlineLvl w:val="1"/>
        <w:rPr>
          <w:rFonts w:hint="eastAsia" w:ascii="宋体" w:hAnsi="宋体" w:eastAsia="宋体" w:cs="宋体"/>
          <w:i w:val="0"/>
          <w:color w:val="auto"/>
          <w:kern w:val="0"/>
          <w:sz w:val="20"/>
          <w:szCs w:val="20"/>
          <w:highlight w:val="none"/>
          <w:u w:val="none"/>
          <w:lang w:val="en-US" w:eastAsia="zh-CN" w:bidi="ar"/>
        </w:rPr>
      </w:pPr>
      <w:r>
        <w:rPr>
          <w:rFonts w:hint="eastAsia" w:ascii="仿宋" w:hAnsi="仿宋" w:eastAsia="仿宋" w:cs="仿宋"/>
          <w:i w:val="0"/>
          <w:color w:val="auto"/>
          <w:kern w:val="0"/>
          <w:sz w:val="24"/>
          <w:szCs w:val="24"/>
          <w:highlight w:val="none"/>
          <w:u w:val="none"/>
          <w:lang w:val="en-US" w:eastAsia="zh-CN" w:bidi="ar"/>
        </w:rPr>
        <w:t>编制单位：</w:t>
      </w:r>
      <w:r>
        <w:rPr>
          <w:rFonts w:hint="eastAsia" w:ascii="仿宋_GB2312" w:hAnsi="宋体" w:eastAsia="仿宋_GB2312"/>
          <w:kern w:val="0"/>
          <w:sz w:val="24"/>
          <w:highlight w:val="none"/>
          <w:lang w:val="en-US" w:eastAsia="zh-CN"/>
        </w:rPr>
        <w:t>呼图壁县住房和城乡建设局</w:t>
      </w:r>
      <w:r>
        <w:rPr>
          <w:rFonts w:hint="eastAsia" w:ascii="宋体" w:hAnsi="宋体" w:eastAsia="宋体" w:cs="宋体"/>
          <w:i w:val="0"/>
          <w:color w:val="auto"/>
          <w:kern w:val="0"/>
          <w:sz w:val="20"/>
          <w:szCs w:val="20"/>
          <w:highlight w:val="none"/>
          <w:u w:val="none"/>
          <w:lang w:val="en-US" w:eastAsia="zh-CN" w:bidi="ar"/>
        </w:rPr>
        <w:t xml:space="preserve">            </w:t>
      </w:r>
      <w:r>
        <w:rPr>
          <w:rFonts w:hint="eastAsia" w:ascii="宋体" w:hAnsi="宋体" w:cs="宋体"/>
          <w:i w:val="0"/>
          <w:color w:val="auto"/>
          <w:kern w:val="0"/>
          <w:sz w:val="20"/>
          <w:szCs w:val="20"/>
          <w:highlight w:val="none"/>
          <w:u w:val="none"/>
          <w:lang w:val="en-US" w:eastAsia="zh-CN" w:bidi="ar"/>
        </w:rPr>
        <w:t xml:space="preserve">                      </w:t>
      </w:r>
      <w:r>
        <w:rPr>
          <w:rFonts w:hint="eastAsia" w:ascii="宋体" w:hAnsi="宋体" w:eastAsia="宋体" w:cs="宋体"/>
          <w:i w:val="0"/>
          <w:color w:val="auto"/>
          <w:kern w:val="0"/>
          <w:sz w:val="20"/>
          <w:szCs w:val="20"/>
          <w:highlight w:val="none"/>
          <w:u w:val="none"/>
          <w:lang w:val="en-US" w:eastAsia="zh-CN" w:bidi="ar"/>
        </w:rPr>
        <w:t xml:space="preserve">  </w:t>
      </w:r>
      <w:r>
        <w:rPr>
          <w:rFonts w:hint="eastAsia" w:ascii="仿宋" w:hAnsi="仿宋" w:eastAsia="仿宋" w:cs="仿宋"/>
          <w:i w:val="0"/>
          <w:color w:val="auto"/>
          <w:kern w:val="0"/>
          <w:sz w:val="24"/>
          <w:szCs w:val="24"/>
          <w:highlight w:val="none"/>
          <w:u w:val="none"/>
          <w:lang w:val="en-US" w:eastAsia="zh-CN" w:bidi="ar"/>
        </w:rPr>
        <w:t>单位：万元</w:t>
      </w:r>
    </w:p>
    <w:tbl>
      <w:tblPr>
        <w:tblStyle w:val="5"/>
        <w:tblW w:w="9449" w:type="dxa"/>
        <w:tblInd w:w="-240" w:type="dxa"/>
        <w:tblLayout w:type="fixed"/>
        <w:tblCellMar>
          <w:top w:w="0" w:type="dxa"/>
          <w:left w:w="108" w:type="dxa"/>
          <w:bottom w:w="0" w:type="dxa"/>
          <w:right w:w="108" w:type="dxa"/>
        </w:tblCellMar>
      </w:tblPr>
      <w:tblGrid>
        <w:gridCol w:w="1817"/>
        <w:gridCol w:w="1053"/>
        <w:gridCol w:w="2397"/>
        <w:gridCol w:w="1053"/>
        <w:gridCol w:w="941"/>
        <w:gridCol w:w="1117"/>
        <w:gridCol w:w="1071"/>
      </w:tblGrid>
      <w:tr>
        <w:tblPrEx>
          <w:tblLayout w:type="fixed"/>
          <w:tblCellMar>
            <w:top w:w="0" w:type="dxa"/>
            <w:left w:w="108" w:type="dxa"/>
            <w:bottom w:w="0" w:type="dxa"/>
            <w:right w:w="108" w:type="dxa"/>
          </w:tblCellMar>
        </w:tblPrEx>
        <w:trPr>
          <w:trHeight w:val="185" w:hRule="atLeast"/>
        </w:trPr>
        <w:tc>
          <w:tcPr>
            <w:tcW w:w="287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hint="eastAsia" w:ascii="仿宋_GB2312" w:hAnsi="宋体" w:eastAsia="仿宋_GB2312" w:cs="宋体"/>
                <w:b/>
                <w:bCs/>
                <w:kern w:val="0"/>
                <w:sz w:val="24"/>
                <w:highlight w:val="none"/>
                <w:lang w:val="en-US" w:eastAsia="zh-CN"/>
              </w:rPr>
            </w:pPr>
            <w:r>
              <w:rPr>
                <w:rFonts w:hint="eastAsia" w:ascii="仿宋_GB2312" w:hAnsi="宋体" w:eastAsia="仿宋_GB2312" w:cs="宋体"/>
                <w:b/>
                <w:bCs/>
                <w:kern w:val="0"/>
                <w:sz w:val="24"/>
                <w:highlight w:val="none"/>
                <w:lang w:val="en-US" w:eastAsia="zh-CN"/>
              </w:rPr>
              <w:t>财政拨款收入</w:t>
            </w:r>
          </w:p>
        </w:tc>
        <w:tc>
          <w:tcPr>
            <w:tcW w:w="657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宋体" w:eastAsia="仿宋_GB2312" w:cs="宋体"/>
                <w:b/>
                <w:bCs/>
                <w:kern w:val="0"/>
                <w:sz w:val="24"/>
                <w:highlight w:val="none"/>
                <w:lang w:val="en-US" w:eastAsia="zh-CN"/>
              </w:rPr>
            </w:pPr>
            <w:r>
              <w:rPr>
                <w:rFonts w:hint="eastAsia" w:ascii="仿宋_GB2312" w:hAnsi="宋体" w:eastAsia="仿宋_GB2312" w:cs="宋体"/>
                <w:b/>
                <w:bCs/>
                <w:kern w:val="0"/>
                <w:sz w:val="24"/>
                <w:highlight w:val="none"/>
                <w:lang w:val="en-US" w:eastAsia="zh-CN"/>
              </w:rPr>
              <w:t>财政拨款支出</w:t>
            </w:r>
          </w:p>
        </w:tc>
      </w:tr>
      <w:tr>
        <w:tblPrEx>
          <w:tblLayout w:type="fixed"/>
          <w:tblCellMar>
            <w:top w:w="0" w:type="dxa"/>
            <w:left w:w="108" w:type="dxa"/>
            <w:bottom w:w="0" w:type="dxa"/>
            <w:right w:w="108" w:type="dxa"/>
          </w:tblCellMar>
        </w:tblPrEx>
        <w:trPr>
          <w:trHeight w:val="335" w:hRule="atLeast"/>
        </w:trPr>
        <w:tc>
          <w:tcPr>
            <w:tcW w:w="1817"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i w:val="0"/>
                <w:color w:val="auto"/>
                <w:kern w:val="0"/>
                <w:sz w:val="20"/>
                <w:szCs w:val="20"/>
                <w:highlight w:val="none"/>
                <w:u w:val="none"/>
                <w:lang w:val="en-US" w:eastAsia="zh-CN" w:bidi="ar"/>
              </w:rPr>
            </w:pPr>
            <w:r>
              <w:rPr>
                <w:rFonts w:hint="eastAsia" w:ascii="宋体" w:hAnsi="宋体" w:eastAsia="宋体" w:cs="宋体"/>
                <w:b/>
                <w:i w:val="0"/>
                <w:color w:val="auto"/>
                <w:kern w:val="0"/>
                <w:sz w:val="20"/>
                <w:szCs w:val="20"/>
                <w:highlight w:val="none"/>
                <w:u w:val="none"/>
                <w:lang w:val="en-US" w:eastAsia="zh-CN" w:bidi="ar"/>
              </w:rPr>
              <w:t>项    目</w:t>
            </w:r>
          </w:p>
        </w:tc>
        <w:tc>
          <w:tcPr>
            <w:tcW w:w="105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i w:val="0"/>
                <w:color w:val="auto"/>
                <w:kern w:val="0"/>
                <w:sz w:val="20"/>
                <w:szCs w:val="20"/>
                <w:highlight w:val="none"/>
                <w:u w:val="none"/>
                <w:lang w:val="en-US" w:eastAsia="zh-CN" w:bidi="ar"/>
              </w:rPr>
            </w:pPr>
            <w:r>
              <w:rPr>
                <w:rFonts w:hint="eastAsia" w:ascii="宋体" w:hAnsi="宋体" w:eastAsia="宋体" w:cs="宋体"/>
                <w:b/>
                <w:i w:val="0"/>
                <w:color w:val="auto"/>
                <w:kern w:val="0"/>
                <w:sz w:val="20"/>
                <w:szCs w:val="20"/>
                <w:highlight w:val="none"/>
                <w:u w:val="none"/>
                <w:lang w:val="en-US" w:eastAsia="zh-CN" w:bidi="ar"/>
              </w:rPr>
              <w:t>合  计</w:t>
            </w:r>
          </w:p>
        </w:tc>
        <w:tc>
          <w:tcPr>
            <w:tcW w:w="239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功  能  分  类</w:t>
            </w:r>
          </w:p>
        </w:tc>
        <w:tc>
          <w:tcPr>
            <w:tcW w:w="1053"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合 计</w:t>
            </w:r>
          </w:p>
        </w:tc>
        <w:tc>
          <w:tcPr>
            <w:tcW w:w="94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一般公共预算</w:t>
            </w:r>
          </w:p>
        </w:tc>
        <w:tc>
          <w:tcPr>
            <w:tcW w:w="1117"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政府性基金预算</w:t>
            </w:r>
          </w:p>
        </w:tc>
        <w:tc>
          <w:tcPr>
            <w:tcW w:w="1071"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hint="eastAsia" w:ascii="宋体" w:hAnsi="宋体" w:eastAsia="宋体" w:cs="宋体"/>
                <w:b/>
                <w:bCs/>
                <w:i w:val="0"/>
                <w:color w:val="auto"/>
                <w:kern w:val="0"/>
                <w:sz w:val="20"/>
                <w:szCs w:val="20"/>
                <w:highlight w:val="none"/>
                <w:u w:val="none"/>
                <w:lang w:val="en-US" w:eastAsia="zh-CN" w:bidi="ar"/>
              </w:rPr>
            </w:pPr>
            <w:r>
              <w:rPr>
                <w:rFonts w:hint="eastAsia" w:ascii="宋体" w:hAnsi="宋体" w:eastAsia="宋体" w:cs="宋体"/>
                <w:b/>
                <w:bCs/>
                <w:i w:val="0"/>
                <w:color w:val="auto"/>
                <w:kern w:val="0"/>
                <w:sz w:val="20"/>
                <w:szCs w:val="20"/>
                <w:highlight w:val="none"/>
                <w:u w:val="none"/>
                <w:lang w:val="en-US" w:eastAsia="zh-CN" w:bidi="ar"/>
              </w:rPr>
              <w:t>国有资本经营预算</w:t>
            </w:r>
          </w:p>
        </w:tc>
      </w:tr>
      <w:tr>
        <w:tblPrEx>
          <w:tblLayout w:type="fixed"/>
          <w:tblCellMar>
            <w:top w:w="0" w:type="dxa"/>
            <w:left w:w="108" w:type="dxa"/>
            <w:bottom w:w="0" w:type="dxa"/>
            <w:right w:w="108" w:type="dxa"/>
          </w:tblCellMar>
        </w:tblPrEx>
        <w:trPr>
          <w:trHeight w:val="22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一、财政拨款（补助）</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22072.41</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201 一般公共服务支出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　</w:t>
            </w:r>
          </w:p>
        </w:tc>
      </w:tr>
      <w:tr>
        <w:tblPrEx>
          <w:tblLayout w:type="fixed"/>
          <w:tblCellMar>
            <w:top w:w="0" w:type="dxa"/>
            <w:left w:w="108" w:type="dxa"/>
            <w:bottom w:w="0" w:type="dxa"/>
            <w:right w:w="108" w:type="dxa"/>
          </w:tblCellMar>
        </w:tblPrEx>
        <w:trPr>
          <w:trHeight w:val="25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一般公共预算</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8049.82</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 外交支出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　</w:t>
            </w:r>
          </w:p>
        </w:tc>
      </w:tr>
      <w:tr>
        <w:tblPrEx>
          <w:tblLayout w:type="fixed"/>
          <w:tblCellMar>
            <w:top w:w="0" w:type="dxa"/>
            <w:left w:w="108" w:type="dxa"/>
            <w:bottom w:w="0" w:type="dxa"/>
            <w:right w:w="108" w:type="dxa"/>
          </w:tblCellMar>
        </w:tblPrEx>
        <w:trPr>
          <w:trHeight w:val="24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 xml:space="preserve">   政府性基金预算</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14022.59</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xml:space="preserve"> </w:t>
            </w:r>
            <w:r>
              <w:rPr>
                <w:rFonts w:hint="default" w:ascii="仿宋_GB2312" w:hAnsi="宋体" w:eastAsia="仿宋_GB2312" w:cs="宋体"/>
                <w:b w:val="0"/>
                <w:bCs w:val="0"/>
                <w:color w:val="auto"/>
                <w:kern w:val="0"/>
                <w:sz w:val="18"/>
                <w:szCs w:val="18"/>
                <w:highlight w:val="none"/>
              </w:rPr>
              <w:t xml:space="preserve">  </w:t>
            </w:r>
            <w:r>
              <w:rPr>
                <w:rFonts w:hint="eastAsia" w:ascii="仿宋_GB2312" w:hAnsi="宋体" w:eastAsia="仿宋_GB2312" w:cs="宋体"/>
                <w:b w:val="0"/>
                <w:bCs w:val="0"/>
                <w:color w:val="auto"/>
                <w:kern w:val="0"/>
                <w:sz w:val="18"/>
                <w:szCs w:val="18"/>
                <w:highlight w:val="none"/>
              </w:rPr>
              <w:t>国有资本经营预算</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77.21</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77.21</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xml:space="preserve">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43.29</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43.29</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7935.80</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5323.37</w:t>
            </w:r>
          </w:p>
        </w:tc>
        <w:tc>
          <w:tcPr>
            <w:tcW w:w="1117"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2612.43</w:t>
            </w: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2605.96</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2605.96</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2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5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1053"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11410.16</w:t>
            </w:r>
          </w:p>
        </w:tc>
        <w:tc>
          <w:tcPr>
            <w:tcW w:w="941"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top"/>
          </w:tcPr>
          <w:p>
            <w:pPr>
              <w:widowControl/>
              <w:spacing w:line="280" w:lineRule="exact"/>
              <w:jc w:val="right"/>
              <w:rPr>
                <w:rFonts w:hint="eastAsia" w:ascii="仿宋_GB2312" w:hAnsi="宋体" w:eastAsia="仿宋_GB2312" w:cs="宋体"/>
                <w:b w:val="0"/>
                <w:bCs w:val="0"/>
                <w:color w:val="auto"/>
                <w:kern w:val="0"/>
                <w:sz w:val="18"/>
                <w:szCs w:val="18"/>
                <w:highlight w:val="none"/>
              </w:rPr>
            </w:pPr>
            <w:r>
              <w:rPr>
                <w:rFonts w:hint="default" w:ascii="仿宋_GB2312" w:hAnsi="宋体" w:eastAsia="仿宋_GB2312" w:cs="宋体"/>
                <w:b w:val="0"/>
                <w:bCs w:val="0"/>
                <w:color w:val="auto"/>
                <w:kern w:val="0"/>
                <w:sz w:val="18"/>
                <w:szCs w:val="18"/>
                <w:highlight w:val="none"/>
                <w:lang w:val="en-US" w:eastAsia="zh-CN"/>
              </w:rPr>
              <w:t>11410.16</w:t>
            </w: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4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57"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7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233 债务发行费用支出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　</w:t>
            </w: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5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234抗疫特别国债安排的支出</w:t>
            </w:r>
          </w:p>
        </w:tc>
        <w:tc>
          <w:tcPr>
            <w:tcW w:w="1053"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4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117"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107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817"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05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bCs/>
                <w:color w:val="auto"/>
                <w:kern w:val="0"/>
                <w:sz w:val="20"/>
                <w:szCs w:val="20"/>
                <w:highlight w:val="none"/>
              </w:rPr>
            </w:pPr>
            <w:r>
              <w:rPr>
                <w:rFonts w:hint="default" w:ascii="Calibri" w:hAnsi="Calibri" w:eastAsia="宋体" w:cs="Calibri"/>
                <w:i w:val="0"/>
                <w:iCs w:val="0"/>
                <w:color w:val="000000"/>
                <w:kern w:val="0"/>
                <w:sz w:val="22"/>
                <w:szCs w:val="22"/>
                <w:highlight w:val="none"/>
                <w:u w:val="none"/>
                <w:lang w:val="en-US" w:eastAsia="zh-CN" w:bidi="ar"/>
              </w:rPr>
              <w:t>22072.41</w:t>
            </w:r>
          </w:p>
        </w:tc>
        <w:tc>
          <w:tcPr>
            <w:tcW w:w="239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bCs/>
                <w:kern w:val="0"/>
                <w:sz w:val="20"/>
                <w:szCs w:val="20"/>
                <w:highlight w:val="none"/>
              </w:rPr>
              <w:t>支  出  总  计</w:t>
            </w:r>
          </w:p>
        </w:tc>
        <w:tc>
          <w:tcPr>
            <w:tcW w:w="1053"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bidi="ar"/>
              </w:rPr>
              <w:t>22072.41</w:t>
            </w:r>
          </w:p>
        </w:tc>
        <w:tc>
          <w:tcPr>
            <w:tcW w:w="94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bidi="ar"/>
              </w:rPr>
              <w:t>8049.82</w:t>
            </w:r>
          </w:p>
        </w:tc>
        <w:tc>
          <w:tcPr>
            <w:tcW w:w="2188"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18"/>
                <w:szCs w:val="18"/>
                <w:highlight w:val="none"/>
              </w:rPr>
            </w:pPr>
            <w:r>
              <w:rPr>
                <w:rFonts w:hint="default" w:ascii="Calibri" w:hAnsi="Calibri" w:eastAsia="宋体" w:cs="Calibri"/>
                <w:i w:val="0"/>
                <w:iCs w:val="0"/>
                <w:color w:val="000000"/>
                <w:kern w:val="0"/>
                <w:sz w:val="22"/>
                <w:szCs w:val="22"/>
                <w:highlight w:val="none"/>
                <w:u w:val="none"/>
                <w:lang w:val="en-US" w:eastAsia="zh-CN" w:bidi="ar"/>
              </w:rPr>
              <w:t>14022.59</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5"/>
        <w:tblW w:w="9214" w:type="dxa"/>
        <w:tblInd w:w="-34" w:type="dxa"/>
        <w:tblLayout w:type="fixed"/>
        <w:tblCellMar>
          <w:top w:w="0" w:type="dxa"/>
          <w:left w:w="108" w:type="dxa"/>
          <w:bottom w:w="0" w:type="dxa"/>
          <w:right w:w="108" w:type="dxa"/>
        </w:tblCellMar>
      </w:tblPr>
      <w:tblGrid>
        <w:gridCol w:w="521"/>
        <w:gridCol w:w="489"/>
        <w:gridCol w:w="997"/>
        <w:gridCol w:w="2490"/>
        <w:gridCol w:w="415"/>
        <w:gridCol w:w="965"/>
        <w:gridCol w:w="213"/>
        <w:gridCol w:w="1512"/>
        <w:gridCol w:w="1612"/>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497"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p>
        </w:tc>
        <w:tc>
          <w:tcPr>
            <w:tcW w:w="41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178"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124"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49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471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200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8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2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12"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99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38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2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1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p>
        </w:tc>
        <w:tc>
          <w:tcPr>
            <w:tcW w:w="997" w:type="dxa"/>
            <w:tcBorders>
              <w:top w:val="nil"/>
              <w:left w:val="nil"/>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社会保障和就业支出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color w:val="auto"/>
                <w:kern w:val="0"/>
                <w:sz w:val="16"/>
                <w:szCs w:val="16"/>
                <w:highlight w:val="none"/>
                <w:lang w:val="en-US" w:eastAsia="zh-CN"/>
              </w:rPr>
            </w:pPr>
            <w:r>
              <w:rPr>
                <w:rFonts w:hint="eastAsia" w:ascii="宋体" w:hAnsi="宋体" w:eastAsia="宋体" w:cs="宋体"/>
                <w:i w:val="0"/>
                <w:color w:val="000000"/>
                <w:kern w:val="0"/>
                <w:sz w:val="22"/>
                <w:szCs w:val="22"/>
                <w:highlight w:val="none"/>
                <w:u w:val="none"/>
                <w:lang w:val="en-US" w:eastAsia="zh-CN" w:bidi="ar"/>
              </w:rPr>
              <w:t>77.21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仿宋_GB2312" w:hAnsi="宋体" w:eastAsia="仿宋_GB2312" w:cs="宋体"/>
                <w:b/>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77.21</w:t>
            </w:r>
          </w:p>
        </w:tc>
        <w:tc>
          <w:tcPr>
            <w:tcW w:w="1612"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行政事业单位养老支出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77.21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77.21</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行政单位离退休</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4.81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16"/>
                <w:szCs w:val="16"/>
                <w:highlight w:val="none"/>
                <w:lang w:val="en-US" w:eastAsia="zh-CN"/>
              </w:rPr>
            </w:pPr>
            <w:r>
              <w:rPr>
                <w:rFonts w:hint="eastAsia" w:ascii="宋体" w:hAnsi="宋体" w:eastAsia="宋体" w:cs="宋体"/>
                <w:i w:val="0"/>
                <w:color w:val="000000"/>
                <w:kern w:val="0"/>
                <w:sz w:val="22"/>
                <w:szCs w:val="22"/>
                <w:highlight w:val="none"/>
                <w:u w:val="none"/>
                <w:lang w:val="en-US" w:eastAsia="zh-CN" w:bidi="ar"/>
              </w:rPr>
              <w:t>4.81</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02</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事业单位离退休</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4.89</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4.89</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top"/>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208</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机关事业单位基本养老保险缴费支出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67.51</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67.51</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p>
        </w:tc>
        <w:tc>
          <w:tcPr>
            <w:tcW w:w="9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卫生健康支出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行政事业单位医疗</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43.29</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行政单位医疗</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9.38</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9.38</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02</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事业单位医疗</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24.37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24.37</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03</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公务员医疗补助</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9.28</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9.28</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210</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11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99</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其他行政事业单位医疗支出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0.25</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0.25</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城乡社区支出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5323.37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城乡社区管理事务</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行政运行</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550.37</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03</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城乡社区公共设施</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212</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03</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03</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小城镇基础设施建设</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4773.00</w:t>
            </w: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rPr>
            </w:pP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住房保障支出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2605.96</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56.14</w:t>
            </w: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eastAsia"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2549.82</w:t>
            </w: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保障性安居工程支出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2549.82</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2549.82</w:t>
            </w: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05</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农村危房改造</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41.02</w:t>
            </w:r>
          </w:p>
        </w:tc>
        <w:tc>
          <w:tcPr>
            <w:tcW w:w="1725"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16"/>
                <w:szCs w:val="16"/>
                <w:highlight w:val="none"/>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41.02</w:t>
            </w: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01</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08</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老旧小区改造</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2508.80</w:t>
            </w:r>
          </w:p>
        </w:tc>
        <w:tc>
          <w:tcPr>
            <w:tcW w:w="1725" w:type="dxa"/>
            <w:gridSpan w:val="2"/>
            <w:tcBorders>
              <w:top w:val="nil"/>
              <w:left w:val="nil"/>
              <w:bottom w:val="single" w:color="auto" w:sz="4" w:space="0"/>
              <w:right w:val="single" w:color="auto" w:sz="4" w:space="0"/>
            </w:tcBorders>
            <w:noWrap w:val="0"/>
            <w:vAlign w:val="top"/>
          </w:tcPr>
          <w:p>
            <w:pPr>
              <w:jc w:val="right"/>
              <w:rPr>
                <w:rFonts w:hint="default" w:ascii="Calibri" w:hAnsi="Calibri" w:eastAsia="宋体" w:cs="Calibri"/>
                <w:i w:val="0"/>
                <w:iCs w:val="0"/>
                <w:color w:val="000000"/>
                <w:kern w:val="0"/>
                <w:sz w:val="20"/>
                <w:szCs w:val="20"/>
                <w:highlight w:val="none"/>
                <w:u w:val="none"/>
                <w:lang w:val="en-US" w:eastAsia="zh-CN" w:bidi="ar"/>
              </w:rPr>
            </w:pP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2508.80</w:t>
            </w: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02</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住房改革支出</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221</w:t>
            </w:r>
          </w:p>
        </w:tc>
        <w:tc>
          <w:tcPr>
            <w:tcW w:w="489"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eastAsia" w:ascii="宋体" w:hAnsi="宋体" w:cs="宋体"/>
                <w:color w:val="auto"/>
                <w:kern w:val="0"/>
                <w:sz w:val="16"/>
                <w:szCs w:val="16"/>
                <w:highlight w:val="none"/>
                <w:lang w:val="en-US" w:eastAsia="zh-CN"/>
              </w:rPr>
              <w:t>02</w:t>
            </w:r>
          </w:p>
        </w:tc>
        <w:tc>
          <w:tcPr>
            <w:tcW w:w="99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16"/>
                <w:szCs w:val="16"/>
                <w:highlight w:val="none"/>
                <w:lang w:val="en-US" w:eastAsia="zh-CN"/>
              </w:rPr>
            </w:pPr>
            <w:r>
              <w:rPr>
                <w:rFonts w:hint="default" w:ascii="宋体" w:hAnsi="宋体" w:cs="宋体"/>
                <w:color w:val="auto"/>
                <w:kern w:val="0"/>
                <w:sz w:val="16"/>
                <w:szCs w:val="16"/>
                <w:highlight w:val="none"/>
                <w:lang w:val="en-US" w:eastAsia="zh-CN"/>
              </w:rPr>
              <w:t>01</w:t>
            </w:r>
          </w:p>
        </w:tc>
        <w:tc>
          <w:tcPr>
            <w:tcW w:w="249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宋体" w:hAnsi="宋体" w:cs="宋体"/>
                <w:color w:val="auto"/>
                <w:kern w:val="0"/>
                <w:sz w:val="16"/>
                <w:szCs w:val="16"/>
                <w:highlight w:val="none"/>
                <w:lang w:val="en-US" w:eastAsia="zh-CN"/>
              </w:rPr>
            </w:pPr>
            <w:r>
              <w:rPr>
                <w:rFonts w:hint="default" w:ascii="Calibri" w:hAnsi="Calibri" w:eastAsia="宋体" w:cs="Calibri"/>
                <w:i w:val="0"/>
                <w:iCs w:val="0"/>
                <w:color w:val="000000"/>
                <w:kern w:val="0"/>
                <w:sz w:val="20"/>
                <w:szCs w:val="20"/>
                <w:highlight w:val="none"/>
                <w:u w:val="none"/>
                <w:lang w:val="en-US" w:eastAsia="zh-CN" w:bidi="ar"/>
              </w:rPr>
              <w:t>住房公积金</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0"/>
                <w:szCs w:val="20"/>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56.14</w:t>
            </w:r>
          </w:p>
        </w:tc>
        <w:tc>
          <w:tcPr>
            <w:tcW w:w="1612"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283" w:hRule="atLeast"/>
        </w:trPr>
        <w:tc>
          <w:tcPr>
            <w:tcW w:w="521"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48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99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16"/>
                <w:szCs w:val="16"/>
                <w:highlight w:val="none"/>
              </w:rPr>
            </w:pPr>
          </w:p>
        </w:tc>
        <w:tc>
          <w:tcPr>
            <w:tcW w:w="2490"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16"/>
                <w:szCs w:val="16"/>
                <w:highlight w:val="none"/>
              </w:rPr>
            </w:pPr>
            <w:r>
              <w:rPr>
                <w:rFonts w:hint="eastAsia" w:ascii="仿宋_GB2312" w:hAnsi="仿宋_GB2312" w:eastAsia="仿宋_GB2312" w:cs="仿宋_GB2312"/>
                <w:b/>
                <w:bCs/>
                <w:color w:val="auto"/>
                <w:kern w:val="0"/>
                <w:sz w:val="16"/>
                <w:szCs w:val="16"/>
                <w:highlight w:val="none"/>
              </w:rPr>
              <w:t>合  计</w:t>
            </w:r>
          </w:p>
        </w:tc>
        <w:tc>
          <w:tcPr>
            <w:tcW w:w="1380"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8049.82</w:t>
            </w:r>
          </w:p>
        </w:tc>
        <w:tc>
          <w:tcPr>
            <w:tcW w:w="1725"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727.00</w:t>
            </w:r>
          </w:p>
        </w:tc>
        <w:tc>
          <w:tcPr>
            <w:tcW w:w="1612"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ascii="宋体" w:hAnsi="宋体" w:cs="宋体"/>
                <w:color w:val="auto"/>
                <w:kern w:val="0"/>
                <w:sz w:val="16"/>
                <w:szCs w:val="16"/>
                <w:highlight w:val="none"/>
              </w:rPr>
            </w:pPr>
            <w:r>
              <w:rPr>
                <w:rFonts w:hint="eastAsia" w:ascii="宋体" w:hAnsi="宋体" w:eastAsia="宋体" w:cs="宋体"/>
                <w:i w:val="0"/>
                <w:color w:val="000000"/>
                <w:kern w:val="0"/>
                <w:sz w:val="22"/>
                <w:szCs w:val="22"/>
                <w:highlight w:val="none"/>
                <w:u w:val="none"/>
                <w:lang w:val="en-US" w:eastAsia="zh-CN" w:bidi="ar"/>
              </w:rPr>
              <w:t>7322.82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5"/>
        <w:tblW w:w="9328" w:type="dxa"/>
        <w:tblInd w:w="-148" w:type="dxa"/>
        <w:tblLayout w:type="fixed"/>
        <w:tblCellMar>
          <w:top w:w="0" w:type="dxa"/>
          <w:left w:w="108" w:type="dxa"/>
          <w:bottom w:w="0" w:type="dxa"/>
          <w:right w:w="108" w:type="dxa"/>
        </w:tblCellMar>
      </w:tblPr>
      <w:tblGrid>
        <w:gridCol w:w="757"/>
        <w:gridCol w:w="577"/>
        <w:gridCol w:w="3217"/>
        <w:gridCol w:w="669"/>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551"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highlight w:val="none"/>
                <w:lang w:val="en-US" w:eastAsia="zh-CN"/>
              </w:rPr>
              <w:t>呼图壁县住房和城乡建设局</w:t>
            </w:r>
          </w:p>
        </w:tc>
        <w:tc>
          <w:tcPr>
            <w:tcW w:w="669"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259" w:hRule="atLeast"/>
        </w:trPr>
        <w:tc>
          <w:tcPr>
            <w:tcW w:w="4551"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777"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21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3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217"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3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top"/>
          </w:tcPr>
          <w:p>
            <w:pPr>
              <w:widowControl/>
              <w:jc w:val="both"/>
              <w:rPr>
                <w:rFonts w:hint="default" w:ascii="仿宋_GB2312" w:hAnsi="宋体" w:eastAsia="仿宋_GB2312" w:cs="宋体"/>
                <w:color w:val="auto"/>
                <w:kern w:val="0"/>
                <w:sz w:val="20"/>
                <w:szCs w:val="20"/>
                <w:highlight w:val="none"/>
                <w:lang w:val="en-US" w:eastAsia="zh-CN"/>
              </w:rPr>
            </w:pP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工资福利支出</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691.30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691.30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基本工资</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165.82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165.82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02</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津贴补贴</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84.91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84.91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03</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奖金</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137.05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137.05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绩效工资</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80.01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80.01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08</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机关事业单位基本养老保险缴费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67.51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67.51</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10</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职工基本医疗保险缴费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33.75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33.75</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公务员医疗补助缴费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9.28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9.28</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其他社会保障缴费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13</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住房公积金</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56.14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56.14</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99</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其他工资福利支出</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53.36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53.36</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商品和服务支出</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25.9</w:t>
            </w:r>
            <w:r>
              <w:rPr>
                <w:rFonts w:hint="eastAsia" w:ascii="仿宋_GB2312" w:hAnsi="宋体" w:eastAsia="仿宋_GB2312" w:cs="宋体"/>
                <w:color w:val="auto"/>
                <w:kern w:val="0"/>
                <w:sz w:val="20"/>
                <w:szCs w:val="20"/>
                <w:highlight w:val="none"/>
                <w:lang w:val="en-US" w:eastAsia="zh-CN"/>
              </w:rPr>
              <w:t>9</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25.9</w:t>
            </w:r>
            <w:r>
              <w:rPr>
                <w:rFonts w:hint="eastAsia" w:ascii="仿宋_GB2312" w:hAnsi="宋体" w:eastAsia="仿宋_GB2312" w:cs="宋体"/>
                <w:color w:val="auto"/>
                <w:kern w:val="0"/>
                <w:sz w:val="20"/>
                <w:szCs w:val="20"/>
                <w:highlight w:val="none"/>
                <w:lang w:val="en-US" w:eastAsia="zh-CN"/>
              </w:rPr>
              <w:t>9</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办公费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3.47</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3.47</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05</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水费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0.34</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0.34</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邮电费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1.85</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1.85</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08</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取暖费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0.13</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0.13</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差旅费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1.18</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1.18</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17</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公务接待费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1.26</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28</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工会经费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8.16</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8.16</w:t>
            </w: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331</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公务用车运行维护费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9.60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9.60</w:t>
            </w:r>
          </w:p>
        </w:tc>
      </w:tr>
      <w:tr>
        <w:tblPrEx>
          <w:tblLayout w:type="fixed"/>
          <w:tblCellMar>
            <w:top w:w="0" w:type="dxa"/>
            <w:left w:w="108" w:type="dxa"/>
            <w:bottom w:w="0" w:type="dxa"/>
            <w:right w:w="108" w:type="dxa"/>
          </w:tblCellMar>
        </w:tblPrEx>
        <w:trPr>
          <w:trHeight w:val="9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303</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对个人和家庭的补助</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9.72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9.72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02</w:t>
            </w:r>
          </w:p>
        </w:tc>
        <w:tc>
          <w:tcPr>
            <w:tcW w:w="3217" w:type="dxa"/>
            <w:tcBorders>
              <w:top w:val="nil"/>
              <w:left w:val="nil"/>
              <w:bottom w:val="single" w:color="auto" w:sz="4" w:space="0"/>
              <w:right w:val="single" w:color="auto" w:sz="4" w:space="0"/>
            </w:tcBorders>
            <w:noWrap w:val="0"/>
            <w:vAlign w:val="center"/>
          </w:tcPr>
          <w:p>
            <w:pPr>
              <w:widowControl/>
              <w:jc w:val="both"/>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退休费</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9.00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9.00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09</w:t>
            </w:r>
          </w:p>
        </w:tc>
        <w:tc>
          <w:tcPr>
            <w:tcW w:w="3217" w:type="dxa"/>
            <w:tcBorders>
              <w:top w:val="nil"/>
              <w:left w:val="nil"/>
              <w:bottom w:val="single" w:color="auto" w:sz="4" w:space="0"/>
              <w:right w:val="single" w:color="auto" w:sz="4" w:space="0"/>
            </w:tcBorders>
            <w:noWrap w:val="0"/>
            <w:vAlign w:val="center"/>
          </w:tcPr>
          <w:p>
            <w:pPr>
              <w:widowControl/>
              <w:jc w:val="both"/>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奖励金</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0.70</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0.70</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99</w:t>
            </w:r>
          </w:p>
        </w:tc>
        <w:tc>
          <w:tcPr>
            <w:tcW w:w="3217" w:type="dxa"/>
            <w:tcBorders>
              <w:top w:val="nil"/>
              <w:left w:val="nil"/>
              <w:bottom w:val="single" w:color="auto" w:sz="4" w:space="0"/>
              <w:right w:val="single" w:color="auto" w:sz="4" w:space="0"/>
            </w:tcBorders>
            <w:noWrap w:val="0"/>
            <w:vAlign w:val="center"/>
          </w:tcPr>
          <w:p>
            <w:pPr>
              <w:widowControl/>
              <w:jc w:val="both"/>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其他对个人和家庭的补助</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0.02</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0.02</w:t>
            </w:r>
          </w:p>
        </w:tc>
        <w:tc>
          <w:tcPr>
            <w:tcW w:w="1701" w:type="dxa"/>
            <w:tcBorders>
              <w:top w:val="nil"/>
              <w:left w:val="nil"/>
              <w:bottom w:val="single" w:color="auto" w:sz="4" w:space="0"/>
              <w:right w:val="single" w:color="auto" w:sz="4" w:space="0"/>
            </w:tcBorders>
            <w:noWrap w:val="0"/>
            <w:vAlign w:val="center"/>
          </w:tcPr>
          <w:p>
            <w:pPr>
              <w:widowControl/>
              <w:jc w:val="right"/>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34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321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75"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727.0</w:t>
            </w:r>
            <w:r>
              <w:rPr>
                <w:rFonts w:hint="eastAsia" w:ascii="仿宋_GB2312" w:hAnsi="宋体" w:eastAsia="仿宋_GB2312" w:cs="宋体"/>
                <w:color w:val="auto"/>
                <w:kern w:val="0"/>
                <w:sz w:val="20"/>
                <w:szCs w:val="20"/>
                <w:highlight w:val="none"/>
                <w:lang w:val="en-US" w:eastAsia="zh-CN"/>
              </w:rPr>
              <w:t>1</w:t>
            </w:r>
          </w:p>
        </w:tc>
        <w:tc>
          <w:tcPr>
            <w:tcW w:w="1701" w:type="dxa"/>
            <w:gridSpan w:val="2"/>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701.02</w:t>
            </w:r>
          </w:p>
        </w:tc>
        <w:tc>
          <w:tcPr>
            <w:tcW w:w="1701" w:type="dxa"/>
            <w:tcBorders>
              <w:top w:val="nil"/>
              <w:left w:val="nil"/>
              <w:bottom w:val="single" w:color="auto" w:sz="4" w:space="0"/>
              <w:right w:val="single" w:color="auto" w:sz="4" w:space="0"/>
            </w:tcBorders>
            <w:noWrap w:val="0"/>
            <w:vAlign w:val="center"/>
          </w:tcPr>
          <w:p>
            <w:pPr>
              <w:widowControl/>
              <w:jc w:val="right"/>
              <w:rPr>
                <w:rFonts w:hint="default" w:ascii="仿宋_GB2312" w:hAnsi="宋体" w:eastAsia="仿宋_GB2312" w:cs="宋体"/>
                <w:color w:val="auto"/>
                <w:kern w:val="0"/>
                <w:sz w:val="20"/>
                <w:szCs w:val="20"/>
                <w:highlight w:val="none"/>
                <w:lang w:val="en-US" w:eastAsia="zh-CN"/>
              </w:rPr>
            </w:pPr>
            <w:r>
              <w:rPr>
                <w:rFonts w:hint="default" w:ascii="仿宋_GB2312" w:hAnsi="宋体" w:eastAsia="仿宋_GB2312" w:cs="宋体"/>
                <w:color w:val="auto"/>
                <w:kern w:val="0"/>
                <w:sz w:val="20"/>
                <w:szCs w:val="20"/>
                <w:highlight w:val="none"/>
                <w:lang w:val="en-US" w:eastAsia="zh-CN"/>
              </w:rPr>
              <w:t>25.9</w:t>
            </w:r>
            <w:r>
              <w:rPr>
                <w:rFonts w:hint="eastAsia" w:ascii="仿宋_GB2312" w:hAnsi="宋体" w:eastAsia="仿宋_GB2312" w:cs="宋体"/>
                <w:color w:val="auto"/>
                <w:kern w:val="0"/>
                <w:sz w:val="20"/>
                <w:szCs w:val="20"/>
                <w:highlight w:val="none"/>
                <w:lang w:val="en-US" w:eastAsia="zh-CN"/>
              </w:rPr>
              <w:t>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5"/>
        <w:tblW w:w="11070" w:type="dxa"/>
        <w:tblInd w:w="-982" w:type="dxa"/>
        <w:tblLayout w:type="fixed"/>
        <w:tblCellMar>
          <w:top w:w="0" w:type="dxa"/>
          <w:left w:w="108" w:type="dxa"/>
          <w:bottom w:w="0" w:type="dxa"/>
          <w:right w:w="108" w:type="dxa"/>
        </w:tblCellMar>
      </w:tblPr>
      <w:tblGrid>
        <w:gridCol w:w="495"/>
        <w:gridCol w:w="450"/>
        <w:gridCol w:w="405"/>
        <w:gridCol w:w="1009"/>
        <w:gridCol w:w="1841"/>
        <w:gridCol w:w="840"/>
        <w:gridCol w:w="240"/>
        <w:gridCol w:w="810"/>
        <w:gridCol w:w="750"/>
        <w:gridCol w:w="483"/>
        <w:gridCol w:w="267"/>
        <w:gridCol w:w="750"/>
        <w:gridCol w:w="960"/>
        <w:gridCol w:w="660"/>
        <w:gridCol w:w="240"/>
        <w:gridCol w:w="219"/>
        <w:gridCol w:w="411"/>
        <w:gridCol w:w="240"/>
      </w:tblGrid>
      <w:tr>
        <w:tblPrEx>
          <w:tblLayout w:type="fixed"/>
          <w:tblCellMar>
            <w:top w:w="0" w:type="dxa"/>
            <w:left w:w="108" w:type="dxa"/>
            <w:bottom w:w="0" w:type="dxa"/>
            <w:right w:w="108" w:type="dxa"/>
          </w:tblCellMar>
        </w:tblPrEx>
        <w:trPr>
          <w:gridAfter w:val="2"/>
          <w:wAfter w:w="651" w:type="dxa"/>
          <w:trHeight w:val="375" w:hRule="atLeast"/>
        </w:trPr>
        <w:tc>
          <w:tcPr>
            <w:tcW w:w="10419"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28"/>
                <w:szCs w:val="28"/>
                <w:highlight w:val="none"/>
              </w:rPr>
            </w:pPr>
            <w:r>
              <w:rPr>
                <w:rFonts w:hint="eastAsia" w:ascii="仿宋_GB2312" w:hAnsi="宋体" w:eastAsia="仿宋_GB2312"/>
                <w:b/>
                <w:color w:val="auto"/>
                <w:kern w:val="0"/>
                <w:sz w:val="28"/>
                <w:szCs w:val="28"/>
                <w:highlight w:val="none"/>
              </w:rPr>
              <w:t>一般公共预算项目支出情况表</w:t>
            </w:r>
          </w:p>
        </w:tc>
      </w:tr>
      <w:tr>
        <w:tblPrEx>
          <w:tblLayout w:type="fixed"/>
          <w:tblCellMar>
            <w:top w:w="0" w:type="dxa"/>
            <w:left w:w="108" w:type="dxa"/>
            <w:bottom w:w="0" w:type="dxa"/>
            <w:right w:w="108" w:type="dxa"/>
          </w:tblCellMar>
        </w:tblPrEx>
        <w:trPr>
          <w:gridAfter w:val="2"/>
          <w:wAfter w:w="651" w:type="dxa"/>
          <w:trHeight w:val="202" w:hRule="atLeast"/>
        </w:trPr>
        <w:tc>
          <w:tcPr>
            <w:tcW w:w="4200"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lang w:eastAsia="zh-CN"/>
              </w:rPr>
              <w:t>编制单位：</w:t>
            </w:r>
            <w:r>
              <w:rPr>
                <w:rFonts w:hint="eastAsia" w:ascii="仿宋_GB2312" w:hAnsi="宋体" w:eastAsia="仿宋_GB2312"/>
                <w:kern w:val="0"/>
                <w:sz w:val="22"/>
                <w:szCs w:val="22"/>
                <w:highlight w:val="none"/>
                <w:lang w:val="en-US" w:eastAsia="zh-CN"/>
              </w:rPr>
              <w:t>呼图壁县住房和城乡建设局</w:t>
            </w:r>
          </w:p>
        </w:tc>
        <w:tc>
          <w:tcPr>
            <w:tcW w:w="1890"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 xml:space="preserve">      </w:t>
            </w:r>
          </w:p>
        </w:tc>
        <w:tc>
          <w:tcPr>
            <w:tcW w:w="3096" w:type="dxa"/>
            <w:gridSpan w:val="6"/>
            <w:tcBorders>
              <w:top w:val="nil"/>
              <w:left w:val="nil"/>
              <w:bottom w:val="nil"/>
              <w:right w:val="nil"/>
            </w:tcBorders>
            <w:noWrap w:val="0"/>
            <w:vAlign w:val="center"/>
          </w:tcPr>
          <w:p>
            <w:pPr>
              <w:widowControl/>
              <w:ind w:firstLine="880" w:firstLineChars="400"/>
              <w:rPr>
                <w:rFonts w:ascii="仿宋_GB2312" w:hAnsi="宋体" w:eastAsia="仿宋_GB2312" w:cs="宋体"/>
                <w:color w:val="auto"/>
                <w:kern w:val="0"/>
                <w:sz w:val="22"/>
                <w:szCs w:val="22"/>
                <w:highlight w:val="none"/>
              </w:rPr>
            </w:pPr>
            <w:r>
              <w:rPr>
                <w:rFonts w:hint="eastAsia" w:ascii="仿宋_GB2312" w:hAnsi="宋体" w:eastAsia="仿宋_GB2312" w:cs="宋体"/>
                <w:color w:val="auto"/>
                <w:kern w:val="0"/>
                <w:sz w:val="22"/>
                <w:szCs w:val="22"/>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50" w:type="dxa"/>
            <w:gridSpan w:val="3"/>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科 目 编 码</w:t>
            </w:r>
          </w:p>
        </w:tc>
        <w:tc>
          <w:tcPr>
            <w:tcW w:w="1009" w:type="dxa"/>
            <w:vMerge w:val="restart"/>
            <w:noWrap w:val="0"/>
            <w:vAlign w:val="center"/>
          </w:tcPr>
          <w:p>
            <w:pPr>
              <w:widowControl/>
              <w:jc w:val="center"/>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科目</w:t>
            </w:r>
          </w:p>
          <w:p>
            <w:pPr>
              <w:widowControl/>
              <w:jc w:val="center"/>
              <w:outlineLvl w:val="1"/>
              <w:rPr>
                <w:rFonts w:hint="eastAsia" w:ascii="仿宋_GB2312" w:hAnsi="宋体" w:eastAsia="仿宋_GB2312"/>
                <w:b/>
                <w:color w:val="auto"/>
                <w:kern w:val="0"/>
                <w:sz w:val="18"/>
                <w:szCs w:val="18"/>
                <w:highlight w:val="none"/>
                <w:lang w:eastAsia="zh-CN"/>
              </w:rPr>
            </w:pPr>
            <w:r>
              <w:rPr>
                <w:rFonts w:hint="eastAsia" w:ascii="仿宋_GB2312" w:hAnsi="宋体" w:eastAsia="仿宋_GB2312"/>
                <w:b/>
                <w:color w:val="auto"/>
                <w:kern w:val="0"/>
                <w:sz w:val="18"/>
                <w:szCs w:val="18"/>
                <w:highlight w:val="none"/>
                <w:lang w:eastAsia="zh-CN"/>
              </w:rPr>
              <w:t>名称</w:t>
            </w:r>
          </w:p>
        </w:tc>
        <w:tc>
          <w:tcPr>
            <w:tcW w:w="1841" w:type="dxa"/>
            <w:vMerge w:val="restart"/>
            <w:noWrap w:val="0"/>
            <w:vAlign w:val="center"/>
          </w:tcPr>
          <w:p>
            <w:pPr>
              <w:jc w:val="center"/>
              <w:rPr>
                <w:rFonts w:ascii="Calibri" w:hAnsi="Calibri"/>
                <w:color w:val="auto"/>
                <w:sz w:val="18"/>
                <w:szCs w:val="18"/>
                <w:highlight w:val="none"/>
              </w:rPr>
            </w:pPr>
            <w:r>
              <w:rPr>
                <w:rFonts w:hint="eastAsia" w:ascii="仿宋_GB2312" w:hAnsi="宋体" w:eastAsia="仿宋_GB2312"/>
                <w:b/>
                <w:color w:val="auto"/>
                <w:kern w:val="0"/>
                <w:sz w:val="18"/>
                <w:szCs w:val="18"/>
                <w:highlight w:val="none"/>
              </w:rPr>
              <w:t>项目名称</w:t>
            </w:r>
          </w:p>
        </w:tc>
        <w:tc>
          <w:tcPr>
            <w:tcW w:w="84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项目支出合计</w:t>
            </w:r>
          </w:p>
        </w:tc>
        <w:tc>
          <w:tcPr>
            <w:tcW w:w="24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工资福利支出</w:t>
            </w:r>
          </w:p>
        </w:tc>
        <w:tc>
          <w:tcPr>
            <w:tcW w:w="81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商品和服务支出</w:t>
            </w:r>
          </w:p>
        </w:tc>
        <w:tc>
          <w:tcPr>
            <w:tcW w:w="75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对个人和家庭的补助</w:t>
            </w:r>
          </w:p>
        </w:tc>
        <w:tc>
          <w:tcPr>
            <w:tcW w:w="750" w:type="dxa"/>
            <w:gridSpan w:val="2"/>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债务利息及费用支出</w:t>
            </w:r>
          </w:p>
        </w:tc>
        <w:tc>
          <w:tcPr>
            <w:tcW w:w="75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资本性支出（基本建设）</w:t>
            </w:r>
          </w:p>
        </w:tc>
        <w:tc>
          <w:tcPr>
            <w:tcW w:w="96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资本性支出</w:t>
            </w:r>
          </w:p>
        </w:tc>
        <w:tc>
          <w:tcPr>
            <w:tcW w:w="66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对企业补助（基本建设）</w:t>
            </w:r>
          </w:p>
        </w:tc>
        <w:tc>
          <w:tcPr>
            <w:tcW w:w="240" w:type="dxa"/>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对企业补助</w:t>
            </w:r>
          </w:p>
        </w:tc>
        <w:tc>
          <w:tcPr>
            <w:tcW w:w="630" w:type="dxa"/>
            <w:gridSpan w:val="2"/>
            <w:vMerge w:val="restart"/>
            <w:noWrap w:val="0"/>
            <w:vAlign w:val="center"/>
          </w:tcPr>
          <w:p>
            <w:pPr>
              <w:widowControl/>
              <w:jc w:val="center"/>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对社会保障基金补助</w:t>
            </w:r>
          </w:p>
        </w:tc>
        <w:tc>
          <w:tcPr>
            <w:tcW w:w="2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4" w:hRule="atLeast"/>
        </w:trPr>
        <w:tc>
          <w:tcPr>
            <w:tcW w:w="495" w:type="dxa"/>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类</w:t>
            </w:r>
          </w:p>
        </w:tc>
        <w:tc>
          <w:tcPr>
            <w:tcW w:w="450" w:type="dxa"/>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款</w:t>
            </w:r>
          </w:p>
        </w:tc>
        <w:tc>
          <w:tcPr>
            <w:tcW w:w="405" w:type="dxa"/>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r>
              <w:rPr>
                <w:rFonts w:hint="eastAsia" w:ascii="仿宋_GB2312" w:hAnsi="宋体" w:eastAsia="仿宋_GB2312"/>
                <w:b/>
                <w:color w:val="auto"/>
                <w:kern w:val="0"/>
                <w:sz w:val="18"/>
                <w:szCs w:val="18"/>
                <w:highlight w:val="none"/>
              </w:rPr>
              <w:t>项</w:t>
            </w:r>
          </w:p>
        </w:tc>
        <w:tc>
          <w:tcPr>
            <w:tcW w:w="100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18"/>
                <w:szCs w:val="18"/>
                <w:highlight w:val="none"/>
              </w:rPr>
            </w:pPr>
          </w:p>
        </w:tc>
        <w:tc>
          <w:tcPr>
            <w:tcW w:w="18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8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8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7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75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7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9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6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63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18"/>
                <w:szCs w:val="18"/>
                <w:highlight w:val="none"/>
              </w:rPr>
            </w:pPr>
          </w:p>
        </w:tc>
        <w:tc>
          <w:tcPr>
            <w:tcW w:w="2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2"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top"/>
          </w:tcPr>
          <w:p>
            <w:pPr>
              <w:widowControl/>
              <w:jc w:val="center"/>
              <w:outlineLvl w:val="1"/>
              <w:rPr>
                <w:rFonts w:hint="eastAsia" w:ascii="仿宋_GB2312" w:hAnsi="宋体" w:eastAsia="仿宋_GB2312"/>
                <w:kern w:val="0"/>
                <w:sz w:val="16"/>
                <w:szCs w:val="16"/>
                <w:highlight w:val="none"/>
                <w:lang w:val="en-US" w:eastAsia="zh-Hans"/>
              </w:rPr>
            </w:pP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城乡社区支出</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4773.00</w:t>
            </w:r>
          </w:p>
        </w:tc>
        <w:tc>
          <w:tcPr>
            <w:tcW w:w="2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2823.00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480.00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城乡社区公共设施</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4773.00</w:t>
            </w:r>
          </w:p>
        </w:tc>
        <w:tc>
          <w:tcPr>
            <w:tcW w:w="2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2823.00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480.00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关于下达昌吉州2023年第一批州级预算内投资的通知-2023年第一批州级预算内投资（前期费）</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315.00</w:t>
            </w:r>
          </w:p>
        </w:tc>
        <w:tc>
          <w:tcPr>
            <w:tcW w:w="2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315.00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关于下达2023年新疆、西藏、四省涉藏州县建设专项（第一批）中央基建投资预算的通知-昌吉州呼图壁县三水厂输水管线扩容工程项目</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亚行贷款项目前期费用及保留金项目（非定额）</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260.00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260.00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污水处理费项目（非定额）</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1560.00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1560.00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城区绿化养护费项目（非定额）</w:t>
            </w:r>
          </w:p>
        </w:tc>
        <w:tc>
          <w:tcPr>
            <w:tcW w:w="84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480.00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关于下达2023年第三批自治区预算内投资的通知-2023年城市更新(前期费)</w:t>
            </w:r>
          </w:p>
        </w:tc>
        <w:tc>
          <w:tcPr>
            <w:tcW w:w="84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178.00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178.00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公共绿地绿化用水费项目（非定额）</w:t>
            </w: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130.00</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130.00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212</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03</w:t>
            </w: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小城镇基础设施建设</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公用设施及路灯用电费项目（非定额）</w:t>
            </w:r>
          </w:p>
        </w:tc>
        <w:tc>
          <w:tcPr>
            <w:tcW w:w="84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380.00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380.00</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221</w:t>
            </w:r>
          </w:p>
        </w:tc>
        <w:tc>
          <w:tcPr>
            <w:tcW w:w="450" w:type="dxa"/>
            <w:noWrap w:val="0"/>
            <w:vAlign w:val="top"/>
          </w:tcPr>
          <w:p>
            <w:pPr>
              <w:widowControl/>
              <w:jc w:val="center"/>
              <w:outlineLvl w:val="1"/>
              <w:rPr>
                <w:rFonts w:hint="eastAsia" w:ascii="仿宋_GB2312" w:hAnsi="宋体" w:eastAsia="仿宋_GB2312"/>
                <w:kern w:val="0"/>
                <w:sz w:val="16"/>
                <w:szCs w:val="16"/>
                <w:highlight w:val="none"/>
                <w:lang w:val="en-US" w:eastAsia="zh-CN"/>
              </w:rPr>
            </w:pP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住房保障支出</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2549.82</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2545.80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1009"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保障性安居工程支出</w:t>
            </w:r>
          </w:p>
        </w:tc>
        <w:tc>
          <w:tcPr>
            <w:tcW w:w="1841"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p>
        </w:tc>
        <w:tc>
          <w:tcPr>
            <w:tcW w:w="84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2549.82</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81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960" w:type="dxa"/>
            <w:noWrap w:val="0"/>
            <w:vAlign w:val="top"/>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2545.80</w:t>
            </w:r>
          </w:p>
        </w:tc>
        <w:tc>
          <w:tcPr>
            <w:tcW w:w="660" w:type="dxa"/>
            <w:noWrap w:val="0"/>
            <w:vAlign w:val="top"/>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　</w:t>
            </w:r>
          </w:p>
        </w:tc>
        <w:tc>
          <w:tcPr>
            <w:tcW w:w="24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630" w:type="dxa"/>
            <w:gridSpan w:val="2"/>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24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05</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农村危房改造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昌州财社【2023】35号 中央财政农村危房改造补助资金（11.43）</w:t>
            </w:r>
          </w:p>
        </w:tc>
        <w:tc>
          <w:tcPr>
            <w:tcW w:w="840" w:type="dxa"/>
            <w:noWrap w:val="0"/>
            <w:vAlign w:val="center"/>
          </w:tcPr>
          <w:p>
            <w:pPr>
              <w:keepNext w:val="0"/>
              <w:keepLines w:val="0"/>
              <w:widowControl/>
              <w:suppressLineNumbers w:val="0"/>
              <w:jc w:val="left"/>
              <w:textAlignment w:val="center"/>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24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Calibri" w:hAnsi="Calibri" w:eastAsia="宋体" w:cs="Calibri"/>
                <w:i w:val="0"/>
                <w:iCs w:val="0"/>
                <w:color w:val="000000"/>
                <w:kern w:val="0"/>
                <w:sz w:val="16"/>
                <w:szCs w:val="16"/>
                <w:highlight w:val="none"/>
                <w:u w:val="none"/>
                <w:lang w:val="en-US" w:eastAsia="zh-CN" w:bidi="ar"/>
              </w:rPr>
              <w:t>224</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05</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农村危房改造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2024年中央财政农村危房改造补助资金-2024年农村危房改造</w:t>
            </w:r>
          </w:p>
        </w:tc>
        <w:tc>
          <w:tcPr>
            <w:tcW w:w="840" w:type="dxa"/>
            <w:noWrap w:val="0"/>
            <w:vAlign w:val="center"/>
          </w:tcPr>
          <w:p>
            <w:pPr>
              <w:keepNext w:val="0"/>
              <w:keepLines w:val="0"/>
              <w:widowControl/>
              <w:suppressLineNumbers w:val="0"/>
              <w:jc w:val="left"/>
              <w:textAlignment w:val="center"/>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37.00</w:t>
            </w:r>
          </w:p>
        </w:tc>
        <w:tc>
          <w:tcPr>
            <w:tcW w:w="24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right"/>
              <w:textAlignment w:val="top"/>
              <w:rPr>
                <w:rFonts w:hint="eastAsia" w:ascii="Calibri" w:hAnsi="Calibri" w:eastAsia="宋体" w:cs="Calibri"/>
                <w:i w:val="0"/>
                <w:iCs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37.00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default"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08</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老旧小区改造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昌州财建【2022】109号 2023年部分中央财政城镇保障性安居工程补助资金1914万</w:t>
            </w:r>
          </w:p>
        </w:tc>
        <w:tc>
          <w:tcPr>
            <w:tcW w:w="8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152.80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152.80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08</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老旧小区改造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昌州财建【2023】80号 2023年城市燃气管道等老化更新改造和保障性安居工程专项中央基建投资</w:t>
            </w:r>
          </w:p>
        </w:tc>
        <w:tc>
          <w:tcPr>
            <w:tcW w:w="8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2132.00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2132.00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221</w:t>
            </w:r>
          </w:p>
        </w:tc>
        <w:tc>
          <w:tcPr>
            <w:tcW w:w="450"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01</w:t>
            </w:r>
          </w:p>
        </w:tc>
        <w:tc>
          <w:tcPr>
            <w:tcW w:w="405" w:type="dxa"/>
            <w:noWrap w:val="0"/>
            <w:vAlign w:val="center"/>
          </w:tcPr>
          <w:p>
            <w:pPr>
              <w:widowControl/>
              <w:jc w:val="center"/>
              <w:outlineLvl w:val="1"/>
              <w:rPr>
                <w:rFonts w:hint="eastAsia" w:ascii="仿宋_GB2312" w:hAnsi="宋体" w:eastAsia="仿宋_GB2312"/>
                <w:kern w:val="0"/>
                <w:sz w:val="16"/>
                <w:szCs w:val="16"/>
                <w:highlight w:val="none"/>
                <w:lang w:val="en-US" w:eastAsia="zh-CN"/>
              </w:rPr>
            </w:pPr>
            <w:r>
              <w:rPr>
                <w:rFonts w:hint="eastAsia" w:ascii="仿宋_GB2312" w:hAnsi="宋体" w:eastAsia="仿宋_GB2312"/>
                <w:kern w:val="0"/>
                <w:sz w:val="16"/>
                <w:szCs w:val="16"/>
                <w:highlight w:val="none"/>
                <w:lang w:val="en-US" w:eastAsia="zh-CN"/>
              </w:rPr>
              <w:t>08</w:t>
            </w:r>
          </w:p>
        </w:tc>
        <w:tc>
          <w:tcPr>
            <w:tcW w:w="1009"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老旧小区改造</w:t>
            </w:r>
          </w:p>
        </w:tc>
        <w:tc>
          <w:tcPr>
            <w:tcW w:w="1841" w:type="dxa"/>
            <w:noWrap w:val="0"/>
            <w:vAlign w:val="center"/>
          </w:tcPr>
          <w:p>
            <w:pPr>
              <w:keepNext w:val="0"/>
              <w:keepLines w:val="0"/>
              <w:widowControl/>
              <w:suppressLineNumbers w:val="0"/>
              <w:jc w:val="left"/>
              <w:textAlignment w:val="center"/>
              <w:rPr>
                <w:rFonts w:hint="eastAsia" w:ascii="仿宋_GB2312" w:hAnsi="宋体" w:eastAsia="仿宋_GB2312"/>
                <w:kern w:val="0"/>
                <w:sz w:val="16"/>
                <w:szCs w:val="16"/>
                <w:highlight w:val="none"/>
                <w:lang w:val="en-US" w:eastAsia="zh-CN"/>
              </w:rPr>
            </w:pPr>
            <w:r>
              <w:rPr>
                <w:rFonts w:hint="eastAsia" w:ascii="仿宋" w:hAnsi="仿宋" w:eastAsia="仿宋" w:cs="仿宋"/>
                <w:i w:val="0"/>
                <w:color w:val="000000"/>
                <w:kern w:val="0"/>
                <w:sz w:val="16"/>
                <w:szCs w:val="16"/>
                <w:highlight w:val="none"/>
                <w:u w:val="none"/>
                <w:lang w:val="en-US" w:eastAsia="zh-CN" w:bidi="ar"/>
              </w:rPr>
              <w:t>2024年中央财政城镇保障性安居工程补助资金-2024年老旧小区</w:t>
            </w:r>
          </w:p>
        </w:tc>
        <w:tc>
          <w:tcPr>
            <w:tcW w:w="8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224.00</w:t>
            </w:r>
          </w:p>
        </w:tc>
        <w:tc>
          <w:tcPr>
            <w:tcW w:w="24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gridSpan w:val="2"/>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p>
        </w:tc>
        <w:tc>
          <w:tcPr>
            <w:tcW w:w="960" w:type="dxa"/>
            <w:noWrap w:val="0"/>
            <w:vAlign w:val="center"/>
          </w:tcPr>
          <w:p>
            <w:pPr>
              <w:keepNext w:val="0"/>
              <w:keepLines w:val="0"/>
              <w:widowControl/>
              <w:suppressLineNumbers w:val="0"/>
              <w:jc w:val="left"/>
              <w:textAlignment w:val="center"/>
              <w:rPr>
                <w:rFonts w:hint="eastAsia"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224.00</w:t>
            </w:r>
          </w:p>
        </w:tc>
        <w:tc>
          <w:tcPr>
            <w:tcW w:w="66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28"/>
                <w:szCs w:val="28"/>
                <w:highlight w:val="none"/>
              </w:rPr>
            </w:pPr>
          </w:p>
        </w:tc>
        <w:tc>
          <w:tcPr>
            <w:tcW w:w="630" w:type="dxa"/>
            <w:gridSpan w:val="2"/>
            <w:noWrap w:val="0"/>
            <w:vAlign w:val="top"/>
          </w:tcPr>
          <w:p>
            <w:pPr>
              <w:widowControl/>
              <w:jc w:val="left"/>
              <w:outlineLvl w:val="1"/>
              <w:rPr>
                <w:rFonts w:hint="eastAsia" w:ascii="仿宋_GB2312" w:hAnsi="宋体" w:eastAsia="仿宋_GB2312"/>
                <w:color w:val="auto"/>
                <w:kern w:val="0"/>
                <w:sz w:val="28"/>
                <w:szCs w:val="28"/>
                <w:highlight w:val="none"/>
              </w:rPr>
            </w:pPr>
          </w:p>
        </w:tc>
        <w:tc>
          <w:tcPr>
            <w:tcW w:w="240" w:type="dxa"/>
            <w:noWrap w:val="0"/>
            <w:vAlign w:val="top"/>
          </w:tcPr>
          <w:p>
            <w:pPr>
              <w:widowControl/>
              <w:jc w:val="left"/>
              <w:outlineLvl w:val="1"/>
              <w:rPr>
                <w:rFonts w:hint="eastAsia"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95"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50"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405" w:type="dxa"/>
            <w:noWrap w:val="0"/>
            <w:vAlign w:val="center"/>
          </w:tcPr>
          <w:p>
            <w:pPr>
              <w:keepNext w:val="0"/>
              <w:keepLines w:val="0"/>
              <w:widowControl/>
              <w:suppressLineNumbers w:val="0"/>
              <w:jc w:val="left"/>
              <w:textAlignment w:val="center"/>
              <w:rPr>
                <w:rFonts w:ascii="仿宋_GB2312" w:hAnsi="宋体" w:eastAsia="仿宋_GB2312"/>
                <w:color w:val="auto"/>
                <w:kern w:val="0"/>
                <w:sz w:val="28"/>
                <w:szCs w:val="28"/>
                <w:highlight w:val="none"/>
              </w:rPr>
            </w:pPr>
          </w:p>
        </w:tc>
        <w:tc>
          <w:tcPr>
            <w:tcW w:w="1009" w:type="dxa"/>
            <w:noWrap w:val="0"/>
            <w:vAlign w:val="top"/>
          </w:tcPr>
          <w:p>
            <w:pPr>
              <w:widowControl/>
              <w:jc w:val="left"/>
              <w:outlineLvl w:val="1"/>
              <w:rPr>
                <w:rFonts w:ascii="仿宋_GB2312" w:hAnsi="宋体" w:eastAsia="仿宋_GB2312"/>
                <w:color w:val="auto"/>
                <w:kern w:val="0"/>
                <w:sz w:val="28"/>
                <w:szCs w:val="28"/>
                <w:highlight w:val="none"/>
              </w:rPr>
            </w:pPr>
            <w:r>
              <w:rPr>
                <w:rFonts w:hint="eastAsia" w:ascii="仿宋_GB2312" w:hAnsi="宋体" w:eastAsia="仿宋_GB2312"/>
                <w:color w:val="auto"/>
                <w:kern w:val="0"/>
                <w:sz w:val="28"/>
                <w:szCs w:val="28"/>
                <w:highlight w:val="none"/>
              </w:rPr>
              <w:t>　</w:t>
            </w:r>
          </w:p>
        </w:tc>
        <w:tc>
          <w:tcPr>
            <w:tcW w:w="1841" w:type="dxa"/>
            <w:noWrap w:val="0"/>
            <w:vAlign w:val="center"/>
          </w:tcPr>
          <w:p>
            <w:pPr>
              <w:widowControl/>
              <w:jc w:val="center"/>
              <w:outlineLvl w:val="1"/>
              <w:rPr>
                <w:rFonts w:ascii="仿宋_GB2312" w:hAnsi="宋体" w:eastAsia="仿宋_GB2312"/>
                <w:color w:val="auto"/>
                <w:kern w:val="0"/>
                <w:sz w:val="28"/>
                <w:szCs w:val="28"/>
                <w:highlight w:val="none"/>
              </w:rPr>
            </w:pPr>
            <w:r>
              <w:rPr>
                <w:rFonts w:hint="eastAsia" w:ascii="仿宋_GB2312" w:hAnsi="宋体" w:eastAsia="仿宋_GB2312"/>
                <w:b/>
                <w:bCs/>
                <w:color w:val="auto"/>
                <w:kern w:val="0"/>
                <w:sz w:val="18"/>
                <w:szCs w:val="18"/>
                <w:highlight w:val="none"/>
              </w:rPr>
              <w:t>合 计</w:t>
            </w:r>
          </w:p>
        </w:tc>
        <w:tc>
          <w:tcPr>
            <w:tcW w:w="8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7322.82</w:t>
            </w:r>
          </w:p>
        </w:tc>
        <w:tc>
          <w:tcPr>
            <w:tcW w:w="24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81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2823</w:t>
            </w: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4.02</w:t>
            </w:r>
          </w:p>
        </w:tc>
        <w:tc>
          <w:tcPr>
            <w:tcW w:w="750" w:type="dxa"/>
            <w:gridSpan w:val="2"/>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p>
        </w:tc>
        <w:tc>
          <w:tcPr>
            <w:tcW w:w="75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1470.00</w:t>
            </w:r>
          </w:p>
        </w:tc>
        <w:tc>
          <w:tcPr>
            <w:tcW w:w="960" w:type="dxa"/>
            <w:noWrap w:val="0"/>
            <w:vAlign w:val="center"/>
          </w:tcPr>
          <w:p>
            <w:pPr>
              <w:keepNext w:val="0"/>
              <w:keepLines w:val="0"/>
              <w:widowControl/>
              <w:suppressLineNumbers w:val="0"/>
              <w:jc w:val="left"/>
              <w:textAlignment w:val="center"/>
              <w:rPr>
                <w:rFonts w:hint="default" w:ascii="仿宋" w:hAnsi="仿宋" w:eastAsia="仿宋" w:cs="仿宋"/>
                <w:i w:val="0"/>
                <w:color w:val="000000"/>
                <w:kern w:val="0"/>
                <w:sz w:val="16"/>
                <w:szCs w:val="16"/>
                <w:highlight w:val="none"/>
                <w:u w:val="none"/>
                <w:lang w:val="en-US" w:eastAsia="zh-CN" w:bidi="ar"/>
              </w:rPr>
            </w:pPr>
            <w:r>
              <w:rPr>
                <w:rFonts w:hint="eastAsia" w:ascii="仿宋" w:hAnsi="仿宋" w:eastAsia="仿宋" w:cs="仿宋"/>
                <w:i w:val="0"/>
                <w:color w:val="000000"/>
                <w:kern w:val="0"/>
                <w:sz w:val="16"/>
                <w:szCs w:val="16"/>
                <w:highlight w:val="none"/>
                <w:u w:val="none"/>
                <w:lang w:val="en-US" w:eastAsia="zh-CN" w:bidi="ar"/>
              </w:rPr>
              <w:t>3025.80</w:t>
            </w:r>
          </w:p>
        </w:tc>
        <w:tc>
          <w:tcPr>
            <w:tcW w:w="660"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240"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630" w:type="dxa"/>
            <w:gridSpan w:val="2"/>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6"/>
                <w:szCs w:val="16"/>
                <w:highlight w:val="none"/>
                <w:u w:val="none"/>
                <w:lang w:val="en-US" w:eastAsia="zh-CN" w:bidi="ar"/>
              </w:rPr>
            </w:pPr>
          </w:p>
        </w:tc>
        <w:tc>
          <w:tcPr>
            <w:tcW w:w="240" w:type="dxa"/>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18"/>
                <w:szCs w:val="18"/>
                <w:highlight w:val="none"/>
                <w:u w:val="none"/>
                <w:lang w:val="en-US" w:eastAsia="zh-CN" w:bidi="ar"/>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编制单位：呼图壁县住房和城乡建设局</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default" w:ascii="Calibri" w:hAnsi="Calibri" w:eastAsia="宋体" w:cs="Calibri"/>
                <w:i w:val="0"/>
                <w:iCs w:val="0"/>
                <w:color w:val="000000"/>
                <w:kern w:val="0"/>
                <w:sz w:val="22"/>
                <w:szCs w:val="22"/>
                <w:highlight w:val="none"/>
                <w:u w:val="none"/>
                <w:lang w:val="en-US" w:eastAsia="zh-CN" w:bidi="ar"/>
              </w:rPr>
              <w:t>212</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32"/>
                <w:szCs w:val="32"/>
                <w:highlight w:val="none"/>
              </w:rPr>
            </w:pP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城乡社区支出</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1"/>
                <w:szCs w:val="21"/>
                <w:highlight w:val="none"/>
              </w:rPr>
            </w:pPr>
            <w:r>
              <w:rPr>
                <w:rFonts w:hint="default" w:ascii="Calibri" w:hAnsi="Calibri" w:eastAsia="宋体" w:cs="Calibri"/>
                <w:i w:val="0"/>
                <w:iCs w:val="0"/>
                <w:color w:val="000000"/>
                <w:kern w:val="0"/>
                <w:sz w:val="22"/>
                <w:szCs w:val="22"/>
                <w:highlight w:val="none"/>
                <w:u w:val="none"/>
                <w:lang w:val="en-US" w:eastAsia="zh-CN" w:bidi="ar"/>
              </w:rPr>
              <w:t>212</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08　</w:t>
            </w:r>
          </w:p>
        </w:tc>
        <w:tc>
          <w:tcPr>
            <w:tcW w:w="656"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国有土地使用权出让收入安排的支出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212</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Calibri" w:hAnsi="Calibri" w:eastAsia="宋体" w:cs="Calibri"/>
                <w:i w:val="0"/>
                <w:iCs w:val="0"/>
                <w:color w:val="000000"/>
                <w:kern w:val="0"/>
                <w:sz w:val="22"/>
                <w:szCs w:val="22"/>
                <w:highlight w:val="none"/>
                <w:u w:val="none"/>
                <w:lang w:val="en-US" w:eastAsia="zh-CN" w:bidi="ar"/>
              </w:rPr>
            </w:pPr>
            <w:r>
              <w:rPr>
                <w:rFonts w:hint="eastAsia" w:ascii="Calibri" w:hAnsi="Calibri" w:eastAsia="宋体" w:cs="Calibri"/>
                <w:i w:val="0"/>
                <w:iCs w:val="0"/>
                <w:color w:val="000000"/>
                <w:kern w:val="0"/>
                <w:sz w:val="22"/>
                <w:szCs w:val="22"/>
                <w:highlight w:val="none"/>
                <w:u w:val="none"/>
                <w:lang w:val="en-US" w:eastAsia="zh-CN" w:bidi="ar"/>
              </w:rPr>
              <w:t>08</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99</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其他国有土地使用权出让收入安排的支出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2612.43</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04</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其他政府性基金及对应专项债务收入安排的支出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229</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04</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02</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其他地方自行试点项目收益专项债券收入安排的支出</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b/>
                <w:bCs/>
                <w:color w:val="auto"/>
                <w:kern w:val="0"/>
                <w:sz w:val="32"/>
                <w:szCs w:val="32"/>
                <w:highlight w:val="none"/>
              </w:rPr>
            </w:pPr>
            <w:r>
              <w:rPr>
                <w:rFonts w:hint="default" w:ascii="Calibri" w:hAnsi="Calibri" w:eastAsia="宋体" w:cs="Calibri"/>
                <w:i w:val="0"/>
                <w:iCs w:val="0"/>
                <w:color w:val="000000"/>
                <w:kern w:val="0"/>
                <w:sz w:val="22"/>
                <w:szCs w:val="22"/>
                <w:highlight w:val="none"/>
                <w:u w:val="none"/>
                <w:lang w:val="en-US" w:eastAsia="zh-CN" w:bidi="ar"/>
              </w:rPr>
              <w:t>11410.16</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14022.59</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top"/>
              <w:rPr>
                <w:rFonts w:ascii="仿宋_GB2312" w:hAnsi="宋体" w:eastAsia="仿宋_GB2312" w:cs="宋体"/>
                <w:color w:val="auto"/>
                <w:kern w:val="0"/>
                <w:sz w:val="24"/>
                <w:highlight w:val="none"/>
              </w:rPr>
            </w:pPr>
            <w:r>
              <w:rPr>
                <w:rFonts w:hint="default" w:ascii="Calibri" w:hAnsi="Calibri" w:eastAsia="宋体" w:cs="Calibri"/>
                <w:i w:val="0"/>
                <w:iCs w:val="0"/>
                <w:color w:val="000000"/>
                <w:kern w:val="0"/>
                <w:sz w:val="22"/>
                <w:szCs w:val="22"/>
                <w:highlight w:val="none"/>
                <w:u w:val="none"/>
                <w:lang w:val="en-US" w:eastAsia="zh-CN" w:bidi="ar"/>
              </w:rPr>
              <w:t>14022.59</w:t>
            </w:r>
          </w:p>
        </w:tc>
      </w:tr>
    </w:tbl>
    <w:p>
      <w:pPr>
        <w:widowControl/>
        <w:spacing w:line="280" w:lineRule="exact"/>
        <w:outlineLvl w:val="1"/>
        <w:rPr>
          <w:rFonts w:hint="eastAsia" w:ascii="仿宋_GB2312" w:hAnsi="宋体" w:eastAsia="仿宋_GB2312"/>
          <w:b/>
          <w:color w:val="auto"/>
          <w:kern w:val="0"/>
          <w:sz w:val="28"/>
          <w:szCs w:val="32"/>
          <w:highlight w:val="none"/>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5"/>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w:t>
      </w:r>
      <w:r>
        <w:rPr>
          <w:rFonts w:hint="eastAsia" w:ascii="仿宋_GB2312" w:hAnsi="宋体" w:eastAsia="仿宋_GB2312"/>
          <w:b/>
          <w:kern w:val="0"/>
          <w:sz w:val="28"/>
          <w:szCs w:val="32"/>
          <w:highlight w:val="none"/>
        </w:rPr>
        <w:t>无</w:t>
      </w:r>
      <w:r>
        <w:rPr>
          <w:rFonts w:hint="eastAsia" w:ascii="仿宋_GB2312" w:hAnsi="宋体" w:eastAsia="仿宋_GB2312"/>
          <w:b/>
          <w:kern w:val="0"/>
          <w:sz w:val="28"/>
          <w:szCs w:val="32"/>
          <w:highlight w:val="none"/>
          <w:lang w:val="en-US" w:eastAsia="zh-CN"/>
        </w:rPr>
        <w:t>国有资本经营预算支出</w:t>
      </w:r>
      <w:r>
        <w:rPr>
          <w:rFonts w:hint="eastAsia" w:ascii="仿宋_GB2312" w:hAnsi="宋体" w:eastAsia="仿宋_GB2312"/>
          <w:b/>
          <w:color w:val="auto"/>
          <w:kern w:val="0"/>
          <w:sz w:val="28"/>
          <w:szCs w:val="32"/>
          <w:highlight w:val="none"/>
          <w:lang w:val="en-US" w:eastAsia="zh-CN"/>
        </w:rPr>
        <w:t>,此表为空表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6"/>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9.6</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6"/>
        <w:tblpPr w:leftFromText="180" w:rightFromText="180" w:vertAnchor="text" w:horzAnchor="page" w:tblpX="852" w:tblpY="190"/>
        <w:tblOverlap w:val="never"/>
        <w:tblW w:w="10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8"/>
        <w:gridCol w:w="840"/>
        <w:gridCol w:w="795"/>
        <w:gridCol w:w="750"/>
        <w:gridCol w:w="765"/>
        <w:gridCol w:w="1095"/>
        <w:gridCol w:w="660"/>
        <w:gridCol w:w="1050"/>
        <w:gridCol w:w="117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458"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4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405"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975"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2458"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4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15"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9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66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222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95"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2458"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4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65"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95"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66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17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095"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关于下达昌吉州2023年第一批州级预算内投资的通知-2023年第一批州级预算内投资（前期费）</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315</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315</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315</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关于下达2023年新疆、西藏、四省涉藏州县建设专项（第一批）中央基建投资预算的通知-昌吉州呼图壁县三水厂输水管线扩容工程项目</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1470</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1470</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1470</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关于下达2023年第三批自治区预算内投资的通知-2023年城市更新(前期费)</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178</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178</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178</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昌州财社【2023】35号 中央财政农村危房改造补助资金（11.43）</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4.02</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4.02</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4.02</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昌州财建【2022】109号 2023年部分中央财政城镇保障性安居工程补助资金1914万</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152.8</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152.8</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152.8</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2458" w:type="dxa"/>
            <w:noWrap w:val="0"/>
            <w:vAlign w:val="center"/>
          </w:tcPr>
          <w:p>
            <w:pPr>
              <w:keepNext w:val="0"/>
              <w:keepLines w:val="0"/>
              <w:widowControl/>
              <w:suppressLineNumbers w:val="0"/>
              <w:jc w:val="left"/>
              <w:textAlignment w:val="center"/>
              <w:rPr>
                <w:rFonts w:ascii="仿宋" w:hAnsi="仿宋" w:eastAsia="仿宋" w:cs="仿宋_GB2312"/>
                <w:bCs/>
                <w:color w:val="auto"/>
                <w:kern w:val="0"/>
                <w:sz w:val="28"/>
                <w:szCs w:val="28"/>
                <w:highlight w:val="none"/>
              </w:rPr>
            </w:pPr>
            <w:r>
              <w:rPr>
                <w:rFonts w:hint="eastAsia" w:ascii="宋体" w:hAnsi="宋体" w:eastAsia="宋体" w:cs="宋体"/>
                <w:i w:val="0"/>
                <w:iCs w:val="0"/>
                <w:color w:val="000000"/>
                <w:kern w:val="0"/>
                <w:sz w:val="22"/>
                <w:szCs w:val="22"/>
                <w:highlight w:val="none"/>
                <w:u w:val="none"/>
                <w:lang w:val="en-US" w:eastAsia="zh-CN" w:bidi="ar"/>
              </w:rPr>
              <w:t>昌州财建【2023】80号 2023年城市燃气管道等老化更新改造和保障性安居工程专项中央基建投资</w:t>
            </w:r>
          </w:p>
        </w:tc>
        <w:tc>
          <w:tcPr>
            <w:tcW w:w="840"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2132</w:t>
            </w:r>
          </w:p>
        </w:tc>
        <w:tc>
          <w:tcPr>
            <w:tcW w:w="7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2132</w:t>
            </w:r>
          </w:p>
        </w:tc>
        <w:tc>
          <w:tcPr>
            <w:tcW w:w="750"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765" w:type="dxa"/>
            <w:noWrap w:val="0"/>
            <w:vAlign w:val="center"/>
          </w:tcPr>
          <w:p>
            <w:pPr>
              <w:widowControl/>
              <w:spacing w:line="280" w:lineRule="exact"/>
              <w:jc w:val="right"/>
              <w:rPr>
                <w:rFonts w:hint="eastAsia" w:ascii="仿宋_GB2312" w:hAnsi="宋体" w:eastAsia="仿宋_GB2312" w:cs="宋体"/>
                <w:b/>
                <w:bCs/>
                <w:color w:val="auto"/>
                <w:kern w:val="0"/>
                <w:sz w:val="20"/>
                <w:szCs w:val="20"/>
                <w:highlight w:val="none"/>
                <w:lang w:val="en-US" w:eastAsia="zh-CN"/>
              </w:rPr>
            </w:pPr>
          </w:p>
        </w:tc>
        <w:tc>
          <w:tcPr>
            <w:tcW w:w="1095" w:type="dxa"/>
            <w:noWrap w:val="0"/>
            <w:vAlign w:val="center"/>
          </w:tcPr>
          <w:p>
            <w:pPr>
              <w:keepNext w:val="0"/>
              <w:keepLines w:val="0"/>
              <w:widowControl/>
              <w:suppressLineNumbers w:val="0"/>
              <w:jc w:val="right"/>
              <w:textAlignment w:val="top"/>
              <w:rPr>
                <w:rFonts w:ascii="仿宋" w:hAnsi="仿宋" w:eastAsia="仿宋" w:cs="仿宋_GB2312"/>
                <w:bCs/>
                <w:color w:val="auto"/>
                <w:kern w:val="0"/>
                <w:sz w:val="28"/>
                <w:szCs w:val="28"/>
                <w:highlight w:val="none"/>
              </w:rPr>
            </w:pPr>
            <w:r>
              <w:rPr>
                <w:rFonts w:hint="default" w:ascii="Calibri" w:hAnsi="Calibri" w:eastAsia="宋体" w:cs="Calibri"/>
                <w:i w:val="0"/>
                <w:iCs w:val="0"/>
                <w:color w:val="000000"/>
                <w:kern w:val="0"/>
                <w:sz w:val="22"/>
                <w:szCs w:val="22"/>
                <w:highlight w:val="none"/>
                <w:u w:val="none"/>
                <w:lang w:val="en-US" w:eastAsia="zh-CN" w:bidi="ar"/>
              </w:rPr>
              <w:t>2132</w:t>
            </w:r>
          </w:p>
        </w:tc>
        <w:tc>
          <w:tcPr>
            <w:tcW w:w="66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17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95"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kern w:val="0"/>
          <w:sz w:val="32"/>
          <w:szCs w:val="32"/>
          <w:highlight w:val="none"/>
          <w:lang w:eastAsia="zh-CN"/>
        </w:rPr>
        <w:t>单位</w:t>
      </w:r>
      <w:r>
        <w:rPr>
          <w:rFonts w:hint="eastAsia" w:ascii="黑体" w:hAnsi="黑体" w:eastAsia="黑体"/>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22672.41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3798万元</w:t>
      </w: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2612.43万元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15661.98万元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支出预算包括：社会保障和就业支出</w:t>
      </w:r>
      <w:r>
        <w:rPr>
          <w:rFonts w:hint="eastAsia" w:ascii="仿宋_GB2312" w:hAnsi="宋体" w:eastAsia="仿宋_GB2312" w:cs="宋体"/>
          <w:color w:val="auto"/>
          <w:kern w:val="0"/>
          <w:sz w:val="32"/>
          <w:szCs w:val="32"/>
          <w:highlight w:val="none"/>
          <w:lang w:val="en-US" w:eastAsia="zh-CN"/>
        </w:rPr>
        <w:t>227.21万元</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113.29万元</w:t>
      </w:r>
      <w:r>
        <w:rPr>
          <w:rFonts w:hint="eastAsia" w:ascii="仿宋_GB2312" w:hAnsi="宋体" w:eastAsia="仿宋_GB2312" w:cs="宋体"/>
          <w:color w:val="auto"/>
          <w:kern w:val="0"/>
          <w:sz w:val="32"/>
          <w:szCs w:val="32"/>
          <w:highlight w:val="none"/>
        </w:rPr>
        <w:t>、城乡社区支出</w:t>
      </w:r>
      <w:r>
        <w:rPr>
          <w:rFonts w:hint="eastAsia" w:ascii="仿宋_GB2312" w:hAnsi="宋体" w:eastAsia="仿宋_GB2312" w:cs="宋体"/>
          <w:color w:val="auto"/>
          <w:kern w:val="0"/>
          <w:sz w:val="32"/>
          <w:szCs w:val="32"/>
          <w:highlight w:val="none"/>
          <w:lang w:val="en-US" w:eastAsia="zh-CN"/>
        </w:rPr>
        <w:t>8255.8万元</w:t>
      </w:r>
      <w:r>
        <w:rPr>
          <w:rFonts w:hint="eastAsia" w:ascii="仿宋_GB2312" w:hAnsi="宋体" w:eastAsia="仿宋_GB2312" w:cs="宋体"/>
          <w:color w:val="auto"/>
          <w:kern w:val="0"/>
          <w:sz w:val="32"/>
          <w:szCs w:val="32"/>
          <w:highlight w:val="none"/>
        </w:rPr>
        <w:t>、住房保障支出</w:t>
      </w:r>
      <w:r>
        <w:rPr>
          <w:rFonts w:hint="eastAsia" w:ascii="仿宋_GB2312" w:hAnsi="宋体" w:eastAsia="仿宋_GB2312" w:cs="宋体"/>
          <w:color w:val="auto"/>
          <w:kern w:val="0"/>
          <w:sz w:val="32"/>
          <w:szCs w:val="32"/>
          <w:highlight w:val="none"/>
          <w:lang w:val="en-US" w:eastAsia="zh-CN"/>
        </w:rPr>
        <w:t>2665.96万元</w:t>
      </w:r>
      <w:r>
        <w:rPr>
          <w:rFonts w:hint="eastAsia" w:ascii="仿宋_GB2312" w:hAnsi="宋体" w:eastAsia="仿宋_GB2312" w:cs="宋体"/>
          <w:color w:val="auto"/>
          <w:kern w:val="0"/>
          <w:sz w:val="32"/>
          <w:szCs w:val="32"/>
          <w:highlight w:val="none"/>
        </w:rPr>
        <w:t>、其他支出</w:t>
      </w:r>
      <w:r>
        <w:rPr>
          <w:rFonts w:hint="eastAsia" w:ascii="仿宋_GB2312" w:hAnsi="宋体" w:eastAsia="仿宋_GB2312" w:cs="宋体"/>
          <w:color w:val="auto"/>
          <w:kern w:val="0"/>
          <w:sz w:val="32"/>
          <w:szCs w:val="32"/>
          <w:highlight w:val="none"/>
          <w:lang w:val="en-US" w:eastAsia="zh-CN"/>
        </w:rPr>
        <w:t>11410.16万元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22672.41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3798.01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16.75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7941.39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67.65%，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2024年水污染防治预算资金减少</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kern w:val="0"/>
          <w:sz w:val="32"/>
          <w:szCs w:val="32"/>
          <w:highlight w:val="none"/>
          <w:lang w:val="en-US" w:eastAsia="zh-CN"/>
        </w:rPr>
        <w:t>2023年部分中央财政城镇保障性安居工程老旧小区改造补助预算资金财政拨款结转；</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261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261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今年将</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kern w:val="0"/>
          <w:sz w:val="32"/>
          <w:szCs w:val="32"/>
          <w:highlight w:val="none"/>
          <w:lang w:val="en-US" w:eastAsia="zh-CN"/>
        </w:rPr>
        <w:t>纳入财政预算管理</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2612.43</w:t>
      </w:r>
      <w:r>
        <w:rPr>
          <w:rFonts w:hint="eastAsia" w:ascii="仿宋_GB2312" w:hAnsi="宋体" w:eastAsia="仿宋_GB2312" w:cs="宋体"/>
          <w:color w:val="auto"/>
          <w:kern w:val="0"/>
          <w:sz w:val="32"/>
          <w:szCs w:val="32"/>
          <w:highlight w:val="none"/>
        </w:rPr>
        <w:t>万元， 占</w:t>
      </w:r>
      <w:r>
        <w:rPr>
          <w:rFonts w:hint="eastAsia" w:ascii="仿宋_GB2312" w:hAnsi="宋体" w:eastAsia="仿宋_GB2312" w:cs="宋体"/>
          <w:color w:val="auto"/>
          <w:kern w:val="0"/>
          <w:sz w:val="32"/>
          <w:szCs w:val="32"/>
          <w:highlight w:val="none"/>
          <w:lang w:val="en-US" w:eastAsia="zh-CN"/>
        </w:rPr>
        <w:t>11.52</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1466.6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127.99%，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增加其他国有土地使用权出让收入安排的支出。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上级国有资本经营预算安排的转移支付资金未安排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220.39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26.86%，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其他城乡社区公共设施支出减少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15661.98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69.08</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15661.98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今年将</w:t>
      </w: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kern w:val="0"/>
          <w:sz w:val="32"/>
          <w:szCs w:val="32"/>
          <w:highlight w:val="none"/>
          <w:lang w:val="en-US" w:eastAsia="zh-CN"/>
        </w:rPr>
        <w:t>纳入财政预算管理</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22672.41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1327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5.85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721.57</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119.18%，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人员增加导致人员经费预算增加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21345.41</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94.15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8245.23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62.94%，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增加其他地方自行试点项目收益专项债券收入安排的支出资金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22072.41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8049.82</w:t>
      </w:r>
      <w:r>
        <w:rPr>
          <w:rFonts w:hint="eastAsia" w:ascii="仿宋_GB2312" w:hAnsi="宋体" w:eastAsia="仿宋_GB2312" w:cs="宋体"/>
          <w:color w:val="auto"/>
          <w:kern w:val="0"/>
          <w:sz w:val="32"/>
          <w:szCs w:val="32"/>
          <w:highlight w:val="none"/>
        </w:rPr>
        <w:t>万元，政府性基金预算拨款</w:t>
      </w:r>
      <w:r>
        <w:rPr>
          <w:rFonts w:hint="eastAsia" w:ascii="仿宋_GB2312" w:hAnsi="宋体" w:eastAsia="仿宋_GB2312" w:cs="宋体"/>
          <w:color w:val="auto"/>
          <w:kern w:val="0"/>
          <w:sz w:val="32"/>
          <w:szCs w:val="32"/>
          <w:highlight w:val="none"/>
          <w:lang w:val="en-US" w:eastAsia="zh-CN"/>
        </w:rPr>
        <w:t>14022.59</w:t>
      </w:r>
      <w:r>
        <w:rPr>
          <w:rFonts w:hint="eastAsia" w:ascii="仿宋_GB2312" w:hAnsi="宋体" w:eastAsia="仿宋_GB2312" w:cs="宋体"/>
          <w:color w:val="auto"/>
          <w:kern w:val="0"/>
          <w:sz w:val="32"/>
          <w:szCs w:val="32"/>
          <w:highlight w:val="none"/>
        </w:rPr>
        <w:t>万。</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社会保障和就业支出77.21</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kern w:val="0"/>
          <w:sz w:val="32"/>
          <w:szCs w:val="32"/>
          <w:highlight w:val="none"/>
        </w:rPr>
        <w:t>机关事业单位养老保险</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卫生健康支出43.29万元，主要用于行政事业单位医疗、公务员医疗补助和退休人员大病保险支出；</w:t>
      </w:r>
      <w:r>
        <w:rPr>
          <w:rFonts w:hint="eastAsia" w:ascii="仿宋_GB2312" w:hAnsi="宋体" w:eastAsia="仿宋_GB2312" w:cs="宋体"/>
          <w:kern w:val="0"/>
          <w:sz w:val="32"/>
          <w:szCs w:val="32"/>
          <w:highlight w:val="none"/>
        </w:rPr>
        <w:t>城乡社区支出</w:t>
      </w:r>
      <w:r>
        <w:rPr>
          <w:rFonts w:hint="eastAsia" w:ascii="仿宋_GB2312" w:hAnsi="宋体" w:eastAsia="仿宋_GB2312" w:cs="宋体"/>
          <w:kern w:val="0"/>
          <w:sz w:val="32"/>
          <w:szCs w:val="32"/>
          <w:highlight w:val="none"/>
          <w:lang w:val="en-US" w:eastAsia="zh-CN"/>
        </w:rPr>
        <w:t>5323.37万元，</w:t>
      </w:r>
      <w:r>
        <w:rPr>
          <w:rFonts w:hint="eastAsia" w:ascii="仿宋_GB2312" w:hAnsi="宋体" w:eastAsia="仿宋_GB2312" w:cs="宋体"/>
          <w:kern w:val="0"/>
          <w:sz w:val="32"/>
          <w:szCs w:val="32"/>
          <w:highlight w:val="none"/>
        </w:rPr>
        <w:t>主要用于人员经费、公用经费</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公用设施用电费、</w:t>
      </w:r>
      <w:r>
        <w:rPr>
          <w:rFonts w:hint="eastAsia" w:ascii="仿宋_GB2312" w:hAnsi="宋体" w:eastAsia="仿宋_GB2312" w:cs="宋体"/>
          <w:kern w:val="0"/>
          <w:sz w:val="32"/>
          <w:szCs w:val="32"/>
          <w:highlight w:val="none"/>
          <w:lang w:val="en-US" w:eastAsia="zh-CN"/>
        </w:rPr>
        <w:t>城区公共绿地绿化养护费、城区公共绿地绿化用水费支出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住房保障支出2605.96万元，主要用于中央财政城镇保障性安居工程老旧小区改造、住房公积金支出。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支出包括：</w:t>
      </w:r>
      <w:r>
        <w:rPr>
          <w:rFonts w:hint="eastAsia" w:ascii="仿宋_GB2312" w:hAnsi="宋体" w:eastAsia="仿宋_GB2312" w:cs="宋体"/>
          <w:kern w:val="0"/>
          <w:sz w:val="32"/>
          <w:szCs w:val="32"/>
          <w:highlight w:val="none"/>
        </w:rPr>
        <w:t>城乡社区支出</w:t>
      </w:r>
      <w:r>
        <w:rPr>
          <w:rFonts w:hint="eastAsia" w:ascii="仿宋_GB2312" w:hAnsi="宋体" w:eastAsia="仿宋_GB2312" w:cs="宋体"/>
          <w:kern w:val="0"/>
          <w:sz w:val="32"/>
          <w:szCs w:val="32"/>
          <w:highlight w:val="none"/>
          <w:lang w:val="en-US" w:eastAsia="zh-CN"/>
        </w:rPr>
        <w:t>2612.43</w:t>
      </w:r>
      <w:r>
        <w:rPr>
          <w:rFonts w:hint="eastAsia" w:ascii="仿宋_GB2312" w:hAnsi="宋体" w:eastAsia="仿宋_GB2312" w:cs="宋体"/>
          <w:color w:val="auto"/>
          <w:kern w:val="0"/>
          <w:sz w:val="32"/>
          <w:szCs w:val="32"/>
          <w:highlight w:val="none"/>
          <w:lang w:val="en-US" w:eastAsia="zh-CN"/>
        </w:rPr>
        <w:t>万元，主要用于</w:t>
      </w:r>
      <w:r>
        <w:rPr>
          <w:rFonts w:hint="eastAsia" w:ascii="仿宋_GB2312" w:hAnsi="宋体" w:eastAsia="仿宋_GB2312" w:cs="宋体"/>
          <w:kern w:val="0"/>
          <w:sz w:val="32"/>
          <w:szCs w:val="32"/>
          <w:highlight w:val="none"/>
        </w:rPr>
        <w:t>城乡公共基础设施建设等方面政府债务还款支出</w:t>
      </w:r>
      <w:r>
        <w:rPr>
          <w:rFonts w:hint="eastAsia" w:ascii="仿宋_GB2312" w:hAnsi="宋体" w:eastAsia="仿宋_GB2312" w:cs="宋体"/>
          <w:color w:val="auto"/>
          <w:kern w:val="0"/>
          <w:sz w:val="32"/>
          <w:szCs w:val="32"/>
          <w:highlight w:val="none"/>
          <w:lang w:val="en-US" w:eastAsia="zh-CN"/>
        </w:rPr>
        <w:t>；其他支出11410.16万元，主要用于增加其他地方自行试点项目收益专项债券收入安排的支出。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8049.82</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727</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121.57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20.08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人员增加导致人员经费预算增加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7322.82</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减少4956.97</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增长40.37</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kern w:val="0"/>
          <w:sz w:val="32"/>
          <w:szCs w:val="32"/>
          <w:highlight w:val="none"/>
          <w:lang w:val="en-US" w:eastAsia="zh-CN"/>
        </w:rPr>
        <w:t>2024年</w:t>
      </w:r>
      <w:r>
        <w:rPr>
          <w:rFonts w:hint="eastAsia" w:ascii="仿宋_GB2312" w:hAnsi="宋体" w:eastAsia="仿宋_GB2312" w:cs="宋体"/>
          <w:color w:val="auto"/>
          <w:kern w:val="0"/>
          <w:sz w:val="32"/>
          <w:szCs w:val="32"/>
          <w:highlight w:val="none"/>
          <w:lang w:val="en-US" w:eastAsia="zh-CN"/>
        </w:rPr>
        <w:t>水污染防治预算资金的支出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宋体" w:eastAsia="仿宋_GB2312" w:cs="宋体"/>
          <w:kern w:val="0"/>
          <w:sz w:val="32"/>
          <w:szCs w:val="32"/>
          <w:highlight w:val="none"/>
        </w:rPr>
        <w:t>社会保障和就业支出（类）：</w:t>
      </w:r>
      <w:r>
        <w:rPr>
          <w:rFonts w:hint="eastAsia" w:ascii="仿宋_GB2312" w:hAnsi="宋体" w:eastAsia="仿宋_GB2312" w:cs="宋体"/>
          <w:kern w:val="0"/>
          <w:sz w:val="32"/>
          <w:szCs w:val="32"/>
          <w:highlight w:val="none"/>
          <w:lang w:val="en-US" w:eastAsia="zh-CN"/>
        </w:rPr>
        <w:t>77.21</w:t>
      </w:r>
      <w:r>
        <w:rPr>
          <w:rFonts w:hint="eastAsia" w:ascii="仿宋_GB2312" w:hAnsi="宋体" w:eastAsia="仿宋_GB2312" w:cs="宋体"/>
          <w:kern w:val="0"/>
          <w:sz w:val="32"/>
          <w:szCs w:val="32"/>
          <w:highlight w:val="none"/>
        </w:rPr>
        <w:t>万元，占</w:t>
      </w:r>
      <w:r>
        <w:rPr>
          <w:rFonts w:hint="eastAsia" w:ascii="仿宋_GB2312" w:hAnsi="宋体" w:eastAsia="仿宋_GB2312" w:cs="宋体"/>
          <w:kern w:val="0"/>
          <w:sz w:val="32"/>
          <w:szCs w:val="32"/>
          <w:highlight w:val="none"/>
          <w:lang w:val="en-US" w:eastAsia="zh-CN"/>
        </w:rPr>
        <w:t>0.96</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2</w:t>
      </w:r>
      <w:r>
        <w:rPr>
          <w:rFonts w:hint="eastAsia" w:ascii="仿宋_GB2312" w:hAnsi="宋体" w:eastAsia="仿宋_GB2312" w:cs="宋体"/>
          <w:kern w:val="0"/>
          <w:sz w:val="32"/>
          <w:szCs w:val="32"/>
          <w:highlight w:val="none"/>
          <w:lang w:val="en-US" w:eastAsia="zh-CN"/>
        </w:rPr>
        <w:t>.</w:t>
      </w:r>
      <w:r>
        <w:rPr>
          <w:rFonts w:hint="eastAsia" w:ascii="仿宋_GB2312" w:hAnsi="宋体" w:eastAsia="仿宋_GB2312" w:cs="宋体"/>
          <w:kern w:val="0"/>
          <w:sz w:val="32"/>
          <w:szCs w:val="32"/>
          <w:highlight w:val="none"/>
        </w:rPr>
        <w:t>卫生健康支出</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类</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lang w:val="en-US" w:eastAsia="zh-CN"/>
        </w:rPr>
        <w:t>43.29万元，占0.54%。</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城乡社区支出（类）：</w:t>
      </w:r>
      <w:r>
        <w:rPr>
          <w:rFonts w:hint="eastAsia" w:ascii="仿宋_GB2312" w:hAnsi="宋体" w:eastAsia="仿宋_GB2312" w:cs="宋体"/>
          <w:kern w:val="0"/>
          <w:sz w:val="32"/>
          <w:szCs w:val="32"/>
          <w:highlight w:val="none"/>
          <w:lang w:val="en-US" w:eastAsia="zh-CN"/>
        </w:rPr>
        <w:t>5323.37万元，占66.13%。</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4.住房保障支出（类）：2605.96万元，占32.37%。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社会保障和就业支出（208类）行政事业单位养老支出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行政单位离退休</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01</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4.81</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增加4.81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此项预算支出上年在2080502事业单位离退休支出列支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2.</w:t>
      </w:r>
      <w:r>
        <w:rPr>
          <w:rFonts w:hint="eastAsia" w:ascii="仿宋_GB2312" w:hAnsi="宋体" w:eastAsia="仿宋_GB2312" w:cs="宋体"/>
          <w:kern w:val="0"/>
          <w:sz w:val="32"/>
          <w:szCs w:val="32"/>
          <w:highlight w:val="none"/>
        </w:rPr>
        <w:t>社会保障和就业支出（208类）行政事业单位养老支出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lang w:val="en-US" w:eastAsia="zh-CN"/>
        </w:rPr>
        <w:t>事业单位离退休</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02</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4.89</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减少7.76</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减少61.34</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此项预算支出上年未将2080501行政离退休和2080502事业单位离退休分开列支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3.</w:t>
      </w:r>
      <w:r>
        <w:rPr>
          <w:rFonts w:hint="eastAsia" w:ascii="仿宋_GB2312" w:hAnsi="宋体" w:eastAsia="仿宋_GB2312" w:cs="宋体"/>
          <w:kern w:val="0"/>
          <w:sz w:val="32"/>
          <w:szCs w:val="32"/>
          <w:highlight w:val="none"/>
        </w:rPr>
        <w:t>社会保障和就业支出（208类）行政事业单位养老支出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款）</w:t>
      </w:r>
      <w:r>
        <w:rPr>
          <w:rFonts w:hint="eastAsia" w:ascii="仿宋_GB2312" w:hAnsi="宋体" w:eastAsia="仿宋_GB2312" w:cs="宋体"/>
          <w:kern w:val="0"/>
          <w:sz w:val="32"/>
          <w:szCs w:val="32"/>
          <w:highlight w:val="none"/>
        </w:rPr>
        <w:t>机关事业单位基本养老保险缴费支出</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05</w:t>
      </w:r>
      <w:r>
        <w:rPr>
          <w:rFonts w:ascii="仿宋_GB2312" w:hAnsi="宋体" w:eastAsia="仿宋_GB2312" w:cs="宋体"/>
          <w:kern w:val="0"/>
          <w:sz w:val="32"/>
          <w:szCs w:val="32"/>
          <w:highlight w:val="none"/>
        </w:rPr>
        <w:t>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67.51</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增加18.09</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增长36.6</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4.卫生健康支出（210类）行政事业单位医疗（11款）行政单位医疗（01项）：2024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9.38</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减少20.72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减少68.84</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此项预算支出上年未将2101101行政单位医疗和2101102事业单位医疗分开列支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5.卫生健康支出（210类）行政事业单位医疗（11款）事业单位医疗（02项）：2024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24.37</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增长24.37</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此项预算支出上年在2101101行政单位医疗支出列支</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6.卫生健康支出（210类）行政事业单位医疗（11款）公务员医疗补助（03项）：2024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9.28</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增长1</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增长12.08</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7.卫生健康支出（210类）行政事业单位医疗（11款）其他行政事业单位医疗支出（99项）：2024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0.25</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增长0.25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此项预算支出上年在2101101行政单位医疗支出列支</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val="en-US" w:eastAsia="zh-CN"/>
        </w:rPr>
        <w:t>8.</w:t>
      </w:r>
      <w:r>
        <w:rPr>
          <w:rFonts w:hint="eastAsia" w:ascii="仿宋_GB2312" w:hAnsi="宋体" w:eastAsia="仿宋_GB2312" w:cs="宋体"/>
          <w:kern w:val="0"/>
          <w:sz w:val="32"/>
          <w:szCs w:val="32"/>
          <w:highlight w:val="none"/>
        </w:rPr>
        <w:t>城乡社区支出</w:t>
      </w:r>
      <w:r>
        <w:rPr>
          <w:rFonts w:hint="eastAsia" w:ascii="仿宋_GB2312" w:hAnsi="宋体" w:eastAsia="仿宋_GB2312" w:cs="宋体"/>
          <w:kern w:val="0"/>
          <w:sz w:val="32"/>
          <w:szCs w:val="32"/>
          <w:highlight w:val="none"/>
          <w:lang w:val="en-US" w:eastAsia="zh-CN"/>
        </w:rPr>
        <w:t>（212类）</w:t>
      </w:r>
      <w:r>
        <w:rPr>
          <w:rFonts w:hint="eastAsia" w:ascii="仿宋_GB2312" w:hAnsi="宋体" w:eastAsia="仿宋_GB2312" w:cs="宋体"/>
          <w:kern w:val="0"/>
          <w:sz w:val="32"/>
          <w:szCs w:val="32"/>
          <w:highlight w:val="none"/>
        </w:rPr>
        <w:t>城乡社区管理事务（01款）行政运行支出（01项）</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550.37</w:t>
      </w:r>
      <w:r>
        <w:rPr>
          <w:rFonts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增长85.35</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增长18.35</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w:t>
      </w:r>
      <w:r>
        <w:rPr>
          <w:rFonts w:hint="eastAsia" w:ascii="仿宋_GB2312" w:hAnsi="宋体" w:eastAsia="仿宋_GB2312" w:cs="宋体"/>
          <w:kern w:val="0"/>
          <w:sz w:val="32"/>
          <w:szCs w:val="32"/>
          <w:highlight w:val="none"/>
        </w:rPr>
        <w:t>城乡社区支出（212类）城乡社区公共设施（03款）</w:t>
      </w:r>
      <w:r>
        <w:rPr>
          <w:rFonts w:hint="eastAsia" w:ascii="仿宋_GB2312" w:hAnsi="宋体" w:eastAsia="仿宋_GB2312" w:cs="宋体"/>
          <w:kern w:val="0"/>
          <w:sz w:val="32"/>
          <w:szCs w:val="32"/>
          <w:highlight w:val="none"/>
          <w:lang w:val="en-US" w:eastAsia="zh-CN"/>
        </w:rPr>
        <w:t>小城镇基础设施建设</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03</w:t>
      </w:r>
      <w:r>
        <w:rPr>
          <w:rFonts w:hint="eastAsia" w:ascii="仿宋_GB2312" w:hAnsi="宋体" w:eastAsia="仿宋_GB2312" w:cs="宋体"/>
          <w:kern w:val="0"/>
          <w:sz w:val="32"/>
          <w:szCs w:val="32"/>
          <w:highlight w:val="none"/>
        </w:rPr>
        <w:t>项）：202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4773</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增加4773</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增长100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此项支出上年在2120399</w:t>
      </w:r>
      <w:r>
        <w:rPr>
          <w:rFonts w:hint="eastAsia" w:ascii="仿宋_GB2312" w:hAnsi="宋体" w:eastAsia="仿宋_GB2312" w:cs="宋体"/>
          <w:kern w:val="0"/>
          <w:sz w:val="32"/>
          <w:szCs w:val="32"/>
          <w:highlight w:val="none"/>
        </w:rPr>
        <w:t>其他城乡社区公共设施支出</w:t>
      </w:r>
      <w:r>
        <w:rPr>
          <w:rFonts w:hint="eastAsia" w:ascii="仿宋_GB2312" w:hAnsi="宋体" w:eastAsia="仿宋_GB2312" w:cs="宋体"/>
          <w:kern w:val="0"/>
          <w:sz w:val="32"/>
          <w:szCs w:val="32"/>
          <w:highlight w:val="none"/>
          <w:lang w:val="en-US" w:eastAsia="zh-CN"/>
        </w:rPr>
        <w:t>列支</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10.住房保障支出（221类）保障性安居工程支出（01款）农村危房改造（05项）：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41.02</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增长41.02</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增加100</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增加农村危房改造预算资金支出</w:t>
      </w:r>
      <w:r>
        <w:rPr>
          <w:rFonts w:hint="eastAsia" w:ascii="仿宋_GB2312" w:hAnsi="宋体" w:eastAsia="仿宋_GB2312" w:cs="宋体"/>
          <w:kern w:val="0"/>
          <w:sz w:val="32"/>
          <w:szCs w:val="32"/>
          <w:highlight w:val="none"/>
          <w:lang w:eastAsia="zh-CN"/>
        </w:rPr>
        <w:t>。</w:t>
      </w:r>
    </w:p>
    <w:p>
      <w:pPr>
        <w:widowControl w:val="0"/>
        <w:spacing w:line="560" w:lineRule="exact"/>
        <w:ind w:firstLine="640" w:firstLineChars="200"/>
        <w:jc w:val="both"/>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11.住房保障支出（221类）保障性安居工程支出（01款）老旧小区改造（08项）：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2508.8</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增长569.8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增加29.39</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增加棚户区改造征收补偿预算资金支出</w:t>
      </w:r>
      <w:r>
        <w:rPr>
          <w:rFonts w:hint="eastAsia" w:ascii="仿宋_GB2312" w:hAnsi="宋体" w:eastAsia="仿宋_GB2312" w:cs="宋体"/>
          <w:kern w:val="0"/>
          <w:sz w:val="32"/>
          <w:szCs w:val="32"/>
          <w:highlight w:val="none"/>
          <w:lang w:eastAsia="zh-CN"/>
        </w:rPr>
        <w:t>。</w:t>
      </w:r>
    </w:p>
    <w:p>
      <w:pPr>
        <w:widowControl w:val="0"/>
        <w:numPr>
          <w:ilvl w:val="0"/>
          <w:numId w:val="0"/>
        </w:numPr>
        <w:spacing w:line="560" w:lineRule="exact"/>
        <w:ind w:firstLine="640" w:firstLineChars="200"/>
        <w:jc w:val="both"/>
        <w:rPr>
          <w:rFonts w:hint="eastAsia" w:ascii="仿宋_GB2312" w:hAnsi="仿宋_GB2312" w:eastAsia="仿宋_GB2312" w:cs="仿宋_GB2312"/>
          <w:kern w:val="0"/>
          <w:sz w:val="32"/>
          <w:szCs w:val="32"/>
          <w:highlight w:val="none"/>
        </w:rPr>
      </w:pPr>
      <w:r>
        <w:rPr>
          <w:rFonts w:hint="eastAsia" w:ascii="仿宋_GB2312" w:hAnsi="宋体" w:eastAsia="仿宋_GB2312" w:cs="宋体"/>
          <w:kern w:val="0"/>
          <w:sz w:val="32"/>
          <w:szCs w:val="32"/>
          <w:highlight w:val="none"/>
          <w:lang w:val="en-US" w:eastAsia="zh-CN"/>
        </w:rPr>
        <w:t>12.住房保障支出（221类）住房改革支出（02款）住房公积金（01项）：</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ascii="仿宋_GB2312" w:hAnsi="宋体" w:eastAsia="仿宋_GB2312" w:cs="宋体"/>
          <w:kern w:val="0"/>
          <w:sz w:val="32"/>
          <w:szCs w:val="32"/>
          <w:highlight w:val="none"/>
        </w:rPr>
        <w:t>年预算数为</w:t>
      </w:r>
      <w:r>
        <w:rPr>
          <w:rFonts w:hint="eastAsia" w:ascii="仿宋_GB2312" w:hAnsi="宋体" w:eastAsia="仿宋_GB2312" w:cs="宋体"/>
          <w:kern w:val="0"/>
          <w:sz w:val="32"/>
          <w:szCs w:val="32"/>
          <w:highlight w:val="none"/>
          <w:lang w:val="en-US" w:eastAsia="zh-CN"/>
        </w:rPr>
        <w:t>56.14</w:t>
      </w:r>
      <w:r>
        <w:rPr>
          <w:rFonts w:hint="eastAsia" w:ascii="仿宋_GB2312" w:hAnsi="宋体" w:eastAsia="仿宋_GB2312" w:cs="宋体"/>
          <w:kern w:val="0"/>
          <w:sz w:val="32"/>
          <w:szCs w:val="32"/>
          <w:highlight w:val="none"/>
        </w:rPr>
        <w:t>万元</w:t>
      </w:r>
      <w:r>
        <w:rPr>
          <w:rFonts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rPr>
        <w:t>比上年预算</w:t>
      </w:r>
      <w:r>
        <w:rPr>
          <w:rFonts w:hint="eastAsia" w:ascii="仿宋_GB2312" w:hAnsi="宋体" w:eastAsia="仿宋_GB2312" w:cs="宋体"/>
          <w:kern w:val="0"/>
          <w:sz w:val="32"/>
          <w:szCs w:val="32"/>
          <w:highlight w:val="none"/>
          <w:lang w:val="en-US" w:eastAsia="zh-CN"/>
        </w:rPr>
        <w:t>增长16.23</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增加40.67</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人员增加，人员工资增资，导致人员经费预算增加</w:t>
      </w:r>
      <w:r>
        <w:rPr>
          <w:rFonts w:hint="eastAsia" w:ascii="仿宋_GB2312" w:hAnsi="宋体" w:eastAsia="仿宋_GB2312" w:cs="宋体"/>
          <w:kern w:val="0"/>
          <w:sz w:val="32"/>
          <w:szCs w:val="32"/>
          <w:highlight w:val="none"/>
          <w:lang w:eastAsia="zh-CN"/>
        </w:rPr>
        <w:t>。</w:t>
      </w:r>
      <w:r>
        <w:rPr>
          <w:rFonts w:hint="eastAsia" w:ascii="仿宋_GB2312" w:hAnsi="仿宋_GB2312" w:eastAsia="仿宋_GB2312" w:cs="仿宋_GB2312"/>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呼图壁县住房和城乡建设局2024</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727</w:t>
      </w:r>
      <w:r>
        <w:rPr>
          <w:rFonts w:hint="eastAsia" w:ascii="仿宋_GB2312" w:hAnsi="宋体" w:eastAsia="仿宋_GB2312" w:cs="宋体"/>
          <w:color w:val="auto"/>
          <w:spacing w:val="-6"/>
          <w:kern w:val="0"/>
          <w:sz w:val="32"/>
          <w:szCs w:val="32"/>
          <w:highlight w:val="none"/>
        </w:rPr>
        <w:t>万元，其中：</w:t>
      </w:r>
    </w:p>
    <w:p>
      <w:pPr>
        <w:pStyle w:val="4"/>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701.02</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奖励金、其他对个人和家庭的补助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25.98</w:t>
      </w:r>
      <w:r>
        <w:rPr>
          <w:rFonts w:hint="eastAsia" w:ascii="仿宋_GB2312" w:hAnsi="宋体" w:eastAsia="仿宋_GB2312" w:cs="宋体"/>
          <w:color w:val="auto"/>
          <w:kern w:val="0"/>
          <w:sz w:val="32"/>
          <w:szCs w:val="32"/>
          <w:highlight w:val="none"/>
        </w:rPr>
        <w:t>万元，主要包括：办公费、水费、邮电费、取暖费、差旅费、公务接待费、工会经费、福利费、公务用车运行维护费等。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关于下达昌吉州2023年第一批州级预算内投资的通知-2023年第一批州级预算内投资（前期费）</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昌州财建【2023】119号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315万元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吉州呼图壁县2023年排水放涝设施建设项目编制初步设计15万元，昌吉州呼图壁县2022年给水管道工程编制初步设计40万元，呼图壁县2022年供热管网工程编制初步设计45万元，昌吉州呼图壁县2022年排水管道工程编制初步设计35万元，昌吉州呼图壁县2022年老旧小区改造内配套基础设施建设项目编制初步设计70万元，呼图壁县城生活垃圾场提质增效项目编制可行性研究报告、初步设计50万元，昌吉州呼图壁县城区供水管网改造工程编制可研报告30万元，昌吉州呼图壁县铁北路市政道路二期项目编制可研报告30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关于下达2023年新疆、西藏、四省涉藏州县建设专项（第一批）中央基建投资预算的通知-昌吉州呼图壁县三水厂输水管线扩容工程项目</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昌州财办建【2023】12号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1470万元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昌吉州呼图壁县三水厂输水管线扩容工程项目1470万元。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亚行贷款项目前期费用及保留资金项目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呼财预【2024】42号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260万元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行贷款项目中调项目跟审费、监理费、水土保持方案报告书、监测、监理等前期费用220万元；HTB-W1、HTB-W2合同包保留金40万元。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4、</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2024年污水处理费</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呼财预【2024】29号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1560万元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历史欠缴污水处理费600万元，2023年8月-2024年7月污水处理费960万元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5、</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2024年城区绿化养护费项目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呼财预【2024】28号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480万元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用于</w:t>
      </w:r>
      <w:r>
        <w:rPr>
          <w:rFonts w:hint="eastAsia" w:ascii="仿宋_GB2312" w:hAnsi="宋体" w:eastAsia="仿宋_GB2312" w:cs="宋体"/>
          <w:kern w:val="0"/>
          <w:sz w:val="32"/>
          <w:szCs w:val="32"/>
          <w:highlight w:val="none"/>
          <w:lang w:val="en-US" w:eastAsia="zh-CN"/>
        </w:rPr>
        <w:t>县城240.76万平方米公共区域绿化养护费480万元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6、</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7、</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2024年公共绿地绿化用水费项目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呼财预【2024】30号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130万元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公共绿化面积13个区域及抄表绿化用水区域包含：世纪园、市政工程处、洒水车用水、公厕用水园林中心21处用水、住建局用水、消防大队绿化用水130万元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8、</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2024年城市公用设施路灯用电费</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呼财预【2024】27号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380万元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2023年12月-2024年11月呼图壁县</w:t>
      </w:r>
      <w:r>
        <w:rPr>
          <w:rFonts w:hint="eastAsia" w:ascii="仿宋_GB2312" w:hAnsi="宋体" w:eastAsia="仿宋_GB2312" w:cs="宋体"/>
          <w:kern w:val="0"/>
          <w:sz w:val="32"/>
          <w:szCs w:val="32"/>
          <w:highlight w:val="none"/>
          <w:lang w:val="en-US" w:eastAsia="zh-CN"/>
        </w:rPr>
        <w:t>公用设施及路灯用电费380万元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9、</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中央财政农村危房改造补助资金</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昌州财社【2023】35号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4.02万元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中央财政农村危房改造补助资金4.02万元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10、</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2024年中央财政农村危房改造补助资金-2024年农村危房改造项目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昌州财社【2023】64号-2024年专项</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37万元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2024年中央财政农村危房改造补助资金37万元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11、</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2023年部分中央财政城镇保障性安居工程补助资金</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昌州财建【2022】109号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152.8万元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2023年部分中央财政城镇保障性安居工程补助资金152.8万元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12、</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2023年城市燃气管道等老化更新改造和保障性安居工程专项中央基建投资</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昌州财建【2023】80号</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2132万元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2023年城市燃气管道等老化更新改造和保障性安居工程专项中央基建投资2132万元</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黑体" w:eastAsia="仿宋_GB2312"/>
          <w:sz w:val="32"/>
          <w:szCs w:val="32"/>
          <w:highlight w:val="none"/>
          <w:lang w:val="en-US" w:eastAsia="zh-CN"/>
        </w:rPr>
        <w:t>13、</w:t>
      </w:r>
      <w:r>
        <w:rPr>
          <w:rFonts w:hint="eastAsia" w:ascii="仿宋_GB2312" w:hAnsi="黑体" w:eastAsia="仿宋_GB2312"/>
          <w:sz w:val="32"/>
          <w:szCs w:val="32"/>
          <w:highlight w:val="none"/>
        </w:rPr>
        <w:t>项目</w:t>
      </w:r>
      <w:r>
        <w:rPr>
          <w:rFonts w:ascii="仿宋_GB2312" w:hAnsi="黑体" w:eastAsia="仿宋_GB2312"/>
          <w:sz w:val="32"/>
          <w:szCs w:val="32"/>
          <w:highlight w:val="none"/>
        </w:rPr>
        <w:t>名称</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2024年中央财政城镇保障性安居工程补助资金-2024年老旧小区项目</w:t>
      </w:r>
    </w:p>
    <w:p>
      <w:pPr>
        <w:spacing w:line="560" w:lineRule="exact"/>
        <w:ind w:firstLine="640" w:firstLineChars="200"/>
        <w:rPr>
          <w:rFonts w:hint="eastAsia"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设立的政策依据</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昌州财建【2023】143号-2024年专项</w:t>
      </w:r>
    </w:p>
    <w:p>
      <w:pPr>
        <w:spacing w:line="560" w:lineRule="exact"/>
        <w:ind w:firstLine="640" w:firstLineChars="200"/>
        <w:rPr>
          <w:rFonts w:hint="default" w:ascii="仿宋_GB2312" w:hAnsi="黑体" w:eastAsia="仿宋_GB2312"/>
          <w:sz w:val="32"/>
          <w:szCs w:val="32"/>
          <w:highlight w:val="none"/>
          <w:lang w:val="en-US" w:eastAsia="zh-CN"/>
        </w:rPr>
      </w:pPr>
      <w:r>
        <w:rPr>
          <w:rFonts w:ascii="仿宋_GB2312" w:hAnsi="黑体" w:eastAsia="仿宋_GB2312"/>
          <w:sz w:val="32"/>
          <w:szCs w:val="32"/>
          <w:highlight w:val="none"/>
        </w:rPr>
        <w:t>预算安排规模</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224万元</w:t>
      </w:r>
    </w:p>
    <w:p>
      <w:pPr>
        <w:spacing w:line="560" w:lineRule="exact"/>
        <w:ind w:firstLine="640" w:firstLineChars="200"/>
        <w:rPr>
          <w:rFonts w:hint="eastAsia" w:ascii="仿宋_GB2312" w:hAnsi="黑体" w:eastAsia="仿宋_GB2312"/>
          <w:sz w:val="32"/>
          <w:szCs w:val="32"/>
          <w:highlight w:val="none"/>
          <w:lang w:val="en-US" w:eastAsia="zh-CN"/>
        </w:rPr>
      </w:pPr>
      <w:r>
        <w:rPr>
          <w:rFonts w:ascii="仿宋_GB2312" w:hAnsi="黑体" w:eastAsia="仿宋_GB2312"/>
          <w:sz w:val="32"/>
          <w:szCs w:val="32"/>
          <w:highlight w:val="none"/>
        </w:rPr>
        <w:t>项目承担单位</w:t>
      </w:r>
      <w:r>
        <w:rPr>
          <w:rFonts w:hint="eastAsia" w:ascii="仿宋_GB2312" w:hAnsi="黑体" w:eastAsia="仿宋_GB2312"/>
          <w:sz w:val="32"/>
          <w:szCs w:val="32"/>
          <w:highlight w:val="none"/>
        </w:rPr>
        <w:t>：</w:t>
      </w:r>
      <w:r>
        <w:rPr>
          <w:rFonts w:hint="eastAsia" w:ascii="仿宋_GB2312" w:hAnsi="黑体" w:eastAsia="仿宋_GB2312"/>
          <w:sz w:val="32"/>
          <w:szCs w:val="32"/>
          <w:highlight w:val="none"/>
          <w:lang w:val="en-US" w:eastAsia="zh-CN"/>
        </w:rPr>
        <w:t>呼图壁县住房和城乡建设局</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资金分配情况</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中央财政城镇保障性安居工程补助资金224万元</w:t>
      </w:r>
    </w:p>
    <w:p>
      <w:pPr>
        <w:spacing w:line="560" w:lineRule="exact"/>
        <w:ind w:firstLine="640" w:firstLineChars="200"/>
        <w:rPr>
          <w:rFonts w:hint="default" w:ascii="仿宋_GB2312" w:hAnsi="宋体" w:eastAsia="仿宋_GB2312" w:cs="宋体"/>
          <w:kern w:val="0"/>
          <w:sz w:val="32"/>
          <w:szCs w:val="32"/>
          <w:highlight w:val="none"/>
          <w:lang w:val="en-US" w:eastAsia="zh-CN"/>
        </w:rPr>
      </w:pPr>
      <w:r>
        <w:rPr>
          <w:rFonts w:ascii="仿宋_GB2312" w:hAnsi="黑体" w:eastAsia="仿宋_GB2312"/>
          <w:sz w:val="32"/>
          <w:szCs w:val="32"/>
          <w:highlight w:val="none"/>
        </w:rPr>
        <w:t>资金执行时间</w:t>
      </w:r>
      <w:r>
        <w:rPr>
          <w:rFonts w:hint="eastAsia" w:ascii="仿宋_GB2312" w:hAnsi="黑体" w:eastAsia="仿宋_GB2312"/>
          <w:sz w:val="32"/>
          <w:szCs w:val="32"/>
          <w:highlight w:val="none"/>
        </w:rPr>
        <w:t>：</w:t>
      </w:r>
      <w:r>
        <w:rPr>
          <w:rFonts w:hint="eastAsia" w:ascii="仿宋_GB2312" w:hAnsi="宋体" w:eastAsia="仿宋_GB2312" w:cs="宋体"/>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政府性基金支出预算支出</w:t>
      </w:r>
      <w:r>
        <w:rPr>
          <w:rFonts w:hint="eastAsia" w:ascii="仿宋_GB2312" w:hAnsi="仿宋_GB2312" w:eastAsia="仿宋_GB2312" w:cs="仿宋_GB2312"/>
          <w:color w:val="auto"/>
          <w:kern w:val="0"/>
          <w:sz w:val="32"/>
          <w:szCs w:val="32"/>
          <w:highlight w:val="none"/>
          <w:lang w:val="en-US" w:eastAsia="zh-CN"/>
        </w:rPr>
        <w:t>14022.59</w:t>
      </w:r>
      <w:r>
        <w:rPr>
          <w:rFonts w:hint="eastAsia" w:ascii="仿宋_GB2312" w:hAnsi="仿宋_GB2312" w:eastAsia="仿宋_GB2312" w:cs="仿宋_GB2312"/>
          <w:color w:val="auto"/>
          <w:kern w:val="0"/>
          <w:sz w:val="32"/>
          <w:szCs w:val="32"/>
          <w:highlight w:val="none"/>
        </w:rPr>
        <w:t>万元。与上年</w:t>
      </w:r>
      <w:r>
        <w:rPr>
          <w:rFonts w:hint="eastAsia" w:ascii="仿宋_GB2312" w:hAnsi="仿宋_GB2312" w:eastAsia="仿宋_GB2312" w:cs="仿宋_GB2312"/>
          <w:color w:val="auto"/>
          <w:kern w:val="0"/>
          <w:sz w:val="32"/>
          <w:szCs w:val="32"/>
          <w:highlight w:val="none"/>
          <w:lang w:val="en-US" w:eastAsia="zh-Hans"/>
        </w:rPr>
        <w:t>预算</w:t>
      </w:r>
      <w:r>
        <w:rPr>
          <w:rFonts w:hint="eastAsia" w:ascii="仿宋_GB2312" w:hAnsi="仿宋_GB2312" w:eastAsia="仿宋_GB2312" w:cs="仿宋_GB2312"/>
          <w:color w:val="auto"/>
          <w:kern w:val="0"/>
          <w:sz w:val="32"/>
          <w:szCs w:val="32"/>
          <w:highlight w:val="none"/>
        </w:rPr>
        <w:t>相比增加</w:t>
      </w:r>
      <w:r>
        <w:rPr>
          <w:rFonts w:hint="eastAsia" w:ascii="仿宋_GB2312" w:hAnsi="仿宋_GB2312" w:eastAsia="仿宋_GB2312" w:cs="仿宋_GB2312"/>
          <w:color w:val="auto"/>
          <w:kern w:val="0"/>
          <w:sz w:val="32"/>
          <w:szCs w:val="32"/>
          <w:highlight w:val="none"/>
          <w:lang w:val="en-US" w:eastAsia="zh-CN"/>
        </w:rPr>
        <w:t>12876.76</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1123.79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lang w:val="en-US" w:eastAsia="zh-CN"/>
        </w:rPr>
        <w:t>政府债务还款支出预算资金由上年的2121399款调至2120899款中列支</w:t>
      </w:r>
      <w:r>
        <w:rPr>
          <w:rFonts w:hint="eastAsia" w:ascii="仿宋_GB2312" w:hAnsi="仿宋_GB2312" w:eastAsia="仿宋_GB2312" w:cs="仿宋_GB2312"/>
          <w:color w:val="auto"/>
          <w:kern w:val="0"/>
          <w:sz w:val="32"/>
          <w:szCs w:val="32"/>
          <w:highlight w:val="none"/>
        </w:rPr>
        <w:t xml:space="preserve">。其中： </w:t>
      </w:r>
    </w:p>
    <w:p>
      <w:pPr>
        <w:spacing w:line="560" w:lineRule="exact"/>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w:t>
      </w:r>
      <w:r>
        <w:rPr>
          <w:rFonts w:hint="eastAsia" w:ascii="仿宋_GB2312" w:hAnsi="宋体" w:eastAsia="仿宋_GB2312" w:cs="宋体"/>
          <w:kern w:val="0"/>
          <w:sz w:val="32"/>
          <w:szCs w:val="32"/>
          <w:highlight w:val="none"/>
        </w:rPr>
        <w:t>城乡社区支出</w:t>
      </w:r>
      <w:r>
        <w:rPr>
          <w:rFonts w:hint="eastAsia" w:ascii="仿宋_GB2312" w:hAnsi="仿宋_GB2312" w:eastAsia="仿宋_GB2312" w:cs="仿宋_GB2312"/>
          <w:sz w:val="32"/>
          <w:szCs w:val="32"/>
          <w:highlight w:val="none"/>
        </w:rPr>
        <w:t>（</w:t>
      </w:r>
      <w:r>
        <w:rPr>
          <w:rFonts w:hint="eastAsia" w:ascii="仿宋_GB2312" w:hAnsi="宋体" w:eastAsia="仿宋_GB2312" w:cs="宋体"/>
          <w:kern w:val="0"/>
          <w:sz w:val="32"/>
          <w:szCs w:val="32"/>
          <w:highlight w:val="none"/>
        </w:rPr>
        <w:t>212</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sz w:val="32"/>
          <w:szCs w:val="32"/>
          <w:highlight w:val="none"/>
          <w:lang w:val="en-US" w:eastAsia="zh-CN"/>
        </w:rPr>
        <w:t>国有土地使用权出让收入安排的支出</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08</w:t>
      </w:r>
      <w:r>
        <w:rPr>
          <w:rFonts w:hint="eastAsia" w:ascii="仿宋_GB2312" w:hAnsi="仿宋_GB2312" w:eastAsia="仿宋_GB2312" w:cs="仿宋_GB2312"/>
          <w:sz w:val="32"/>
          <w:szCs w:val="32"/>
          <w:highlight w:val="none"/>
        </w:rPr>
        <w:t>款）</w:t>
      </w:r>
      <w:r>
        <w:rPr>
          <w:rFonts w:hint="eastAsia" w:ascii="仿宋_GB2312" w:hAnsi="仿宋_GB2312" w:eastAsia="仿宋_GB2312" w:cs="仿宋_GB2312"/>
          <w:sz w:val="32"/>
          <w:szCs w:val="32"/>
          <w:highlight w:val="none"/>
          <w:lang w:val="en-US" w:eastAsia="zh-CN"/>
        </w:rPr>
        <w:t>其他国有土地使用权出让收入安排的支出</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99</w:t>
      </w:r>
      <w:r>
        <w:rPr>
          <w:rFonts w:hint="eastAsia" w:ascii="仿宋_GB2312" w:hAnsi="仿宋_GB2312" w:eastAsia="仿宋_GB2312" w:cs="仿宋_GB2312"/>
          <w:sz w:val="32"/>
          <w:szCs w:val="32"/>
          <w:highlight w:val="none"/>
        </w:rPr>
        <w:t>项）支出</w:t>
      </w:r>
      <w:r>
        <w:rPr>
          <w:rFonts w:hint="eastAsia" w:ascii="仿宋_GB2312" w:hAnsi="仿宋_GB2312" w:eastAsia="仿宋_GB2312" w:cs="仿宋_GB2312"/>
          <w:sz w:val="32"/>
          <w:szCs w:val="32"/>
          <w:highlight w:val="none"/>
          <w:lang w:val="en-US" w:eastAsia="zh-CN"/>
        </w:rPr>
        <w:t>2612.43</w:t>
      </w:r>
      <w:r>
        <w:rPr>
          <w:rFonts w:hint="eastAsia" w:ascii="仿宋_GB2312" w:hAnsi="仿宋_GB2312" w:eastAsia="仿宋_GB2312" w:cs="仿宋_GB2312"/>
          <w:sz w:val="32"/>
          <w:szCs w:val="32"/>
          <w:highlight w:val="none"/>
        </w:rPr>
        <w:t>万元，</w:t>
      </w:r>
      <w:r>
        <w:rPr>
          <w:rFonts w:hint="eastAsia" w:ascii="仿宋_GB2312" w:hAnsi="仿宋_GB2312" w:eastAsia="仿宋_GB2312" w:cs="仿宋_GB2312"/>
          <w:kern w:val="0"/>
          <w:sz w:val="32"/>
          <w:szCs w:val="32"/>
          <w:highlight w:val="none"/>
        </w:rPr>
        <w:t>与上年</w:t>
      </w:r>
      <w:r>
        <w:rPr>
          <w:rFonts w:hint="eastAsia" w:ascii="仿宋_GB2312" w:hAnsi="仿宋_GB2312" w:eastAsia="仿宋_GB2312" w:cs="仿宋_GB2312"/>
          <w:kern w:val="0"/>
          <w:sz w:val="32"/>
          <w:szCs w:val="32"/>
          <w:highlight w:val="none"/>
          <w:lang w:eastAsia="zh-Hans"/>
        </w:rPr>
        <w:t>预算</w:t>
      </w:r>
      <w:r>
        <w:rPr>
          <w:rFonts w:hint="eastAsia" w:ascii="仿宋_GB2312" w:hAnsi="仿宋_GB2312" w:eastAsia="仿宋_GB2312" w:cs="仿宋_GB2312"/>
          <w:kern w:val="0"/>
          <w:sz w:val="32"/>
          <w:szCs w:val="32"/>
          <w:highlight w:val="none"/>
        </w:rPr>
        <w:t>相比增加</w:t>
      </w:r>
      <w:r>
        <w:rPr>
          <w:rFonts w:hint="eastAsia" w:ascii="仿宋_GB2312" w:hAnsi="仿宋_GB2312" w:eastAsia="仿宋_GB2312" w:cs="仿宋_GB2312"/>
          <w:kern w:val="0"/>
          <w:sz w:val="32"/>
          <w:szCs w:val="32"/>
          <w:highlight w:val="none"/>
          <w:lang w:val="en-US" w:eastAsia="zh-CN"/>
        </w:rPr>
        <w:t>1466.6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127.99</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sz w:val="32"/>
          <w:szCs w:val="32"/>
          <w:highlight w:val="none"/>
        </w:rPr>
        <w:t>主要是用于</w:t>
      </w:r>
      <w:r>
        <w:rPr>
          <w:rFonts w:hint="eastAsia" w:ascii="仿宋_GB2312" w:hAnsi="宋体" w:eastAsia="仿宋_GB2312" w:cs="宋体"/>
          <w:kern w:val="0"/>
          <w:sz w:val="32"/>
          <w:szCs w:val="32"/>
          <w:highlight w:val="none"/>
          <w:lang w:val="en-US" w:eastAsia="zh-CN"/>
        </w:rPr>
        <w:t>政府债务还款支出</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 xml:space="preserve">2. </w:t>
      </w:r>
      <w:r>
        <w:rPr>
          <w:rFonts w:hint="eastAsia" w:ascii="仿宋_GB2312" w:hAnsi="仿宋_GB2312" w:eastAsia="仿宋_GB2312" w:cs="仿宋_GB2312"/>
          <w:color w:val="auto"/>
          <w:sz w:val="32"/>
          <w:szCs w:val="32"/>
          <w:highlight w:val="none"/>
          <w:lang w:val="en-US" w:eastAsia="zh-CN"/>
        </w:rPr>
        <w:t>其他支出（229款）其他政府性基金及对应专项债务收入安排的支出（04款）其他地方自行试点项目收益专项债券收入安排的支出（02项）支出11410.16元，</w:t>
      </w:r>
      <w:r>
        <w:rPr>
          <w:rFonts w:hint="eastAsia" w:ascii="仿宋_GB2312" w:hAnsi="仿宋_GB2312" w:eastAsia="仿宋_GB2312" w:cs="仿宋_GB2312"/>
          <w:kern w:val="0"/>
          <w:sz w:val="32"/>
          <w:szCs w:val="32"/>
          <w:highlight w:val="none"/>
        </w:rPr>
        <w:t>与上年</w:t>
      </w:r>
      <w:r>
        <w:rPr>
          <w:rFonts w:hint="eastAsia" w:ascii="仿宋_GB2312" w:hAnsi="仿宋_GB2312" w:eastAsia="仿宋_GB2312" w:cs="仿宋_GB2312"/>
          <w:kern w:val="0"/>
          <w:sz w:val="32"/>
          <w:szCs w:val="32"/>
          <w:highlight w:val="none"/>
          <w:lang w:eastAsia="zh-Hans"/>
        </w:rPr>
        <w:t>预算</w:t>
      </w:r>
      <w:r>
        <w:rPr>
          <w:rFonts w:hint="eastAsia" w:ascii="仿宋_GB2312" w:hAnsi="仿宋_GB2312" w:eastAsia="仿宋_GB2312" w:cs="仿宋_GB2312"/>
          <w:kern w:val="0"/>
          <w:sz w:val="32"/>
          <w:szCs w:val="32"/>
          <w:highlight w:val="none"/>
        </w:rPr>
        <w:t>相比增加</w:t>
      </w:r>
      <w:r>
        <w:rPr>
          <w:rFonts w:hint="eastAsia" w:ascii="仿宋_GB2312" w:hAnsi="仿宋_GB2312" w:eastAsia="仿宋_GB2312" w:cs="仿宋_GB2312"/>
          <w:color w:val="auto"/>
          <w:sz w:val="32"/>
          <w:szCs w:val="32"/>
          <w:highlight w:val="none"/>
          <w:lang w:val="en-US" w:eastAsia="zh-CN"/>
        </w:rPr>
        <w:t>11410.16</w:t>
      </w:r>
      <w:r>
        <w:rPr>
          <w:rFonts w:hint="eastAsia" w:ascii="仿宋_GB2312" w:hAnsi="仿宋_GB2312" w:eastAsia="仿宋_GB2312" w:cs="仿宋_GB2312"/>
          <w:kern w:val="0"/>
          <w:sz w:val="32"/>
          <w:szCs w:val="32"/>
          <w:highlight w:val="none"/>
        </w:rPr>
        <w:t>万元，增长</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w:t>
      </w:r>
      <w:r>
        <w:rPr>
          <w:rFonts w:hint="eastAsia" w:ascii="仿宋_GB2312" w:hAnsi="仿宋_GB2312" w:eastAsia="仿宋_GB2312" w:cs="仿宋_GB2312"/>
          <w:sz w:val="32"/>
          <w:szCs w:val="32"/>
          <w:highlight w:val="none"/>
        </w:rPr>
        <w:t>主要是用于</w:t>
      </w:r>
      <w:r>
        <w:rPr>
          <w:rFonts w:hint="eastAsia" w:ascii="仿宋_GB2312" w:hAnsi="宋体" w:eastAsia="仿宋_GB2312" w:cs="宋体"/>
          <w:kern w:val="0"/>
          <w:sz w:val="32"/>
          <w:szCs w:val="32"/>
          <w:highlight w:val="none"/>
          <w:lang w:val="en-US" w:eastAsia="zh-CN"/>
        </w:rPr>
        <w:t>专项资金支出</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黑体" w:eastAsia="仿宋_GB2312"/>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“三公”经费数为</w:t>
      </w:r>
      <w:r>
        <w:rPr>
          <w:rFonts w:hint="eastAsia" w:ascii="仿宋_GB2312" w:hAnsi="宋体" w:eastAsia="仿宋_GB2312" w:cs="宋体"/>
          <w:kern w:val="0"/>
          <w:sz w:val="32"/>
          <w:szCs w:val="32"/>
          <w:highlight w:val="none"/>
          <w:lang w:val="en-US" w:eastAsia="zh-CN"/>
        </w:rPr>
        <w:t>9.6</w:t>
      </w:r>
      <w:r>
        <w:rPr>
          <w:rFonts w:hint="eastAsia" w:ascii="仿宋_GB2312" w:hAnsi="宋体" w:eastAsia="仿宋_GB2312" w:cs="宋体"/>
          <w:kern w:val="0"/>
          <w:sz w:val="32"/>
          <w:szCs w:val="32"/>
          <w:highlight w:val="none"/>
        </w:rPr>
        <w:t>万元，其中：因公出国（境）费</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万元，公务</w:t>
      </w:r>
      <w:r>
        <w:rPr>
          <w:rFonts w:hint="eastAsia" w:ascii="仿宋_GB2312" w:hAnsi="宋体" w:eastAsia="仿宋_GB2312" w:cs="宋体"/>
          <w:color w:val="000000"/>
          <w:kern w:val="0"/>
          <w:sz w:val="32"/>
          <w:szCs w:val="32"/>
          <w:highlight w:val="none"/>
        </w:rPr>
        <w:t>用车购置费</w:t>
      </w:r>
      <w:r>
        <w:rPr>
          <w:rFonts w:hint="eastAsia" w:ascii="仿宋_GB2312" w:hAnsi="宋体" w:eastAsia="仿宋_GB2312" w:cs="宋体"/>
          <w:color w:val="000000"/>
          <w:kern w:val="0"/>
          <w:sz w:val="32"/>
          <w:szCs w:val="32"/>
          <w:highlight w:val="none"/>
          <w:lang w:val="en-US" w:eastAsia="zh-CN"/>
        </w:rPr>
        <w:t>0</w:t>
      </w:r>
      <w:r>
        <w:rPr>
          <w:rFonts w:hint="eastAsia" w:ascii="仿宋_GB2312" w:hAnsi="宋体" w:eastAsia="仿宋_GB2312" w:cs="宋体"/>
          <w:kern w:val="0"/>
          <w:sz w:val="32"/>
          <w:szCs w:val="32"/>
          <w:highlight w:val="none"/>
        </w:rPr>
        <w:t>万元，公务用车运行费</w:t>
      </w:r>
      <w:r>
        <w:rPr>
          <w:rFonts w:hint="eastAsia" w:ascii="仿宋_GB2312" w:hAnsi="宋体" w:eastAsia="仿宋_GB2312" w:cs="宋体"/>
          <w:kern w:val="0"/>
          <w:sz w:val="32"/>
          <w:szCs w:val="32"/>
          <w:highlight w:val="none"/>
          <w:lang w:val="en-US" w:eastAsia="zh-CN"/>
        </w:rPr>
        <w:t>9.6</w:t>
      </w:r>
      <w:r>
        <w:rPr>
          <w:rFonts w:hint="eastAsia" w:ascii="仿宋_GB2312" w:hAnsi="宋体" w:eastAsia="仿宋_GB2312" w:cs="宋体"/>
          <w:kern w:val="0"/>
          <w:sz w:val="32"/>
          <w:szCs w:val="32"/>
          <w:highlight w:val="none"/>
        </w:rPr>
        <w:t>万元，公务接待费</w:t>
      </w:r>
      <w:r>
        <w:rPr>
          <w:rFonts w:hint="eastAsia" w:ascii="仿宋_GB2312" w:hAnsi="宋体" w:eastAsia="仿宋_GB2312" w:cs="宋体"/>
          <w:kern w:val="0"/>
          <w:sz w:val="32"/>
          <w:szCs w:val="32"/>
          <w:highlight w:val="none"/>
          <w:lang w:val="en-US" w:eastAsia="zh-CN"/>
        </w:rPr>
        <w:t>0</w:t>
      </w:r>
      <w:r>
        <w:rPr>
          <w:rFonts w:hint="eastAsia" w:ascii="仿宋_GB2312" w:hAnsi="宋体" w:eastAsia="仿宋_GB2312" w:cs="宋体"/>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202</w:t>
      </w:r>
      <w:r>
        <w:rPr>
          <w:rFonts w:hint="eastAsia" w:ascii="仿宋_GB2312" w:hAnsi="宋体" w:eastAsia="仿宋_GB2312" w:cs="宋体"/>
          <w:kern w:val="0"/>
          <w:sz w:val="32"/>
          <w:szCs w:val="32"/>
          <w:highlight w:val="none"/>
          <w:lang w:val="en-US" w:eastAsia="zh-CN"/>
        </w:rPr>
        <w:t>4</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eastAsia="zh-Hans"/>
        </w:rPr>
        <w:t>财政拨款</w:t>
      </w:r>
      <w:r>
        <w:rPr>
          <w:rFonts w:hint="eastAsia" w:ascii="仿宋_GB2312" w:hAnsi="宋体" w:eastAsia="仿宋_GB2312" w:cs="宋体"/>
          <w:kern w:val="0"/>
          <w:sz w:val="32"/>
          <w:szCs w:val="32"/>
          <w:highlight w:val="none"/>
        </w:rPr>
        <w:t>“三公”经费比上年</w:t>
      </w:r>
      <w:r>
        <w:rPr>
          <w:rFonts w:hint="eastAsia" w:ascii="仿宋_GB2312" w:hAnsi="宋体" w:eastAsia="仿宋_GB2312" w:cs="宋体"/>
          <w:kern w:val="0"/>
          <w:sz w:val="32"/>
          <w:szCs w:val="32"/>
          <w:highlight w:val="none"/>
          <w:lang w:eastAsia="zh-Hans"/>
        </w:rPr>
        <w:t>预算</w:t>
      </w:r>
      <w:r>
        <w:rPr>
          <w:rFonts w:hint="eastAsia" w:ascii="仿宋_GB2312" w:hAnsi="宋体" w:eastAsia="仿宋_GB2312" w:cs="宋体"/>
          <w:kern w:val="0"/>
          <w:sz w:val="32"/>
          <w:szCs w:val="32"/>
          <w:highlight w:val="none"/>
          <w:lang w:val="en-US" w:eastAsia="zh-CN"/>
        </w:rPr>
        <w:t>减少4.8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减少33.3</w:t>
      </w:r>
      <w:r>
        <w:rPr>
          <w:rFonts w:hint="eastAsia" w:ascii="仿宋_GB2312" w:hAnsi="宋体" w:eastAsia="仿宋_GB2312" w:cs="宋体"/>
          <w:kern w:val="0"/>
          <w:sz w:val="32"/>
          <w:szCs w:val="32"/>
          <w:highlight w:val="none"/>
        </w:rPr>
        <w:t>%，其中：</w:t>
      </w:r>
      <w:r>
        <w:rPr>
          <w:rFonts w:hint="eastAsia" w:ascii="仿宋_GB2312" w:hAnsi="宋体" w:eastAsia="仿宋_GB2312" w:cs="宋体"/>
          <w:color w:val="auto"/>
          <w:kern w:val="0"/>
          <w:sz w:val="32"/>
          <w:szCs w:val="32"/>
          <w:highlight w:val="none"/>
        </w:rPr>
        <w:t>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上年无</w:t>
      </w:r>
      <w:r>
        <w:rPr>
          <w:rFonts w:hint="eastAsia" w:ascii="仿宋_GB2312" w:hAnsi="宋体" w:eastAsia="仿宋_GB2312" w:cs="宋体"/>
          <w:color w:val="auto"/>
          <w:kern w:val="0"/>
          <w:sz w:val="32"/>
          <w:szCs w:val="32"/>
          <w:highlight w:val="none"/>
        </w:rPr>
        <w:t>因公出国（境）费</w:t>
      </w:r>
      <w:r>
        <w:rPr>
          <w:rFonts w:hint="eastAsia" w:ascii="仿宋_GB2312" w:hAnsi="宋体" w:eastAsia="仿宋_GB2312" w:cs="宋体"/>
          <w:color w:val="auto"/>
          <w:kern w:val="0"/>
          <w:sz w:val="32"/>
          <w:szCs w:val="32"/>
          <w:highlight w:val="none"/>
          <w:lang w:eastAsia="zh-CN"/>
        </w:rPr>
        <w:t>，今年也未安排预算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上年无</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eastAsia="zh-CN"/>
        </w:rPr>
        <w:t>，今年也未安排预算；</w:t>
      </w:r>
      <w:r>
        <w:rPr>
          <w:rFonts w:hint="eastAsia" w:ascii="仿宋_GB2312" w:hAnsi="宋体" w:eastAsia="仿宋_GB2312" w:cs="宋体"/>
          <w:kern w:val="0"/>
          <w:sz w:val="32"/>
          <w:szCs w:val="32"/>
          <w:highlight w:val="none"/>
        </w:rPr>
        <w:t>公务用车运行费</w:t>
      </w:r>
      <w:r>
        <w:rPr>
          <w:rFonts w:hint="eastAsia" w:ascii="仿宋_GB2312" w:hAnsi="宋体" w:eastAsia="仿宋_GB2312" w:cs="宋体"/>
          <w:kern w:val="0"/>
          <w:sz w:val="32"/>
          <w:szCs w:val="32"/>
          <w:highlight w:val="none"/>
          <w:lang w:val="en-US" w:eastAsia="zh-CN"/>
        </w:rPr>
        <w:t>减少4.8</w:t>
      </w:r>
      <w:r>
        <w:rPr>
          <w:rFonts w:hint="eastAsia" w:ascii="仿宋_GB2312" w:hAnsi="宋体" w:eastAsia="仿宋_GB2312" w:cs="宋体"/>
          <w:kern w:val="0"/>
          <w:sz w:val="32"/>
          <w:szCs w:val="32"/>
          <w:highlight w:val="none"/>
        </w:rPr>
        <w:t>万元，</w:t>
      </w:r>
      <w:r>
        <w:rPr>
          <w:rFonts w:hint="eastAsia" w:ascii="仿宋_GB2312" w:hAnsi="宋体" w:eastAsia="仿宋_GB2312" w:cs="宋体"/>
          <w:kern w:val="0"/>
          <w:sz w:val="32"/>
          <w:szCs w:val="32"/>
          <w:highlight w:val="none"/>
          <w:lang w:val="en-US" w:eastAsia="zh-CN"/>
        </w:rPr>
        <w:t>减少33.3</w:t>
      </w:r>
      <w:r>
        <w:rPr>
          <w:rFonts w:hint="eastAsia" w:ascii="仿宋_GB2312" w:hAnsi="宋体" w:eastAsia="仿宋_GB2312" w:cs="宋体"/>
          <w:kern w:val="0"/>
          <w:sz w:val="32"/>
          <w:szCs w:val="32"/>
          <w:highlight w:val="none"/>
        </w:rPr>
        <w:t>%，主要原因是</w:t>
      </w:r>
      <w:r>
        <w:rPr>
          <w:rFonts w:hint="eastAsia" w:ascii="仿宋_GB2312" w:hAnsi="宋体" w:eastAsia="仿宋_GB2312" w:cs="宋体"/>
          <w:kern w:val="0"/>
          <w:sz w:val="32"/>
          <w:szCs w:val="32"/>
          <w:highlight w:val="none"/>
          <w:lang w:val="en-US" w:eastAsia="zh-CN"/>
        </w:rPr>
        <w:t>实际公务用车减少，导致公务用车维护费预算资金减少</w:t>
      </w:r>
      <w:r>
        <w:rPr>
          <w:rFonts w:hint="eastAsia" w:ascii="仿宋_GB2312" w:hAnsi="宋体" w:eastAsia="仿宋_GB2312" w:cs="宋体"/>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kern w:val="0"/>
          <w:sz w:val="32"/>
          <w:szCs w:val="32"/>
          <w:highlight w:val="none"/>
          <w:lang w:val="en-US" w:eastAsia="zh-CN"/>
        </w:rPr>
        <w:t>呼图壁县住房和城乡建设局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上年结转结余4251.82万元，包括：财政拨款4251.82万元，非财政拨款0万元，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1.关于下达昌吉州2023年第一批州级预算内投资的通知-2023年第一批州级预算内投资（前期费）项目315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主要用于：2023年第一批州级预算内投资（前期费）。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2.关于下达2023年新疆、西藏、四省涉藏州县建设专项（第一批）中央基建投资预算的通知-昌吉州呼图壁县三水厂输水管线扩容工程项目1470万元，主要用于：昌吉州呼图壁县三水厂输水管线扩容工程。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3.关于下达2023年第三批自治区预算内投资的通知-2023年城市更新(前期费)178万元，主要用于：2023年城市更新(前期费)。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4.昌州财社【2023】35号-中央财政农村危房改造补助资金4.02万元，主要用于：中央财政农村危房改造补助资金。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5.昌州财建【2022】109号 2023年部分中央财政城镇保障性安居工程补助资金1914万元，主要用于：2023年部分中央财政城镇保障性安居工程补助资金。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6.昌州财建【2023】80号-2023年城市燃气管道等老化更新改造和保障性安居工程专项中央基建投资2132万元，主要用于：2023年城市燃气管道等老化更新改造和保障性安居工程专项中央基建投资。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宋体" w:eastAsia="仿宋_GB2312" w:cs="宋体"/>
          <w:color w:val="auto"/>
          <w:spacing w:val="-6"/>
          <w:kern w:val="0"/>
          <w:sz w:val="32"/>
          <w:szCs w:val="32"/>
          <w:highlight w:val="none"/>
          <w:lang w:val="en-US" w:eastAsia="zh-CN"/>
        </w:rPr>
        <w:t>25.99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5.99</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29.95</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kern w:val="0"/>
          <w:sz w:val="32"/>
          <w:szCs w:val="32"/>
          <w:highlight w:val="none"/>
        </w:rPr>
        <w:t>人员</w:t>
      </w:r>
      <w:r>
        <w:rPr>
          <w:rFonts w:hint="eastAsia" w:ascii="仿宋_GB2312" w:hAnsi="宋体" w:eastAsia="仿宋_GB2312" w:cs="宋体"/>
          <w:kern w:val="0"/>
          <w:sz w:val="32"/>
          <w:szCs w:val="32"/>
          <w:highlight w:val="none"/>
          <w:lang w:val="en-US" w:eastAsia="zh-CN"/>
        </w:rPr>
        <w:t>增加</w:t>
      </w:r>
      <w:r>
        <w:rPr>
          <w:rFonts w:hint="eastAsia" w:ascii="仿宋_GB2312" w:hAnsi="宋体" w:eastAsia="仿宋_GB2312" w:cs="宋体"/>
          <w:kern w:val="0"/>
          <w:sz w:val="32"/>
          <w:szCs w:val="32"/>
          <w:highlight w:val="none"/>
          <w:lang w:eastAsia="zh-CN"/>
        </w:rPr>
        <w:t>，</w:t>
      </w:r>
      <w:r>
        <w:rPr>
          <w:rFonts w:hint="eastAsia" w:ascii="仿宋_GB2312" w:hAnsi="宋体" w:eastAsia="仿宋_GB2312" w:cs="宋体"/>
          <w:kern w:val="0"/>
          <w:sz w:val="32"/>
          <w:szCs w:val="32"/>
          <w:highlight w:val="none"/>
        </w:rPr>
        <w:t>导致人员经费预算</w:t>
      </w:r>
      <w:r>
        <w:rPr>
          <w:rFonts w:hint="eastAsia" w:ascii="仿宋_GB2312" w:hAnsi="宋体" w:eastAsia="仿宋_GB2312" w:cs="宋体"/>
          <w:kern w:val="0"/>
          <w:sz w:val="32"/>
          <w:szCs w:val="32"/>
          <w:highlight w:val="none"/>
          <w:lang w:val="en-US" w:eastAsia="zh-CN"/>
        </w:rPr>
        <w:t>增加</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8.15</w:t>
      </w:r>
      <w:r>
        <w:rPr>
          <w:rFonts w:hint="eastAsia" w:ascii="仿宋_GB2312" w:hAnsi="仿宋_GB2312" w:eastAsia="仿宋_GB2312" w:cs="仿宋_GB2312"/>
          <w:color w:val="auto"/>
          <w:kern w:val="0"/>
          <w:sz w:val="32"/>
          <w:szCs w:val="32"/>
          <w:highlight w:val="none"/>
        </w:rPr>
        <w:t xml:space="preserve">   万元，其中：政府采购货物预算</w:t>
      </w:r>
      <w:r>
        <w:rPr>
          <w:rFonts w:hint="eastAsia" w:ascii="仿宋_GB2312" w:hAnsi="仿宋_GB2312" w:eastAsia="仿宋_GB2312" w:cs="仿宋_GB2312"/>
          <w:color w:val="auto"/>
          <w:kern w:val="0"/>
          <w:sz w:val="32"/>
          <w:szCs w:val="32"/>
          <w:highlight w:val="none"/>
          <w:lang w:val="en-US" w:eastAsia="zh-CN"/>
        </w:rPr>
        <w:t>3.35</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4.8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8.15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8.15</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宋体" w:eastAsia="仿宋_GB2312" w:cs="宋体"/>
          <w:kern w:val="0"/>
          <w:sz w:val="32"/>
          <w:szCs w:val="32"/>
          <w:highlight w:val="none"/>
        </w:rPr>
        <w:t>房屋9334 平方米，价值86.66万元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56</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2735.08</w:t>
      </w:r>
      <w:r>
        <w:rPr>
          <w:rFonts w:hint="eastAsia" w:ascii="仿宋_GB2312" w:hAnsi="仿宋_GB2312" w:eastAsia="仿宋_GB2312" w:cs="仿宋_GB2312"/>
          <w:color w:val="auto"/>
          <w:kern w:val="0"/>
          <w:sz w:val="32"/>
          <w:szCs w:val="32"/>
          <w:highlight w:val="none"/>
        </w:rPr>
        <w:t>万元；其中：</w:t>
      </w:r>
      <w:r>
        <w:rPr>
          <w:rFonts w:hint="eastAsia" w:ascii="仿宋_GB2312" w:hAnsi="仿宋_GB2312" w:eastAsia="仿宋_GB2312" w:cs="仿宋_GB2312"/>
          <w:kern w:val="0"/>
          <w:sz w:val="32"/>
          <w:szCs w:val="32"/>
          <w:highlight w:val="none"/>
        </w:rPr>
        <w:t>一般公务用</w:t>
      </w:r>
      <w:r>
        <w:rPr>
          <w:rFonts w:hint="eastAsia" w:ascii="仿宋_GB2312" w:hAnsi="仿宋_GB2312" w:eastAsia="仿宋_GB2312" w:cs="仿宋_GB2312"/>
          <w:kern w:val="0"/>
          <w:sz w:val="32"/>
          <w:szCs w:val="32"/>
          <w:highlight w:val="none"/>
          <w:lang w:val="en-US" w:eastAsia="zh-CN"/>
        </w:rPr>
        <w:t>1</w:t>
      </w:r>
      <w:r>
        <w:rPr>
          <w:rFonts w:hint="eastAsia" w:ascii="仿宋_GB2312" w:hAnsi="仿宋_GB2312" w:eastAsia="仿宋_GB2312" w:cs="仿宋_GB2312"/>
          <w:kern w:val="0"/>
          <w:sz w:val="32"/>
          <w:szCs w:val="32"/>
          <w:highlight w:val="none"/>
        </w:rPr>
        <w:t>车辆，价值</w:t>
      </w:r>
      <w:r>
        <w:rPr>
          <w:rFonts w:hint="eastAsia" w:ascii="仿宋_GB2312" w:hAnsi="仿宋_GB2312" w:eastAsia="仿宋_GB2312" w:cs="仿宋_GB2312"/>
          <w:kern w:val="0"/>
          <w:sz w:val="32"/>
          <w:szCs w:val="32"/>
          <w:highlight w:val="none"/>
          <w:lang w:val="en-US" w:eastAsia="zh-CN"/>
        </w:rPr>
        <w:t>6.09</w:t>
      </w:r>
      <w:r>
        <w:rPr>
          <w:rFonts w:hint="eastAsia" w:ascii="仿宋_GB2312" w:hAnsi="仿宋_GB2312" w:eastAsia="仿宋_GB2312" w:cs="仿宋_GB2312"/>
          <w:kern w:val="0"/>
          <w:sz w:val="32"/>
          <w:szCs w:val="32"/>
          <w:highlight w:val="none"/>
        </w:rPr>
        <w:t>万元；执法执勤用车</w:t>
      </w:r>
      <w:r>
        <w:rPr>
          <w:rFonts w:hint="eastAsia" w:ascii="仿宋_GB2312" w:hAnsi="仿宋_GB2312" w:eastAsia="仿宋_GB2312" w:cs="仿宋_GB2312"/>
          <w:kern w:val="0"/>
          <w:sz w:val="32"/>
          <w:szCs w:val="32"/>
          <w:highlight w:val="none"/>
          <w:lang w:val="en-US" w:eastAsia="zh-CN"/>
        </w:rPr>
        <w:t>5</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23.98</w:t>
      </w:r>
      <w:r>
        <w:rPr>
          <w:rFonts w:hint="eastAsia" w:ascii="仿宋_GB2312" w:hAnsi="仿宋_GB2312" w:eastAsia="仿宋_GB2312" w:cs="仿宋_GB2312"/>
          <w:kern w:val="0"/>
          <w:sz w:val="32"/>
          <w:szCs w:val="32"/>
          <w:highlight w:val="none"/>
        </w:rPr>
        <w:t>万元；其他车辆</w:t>
      </w:r>
      <w:r>
        <w:rPr>
          <w:rFonts w:hint="eastAsia" w:ascii="仿宋_GB2312" w:hAnsi="仿宋_GB2312" w:eastAsia="仿宋_GB2312" w:cs="仿宋_GB2312"/>
          <w:kern w:val="0"/>
          <w:sz w:val="32"/>
          <w:szCs w:val="32"/>
          <w:highlight w:val="none"/>
          <w:lang w:val="en-US" w:eastAsia="zh-CN"/>
        </w:rPr>
        <w:t>50</w:t>
      </w:r>
      <w:r>
        <w:rPr>
          <w:rFonts w:hint="eastAsia" w:ascii="仿宋_GB2312" w:hAnsi="仿宋_GB2312" w:eastAsia="仿宋_GB2312" w:cs="仿宋_GB2312"/>
          <w:kern w:val="0"/>
          <w:sz w:val="32"/>
          <w:szCs w:val="32"/>
          <w:highlight w:val="none"/>
        </w:rPr>
        <w:t>辆，价值</w:t>
      </w:r>
      <w:r>
        <w:rPr>
          <w:rFonts w:hint="eastAsia" w:ascii="仿宋_GB2312" w:hAnsi="仿宋_GB2312" w:eastAsia="仿宋_GB2312" w:cs="仿宋_GB2312"/>
          <w:kern w:val="0"/>
          <w:sz w:val="32"/>
          <w:szCs w:val="32"/>
          <w:highlight w:val="none"/>
          <w:lang w:val="en-US" w:eastAsia="zh-CN"/>
        </w:rPr>
        <w:t>2705.01</w:t>
      </w:r>
      <w:r>
        <w:rPr>
          <w:rFonts w:hint="eastAsia" w:ascii="仿宋_GB2312" w:hAnsi="仿宋_GB2312" w:eastAsia="仿宋_GB2312" w:cs="仿宋_GB2312"/>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43.53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kern w:val="0"/>
          <w:sz w:val="32"/>
          <w:szCs w:val="32"/>
          <w:highlight w:val="none"/>
          <w:lang w:val="en-US" w:eastAsia="zh-CN"/>
        </w:rPr>
        <w:t>500.82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 xml:space="preserve">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宋体" w:eastAsia="仿宋_GB2312" w:cs="宋体"/>
          <w:kern w:val="0"/>
          <w:sz w:val="32"/>
          <w:szCs w:val="32"/>
          <w:highlight w:val="none"/>
          <w:lang w:val="en-US" w:eastAsia="zh-CN"/>
        </w:rPr>
        <w:t>呼图壁县住房和城乡建设局</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整体预算绩效目标1个，涉及金额22072.41万元；当年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8</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涉及预算金额21345.41万元；当年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5"/>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2"/>
        <w:gridCol w:w="990"/>
        <w:gridCol w:w="990"/>
        <w:gridCol w:w="1155"/>
        <w:gridCol w:w="1380"/>
        <w:gridCol w:w="1770"/>
        <w:gridCol w:w="230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呼图壁县部门（单位）整体绩效目标申报表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7"/>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7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部门（单位）名称（盖章）</w:t>
            </w:r>
          </w:p>
        </w:tc>
        <w:tc>
          <w:tcPr>
            <w:tcW w:w="7598"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17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部门（单位）联系人</w:t>
            </w:r>
          </w:p>
        </w:tc>
        <w:tc>
          <w:tcPr>
            <w:tcW w:w="2145"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储相波</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联系电话：</w:t>
            </w:r>
          </w:p>
        </w:tc>
        <w:tc>
          <w:tcPr>
            <w:tcW w:w="407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15276925337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38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年度绩效目标</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通过继续完成基础设施建设、市政维护、城市供排水、供热供气、园林绿化、老旧小区改造、住房保障、棚户区改造、农村危房改造工作任务，加大城乡融合发展和民生基础设施建设的力度，强化物业规范化管理，改善居民小区环境，提升小区物业管理能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1" w:hRule="atLeast"/>
        </w:trPr>
        <w:tc>
          <w:tcPr>
            <w:tcW w:w="174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18"/>
                <w:szCs w:val="18"/>
                <w:highlight w:val="none"/>
                <w:u w:val="none"/>
                <w:lang w:val="en-US" w:eastAsia="zh-CN" w:bidi="ar"/>
              </w:rPr>
            </w:pPr>
            <w:r>
              <w:rPr>
                <w:rFonts w:hint="eastAsia" w:ascii="宋体" w:hAnsi="宋体" w:eastAsia="宋体" w:cs="宋体"/>
                <w:b/>
                <w:bCs/>
                <w:i w:val="0"/>
                <w:iCs w:val="0"/>
                <w:color w:val="000000"/>
                <w:kern w:val="0"/>
                <w:sz w:val="18"/>
                <w:szCs w:val="18"/>
                <w:highlight w:val="none"/>
                <w:u w:val="none"/>
                <w:lang w:val="en-US" w:eastAsia="zh-CN" w:bidi="ar"/>
              </w:rPr>
              <w:t>年度预算（万元）</w:t>
            </w:r>
          </w:p>
        </w:tc>
        <w:tc>
          <w:tcPr>
            <w:tcW w:w="7598" w:type="dxa"/>
            <w:gridSpan w:val="5"/>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4"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990"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财政资金（万元）</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上级资金</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14022.59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4"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990"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本级资金</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8049.82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49"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其他资金（万元）</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其他</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54" w:hRule="atLeast"/>
        </w:trPr>
        <w:tc>
          <w:tcPr>
            <w:tcW w:w="1742"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2"/>
                <w:sz w:val="18"/>
                <w:szCs w:val="18"/>
                <w:highlight w:val="none"/>
                <w:u w:val="none"/>
                <w:lang w:val="en-US" w:eastAsia="zh-CN" w:bidi="ar-SA"/>
              </w:rPr>
            </w:pPr>
          </w:p>
        </w:tc>
        <w:tc>
          <w:tcPr>
            <w:tcW w:w="214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2"/>
                <w:sz w:val="18"/>
                <w:szCs w:val="18"/>
                <w:highlight w:val="none"/>
                <w:u w:val="none"/>
                <w:lang w:val="en-US" w:eastAsia="zh-CN" w:bidi="ar-SA"/>
              </w:rPr>
              <w:t>合计：</w:t>
            </w:r>
          </w:p>
        </w:tc>
        <w:tc>
          <w:tcPr>
            <w:tcW w:w="545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cs="宋体"/>
                <w:i w:val="0"/>
                <w:iCs w:val="0"/>
                <w:color w:val="000000"/>
                <w:kern w:val="2"/>
                <w:sz w:val="18"/>
                <w:szCs w:val="18"/>
                <w:highlight w:val="none"/>
                <w:u w:val="none"/>
                <w:lang w:val="en-US" w:eastAsia="zh-CN" w:bidi="ar-SA"/>
              </w:rPr>
            </w:pPr>
            <w:r>
              <w:rPr>
                <w:rFonts w:hint="eastAsia" w:ascii="宋体" w:hAnsi="宋体" w:cs="宋体"/>
                <w:i w:val="0"/>
                <w:iCs w:val="0"/>
                <w:color w:val="000000"/>
                <w:kern w:val="2"/>
                <w:sz w:val="18"/>
                <w:szCs w:val="18"/>
                <w:highlight w:val="none"/>
                <w:u w:val="none"/>
                <w:lang w:val="en-US" w:eastAsia="zh-CN" w:bidi="ar-SA"/>
              </w:rPr>
              <w:t>22072.41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2" w:hRule="atLeast"/>
        </w:trPr>
        <w:tc>
          <w:tcPr>
            <w:tcW w:w="1742"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一级指标</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二级指标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三级指标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指标值</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指标值设定依据</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2"/>
                <w:sz w:val="18"/>
                <w:szCs w:val="18"/>
                <w:highlight w:val="none"/>
                <w:u w:val="none"/>
                <w:lang w:val="en-US" w:eastAsia="zh-CN" w:bidi="ar-SA"/>
              </w:rPr>
            </w:pPr>
            <w:r>
              <w:rPr>
                <w:rFonts w:hint="eastAsia" w:ascii="宋体" w:hAnsi="宋体" w:eastAsia="宋体" w:cs="宋体"/>
                <w:b/>
                <w:bCs/>
                <w:i w:val="0"/>
                <w:iCs w:val="0"/>
                <w:color w:val="000000"/>
                <w:kern w:val="2"/>
                <w:sz w:val="18"/>
                <w:szCs w:val="18"/>
                <w:highlight w:val="none"/>
                <w:u w:val="none"/>
                <w:lang w:val="en-US" w:eastAsia="zh-CN" w:bidi="ar-SA"/>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75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运行成本</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75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管理效率</w:t>
            </w:r>
          </w:p>
        </w:tc>
        <w:tc>
          <w:tcPr>
            <w:tcW w:w="99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752"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restar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履职效能</w:t>
            </w:r>
          </w:p>
        </w:tc>
        <w:tc>
          <w:tcPr>
            <w:tcW w:w="990" w:type="dxa"/>
            <w:vMerge w:val="restart"/>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数量指标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老旧小区改造项目数</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&gt;=3个</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7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年污水处理量（吨）</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&gt;=730万吨</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7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公用设施年用电量</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&lt;=9500000千瓦时</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752"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vMerge w:val="continue"/>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质量指标</w:t>
            </w: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污水处理质量达标率</w:t>
            </w: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&gt;=85%</w:t>
            </w: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工作方案</w:t>
            </w: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社会效益</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可持续发展能力</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75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年度绩效指标</w:t>
            </w:r>
          </w:p>
        </w:tc>
        <w:tc>
          <w:tcPr>
            <w:tcW w:w="9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r>
              <w:rPr>
                <w:rFonts w:hint="eastAsia" w:ascii="宋体" w:hAnsi="宋体" w:eastAsia="宋体" w:cs="宋体"/>
                <w:b w:val="0"/>
                <w:bCs w:val="0"/>
                <w:i w:val="0"/>
                <w:iCs w:val="0"/>
                <w:color w:val="000000"/>
                <w:kern w:val="0"/>
                <w:sz w:val="18"/>
                <w:szCs w:val="18"/>
                <w:highlight w:val="none"/>
                <w:u w:val="none"/>
                <w:lang w:val="en-US" w:eastAsia="zh-CN" w:bidi="ar"/>
              </w:rPr>
              <w:t>服务对象满意度</w:t>
            </w:r>
          </w:p>
        </w:tc>
        <w:tc>
          <w:tcPr>
            <w:tcW w:w="99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1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3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177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c>
          <w:tcPr>
            <w:tcW w:w="23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18"/>
                <w:szCs w:val="18"/>
                <w:highlight w:val="none"/>
                <w:u w:val="none"/>
                <w:lang w:val="en-US" w:eastAsia="zh-CN" w:bidi="ar"/>
              </w:rPr>
            </w:pPr>
          </w:p>
        </w:tc>
      </w:tr>
    </w:tbl>
    <w:tbl>
      <w:tblPr>
        <w:tblStyle w:val="5"/>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1"/>
        <w:gridCol w:w="5"/>
        <w:gridCol w:w="30"/>
        <w:gridCol w:w="907"/>
        <w:gridCol w:w="1050"/>
        <w:gridCol w:w="75"/>
        <w:gridCol w:w="60"/>
        <w:gridCol w:w="105"/>
        <w:gridCol w:w="105"/>
        <w:gridCol w:w="600"/>
        <w:gridCol w:w="45"/>
        <w:gridCol w:w="30"/>
        <w:gridCol w:w="120"/>
        <w:gridCol w:w="75"/>
        <w:gridCol w:w="60"/>
        <w:gridCol w:w="660"/>
        <w:gridCol w:w="45"/>
        <w:gridCol w:w="15"/>
        <w:gridCol w:w="15"/>
        <w:gridCol w:w="195"/>
        <w:gridCol w:w="15"/>
        <w:gridCol w:w="45"/>
        <w:gridCol w:w="495"/>
        <w:gridCol w:w="15"/>
        <w:gridCol w:w="225"/>
        <w:gridCol w:w="15"/>
        <w:gridCol w:w="60"/>
        <w:gridCol w:w="30"/>
        <w:gridCol w:w="600"/>
        <w:gridCol w:w="15"/>
        <w:gridCol w:w="150"/>
        <w:gridCol w:w="15"/>
        <w:gridCol w:w="45"/>
        <w:gridCol w:w="180"/>
        <w:gridCol w:w="795"/>
        <w:gridCol w:w="105"/>
        <w:gridCol w:w="30"/>
        <w:gridCol w:w="60"/>
        <w:gridCol w:w="30"/>
        <w:gridCol w:w="90"/>
        <w:gridCol w:w="11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15" w:type="dxa"/>
            <w:gridSpan w:val="1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2024年政府隐性债务支出责任项目</w:t>
            </w:r>
          </w:p>
        </w:tc>
        <w:tc>
          <w:tcPr>
            <w:tcW w:w="184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王兴龙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2612.43</w:t>
            </w:r>
          </w:p>
        </w:tc>
        <w:tc>
          <w:tcPr>
            <w:tcW w:w="990"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4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2612.43</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为了深入贯彻落实区、州党委、政府“贯彻落实新发展理念、打赢三大攻坚战”干部大会及化解政府债务系列会议精神，有效化解地方政府债务风险，做好防范化解政府债务各项工作，按照化解政府债务整改要求,第一时间上报全口径债务监测平台项目，并完成了还款协议的签订。逐年完成政府债务化解工作逐年完成政府债务化解工作。2024年计划清欠项目数2个（呼图壁县天山雪大道路灯亮化工程121.19万元、西域春河景观一期工程2491.24万元），清欠工程款共计2612.43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债务清欠项目还款个数</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&lt;=2个</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预算资金支付完成率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项目资金支付及时率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降低信访矛盾</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降低</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重大安全事故发生数（起）</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=0</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290"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验收单位满意度（%）</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7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315" w:type="dxa"/>
            <w:gridSpan w:val="1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2024年公用设施及路灯电费项目</w:t>
            </w:r>
          </w:p>
        </w:tc>
        <w:tc>
          <w:tcPr>
            <w:tcW w:w="184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胡传余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380</w:t>
            </w:r>
          </w:p>
        </w:tc>
        <w:tc>
          <w:tcPr>
            <w:tcW w:w="990"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4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380</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1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合理利用路等资源，合理制定路灯开关时间，充分节约电能，完善城市照明功能，保证市民夜间正常出行，美化、亮化城市环境，进一步提升城市品位和市民幸福指数。保障全县路灯、人行道灯与信号灯的正常运行，保障居民夜间出行和行车安全 确保路灯照明平均运行时间≤13小时 确保供电可靠率≥95% 确保公用设施路灯灯光亮化率≥95% 确保路灯电费支付及时率 ≥95% 确保重大节日公用设施照明正常运转率 ≥95% 确保受益群众满意度≥95% 绩效目标信息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6"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3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年用电量</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&lt;=9500000千瓦时</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路灯照明日平均运行时间</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&gt;=13小时</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供电可靠率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公用设施路灯亮化率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路灯电费支付完成时限</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2024.12.31</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3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路灯电费支付及时率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公用设施用电费</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&lt;=380万元</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37"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37" w:type="dxa"/>
            <w:gridSpan w:val="2"/>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方便居民出行，保障夜间交通安全</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有效保障</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37" w:type="dxa"/>
            <w:gridSpan w:val="2"/>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重大节日公用设施照明正常运转率</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6"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290"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受益群体满意度</w:t>
            </w:r>
          </w:p>
        </w:tc>
        <w:tc>
          <w:tcPr>
            <w:tcW w:w="103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00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1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55" w:type="dxa"/>
            <w:gridSpan w:val="1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2024年污水处理费</w:t>
            </w:r>
          </w:p>
        </w:tc>
        <w:tc>
          <w:tcPr>
            <w:tcW w:w="168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王兴龙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1560</w:t>
            </w:r>
          </w:p>
        </w:tc>
        <w:tc>
          <w:tcPr>
            <w:tcW w:w="106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gridSpan w:val="5"/>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1560</w:t>
            </w: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总体目标：提高区域污染减排能力，降低盐池湾调蓄水库黑臭风险，提高再生水利用率，缓解呼图壁县水资源短缺局面，改善区域水生态环境质量。通过该项目的实施，年度内做好生活污水处理工作，保障出水水质合格率达到100%，改善我县水体水质，改善县城的生态环境，改善经济发展环境，增加城市可持续发展的动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日处理排放量</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&lt;=1.74万吨</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年污水处理量</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&lt;=636.73万吨</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污水处理率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出水水质合格率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污水处理费支付及时率</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污水处理成本</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&lt;=2.49/吨</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预算支出标准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保障污水处理厂正常运行，解决城区的生活污水处理，改善水质</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明显改善</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1290"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生活污水得到有效处理，减少环境污染，改善县城的生态环境</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效果显著</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290" w:type="dxa"/>
            <w:gridSpan w:val="4"/>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90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06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5"/>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8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24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197"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298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2024年城区绿化养护费</w:t>
            </w:r>
          </w:p>
        </w:tc>
        <w:tc>
          <w:tcPr>
            <w:tcW w:w="1770" w:type="dxa"/>
            <w:gridSpan w:val="1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22"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张文勇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480</w:t>
            </w:r>
          </w:p>
        </w:tc>
        <w:tc>
          <w:tcPr>
            <w:tcW w:w="99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2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480</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22"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确保各类公共绿化苗木的正常生长，做到行道树和绿地无死树，无枯死、色块苗木，树木、花卉修剪基本合理、树形美观，行道树枯死率控制在1%以内，绿化生活垃圾做到日产日清，花坛及绿地无明显垃圾，保证新植绿化树苗和苗木成活率在95%以上。促进城市绿化事业的发展，改善生态环境，美化生活环境，增进人民身心健康，提升城市形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绿化养护面积</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&lt;=240.76万平方米</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绿化养护管理达标率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&gt;=99%</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城区绿化养护覆盖率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绿化养护及时率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绿化养护费支付及时率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改善城区居住环境</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提高城市空气质量</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5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94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99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2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95"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4"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045" w:type="dxa"/>
            <w:gridSpan w:val="1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2024年公共绿地绿化用水费项目</w:t>
            </w:r>
          </w:p>
        </w:tc>
        <w:tc>
          <w:tcPr>
            <w:tcW w:w="1725"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607"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韩小刚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130</w:t>
            </w:r>
          </w:p>
        </w:tc>
        <w:tc>
          <w:tcPr>
            <w:tcW w:w="975"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80"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130</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607" w:type="dxa"/>
            <w:gridSpan w:val="11"/>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通过该项目的实施，完成城区绿地绿化养护管理用水，促进苗木花卉生长。认真贯彻落实新疆维吾尔族自治区城市总体规划，着眼于加快推进“人文新疆、科技新疆、绿色新疆”战略和中国特色世界城市建设。尽快提城市绿化的水平，为呼图壁县城市整体建设和生态水平的提升提供坚实的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绿化用水灌溉面积</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&gt;=241万平方米</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公共绿地苗木花卉成活率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&gt;=91%</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城区绿化用水浇灌覆盖率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绿化用水浇灌及时率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绿化用水水费支付及时率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=100%</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改善城区生态环境，提高城市空气质量</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促进苗木花卉生长，保持绿化覆盖率</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&gt;=35%</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85"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88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&gt;=91%</w:t>
            </w:r>
          </w:p>
        </w:tc>
        <w:tc>
          <w:tcPr>
            <w:tcW w:w="97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80"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94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8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227"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030" w:type="dxa"/>
            <w:gridSpan w:val="1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亚行贷款项目前期费用及保留金项目</w:t>
            </w:r>
          </w:p>
        </w:tc>
        <w:tc>
          <w:tcPr>
            <w:tcW w:w="1905"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牛鹏鸣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260</w:t>
            </w:r>
          </w:p>
        </w:tc>
        <w:tc>
          <w:tcPr>
            <w:tcW w:w="765" w:type="dxa"/>
            <w:gridSpan w:val="3"/>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79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260</w:t>
            </w: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42"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为美化城市环境， 优化自然环境，打造平整畅通的城市道路，为居民出行提供更好的出行体验和保障。拟建道路19 条，总长度约18.05公里。其中：新建主、次干路5 条，改建主、次干路2条，新建改建支路12条。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道路条数</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&lt;=19条</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项目验收合格率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项目资金规范管理使用率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0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工程项目前期办理及时率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0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项目资金支付及时率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&lt;=100%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07"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成本控制率</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0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18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打造平整畅通的城市道路，为居民出行提供更好的出行体验和保障</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良好</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7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0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85" w:type="dxa"/>
            <w:gridSpan w:val="3"/>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城区居民满意度</w:t>
            </w:r>
          </w:p>
        </w:tc>
        <w:tc>
          <w:tcPr>
            <w:tcW w:w="1080"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765"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79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111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17"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color w:val="000000"/>
                <w:kern w:val="2"/>
                <w:sz w:val="22"/>
                <w:szCs w:val="22"/>
                <w:highlight w:val="none"/>
                <w:lang w:val="en-US" w:eastAsia="zh-Hans" w:bidi="ar-SA"/>
              </w:rPr>
            </w:pPr>
          </w:p>
          <w:p>
            <w:pPr>
              <w:jc w:val="center"/>
              <w:rPr>
                <w:rFonts w:hint="eastAsia" w:ascii="宋体" w:hAnsi="宋体" w:eastAsia="宋体" w:cs="宋体"/>
                <w:color w:val="000000"/>
                <w:kern w:val="2"/>
                <w:sz w:val="22"/>
                <w:szCs w:val="22"/>
                <w:highlight w:val="none"/>
                <w:lang w:val="en-US" w:eastAsia="zh-Hans" w:bidi="ar-SA"/>
              </w:rPr>
            </w:pPr>
          </w:p>
          <w:p>
            <w:pPr>
              <w:jc w:val="center"/>
              <w:rPr>
                <w:rFonts w:hint="eastAsia" w:ascii="宋体" w:hAnsi="宋体" w:eastAsia="宋体" w:cs="宋体"/>
                <w:color w:val="000000"/>
                <w:kern w:val="2"/>
                <w:sz w:val="22"/>
                <w:szCs w:val="22"/>
                <w:highlight w:val="none"/>
                <w:lang w:val="en-US" w:eastAsia="zh-Hans" w:bidi="ar-SA"/>
              </w:rPr>
            </w:pPr>
            <w:r>
              <w:rPr>
                <w:rFonts w:hint="eastAsia" w:ascii="仿宋_GB2312" w:hAnsi="宋体" w:eastAsia="仿宋_GB2312" w:cs="仿宋_GB2312"/>
                <w:b/>
                <w:color w:val="000000"/>
                <w:kern w:val="0"/>
                <w:sz w:val="32"/>
                <w:szCs w:val="32"/>
                <w:highlight w:val="none"/>
                <w:lang w:val="en-US" w:eastAsia="zh-CN" w:bidi="ar"/>
              </w:rPr>
              <w:t>项目支出绩效目标表</w:t>
            </w:r>
          </w:p>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060" w:type="dxa"/>
            <w:gridSpan w:val="1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2024年农村危房改造补助</w:t>
            </w:r>
          </w:p>
        </w:tc>
        <w:tc>
          <w:tcPr>
            <w:tcW w:w="186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57"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海尼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41.02</w:t>
            </w:r>
          </w:p>
        </w:tc>
        <w:tc>
          <w:tcPr>
            <w:tcW w:w="1020" w:type="dxa"/>
            <w:gridSpan w:val="8"/>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0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41.02</w:t>
            </w: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57" w:type="dxa"/>
            <w:gridSpan w:val="10"/>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负责农村危房改造、村镇治理管理相关工作，保障农村低收入群体基本住房安全，推进村镇建设发展，提高农村和城镇风貌，改善人居环境。帮助符合条件对像实施危房改造和农房抗震改造，实施并完成中央安排的2024年农村危房改造任务，稳步实现农村贫困人口住房安全有保障。2024年计划安排预算资金41.02万元，用于支付农村危房改造补助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农村危房改造项目数</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&lt;=2个</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restart"/>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项目验收合格率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抗震防灾工程建房满足基本居住功能比例</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当年按期开工率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资金支付及时率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&lt;=100%</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农村危房改造补助标准</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&lt;=1.85万元/户</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抗震防灾工程建房户入住率</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12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改造后房屋保持安全期限</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长期保持</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4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25" w:type="dxa"/>
            <w:gridSpan w:val="2"/>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抗震防灾工程建房户满意度</w:t>
            </w:r>
          </w:p>
        </w:tc>
        <w:tc>
          <w:tcPr>
            <w:tcW w:w="91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020"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70"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287"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41"/>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41"/>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4</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377" w:type="dxa"/>
            <w:gridSpan w:val="3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呼图壁县住房和城乡建设局本级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270" w:type="dxa"/>
            <w:gridSpan w:val="1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2024年中央财政城镇保障性安居工程补助资金-2024年老旧小区</w:t>
            </w:r>
          </w:p>
        </w:tc>
        <w:tc>
          <w:tcPr>
            <w:tcW w:w="1710" w:type="dxa"/>
            <w:gridSpan w:val="1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397"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徐建国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224</w:t>
            </w:r>
          </w:p>
        </w:tc>
        <w:tc>
          <w:tcPr>
            <w:tcW w:w="1005" w:type="dxa"/>
            <w:gridSpan w:val="7"/>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55" w:type="dxa"/>
            <w:gridSpan w:val="6"/>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i w:val="0"/>
                <w:iCs w:val="0"/>
                <w:color w:val="000000"/>
                <w:kern w:val="0"/>
                <w:sz w:val="18"/>
                <w:szCs w:val="18"/>
                <w:highlight w:val="none"/>
                <w:u w:val="none"/>
                <w:lang w:val="en-US" w:eastAsia="zh-CN" w:bidi="ar"/>
              </w:rPr>
              <w:t>224</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397" w:type="dxa"/>
            <w:gridSpan w:val="8"/>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883"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377" w:type="dxa"/>
            <w:gridSpan w:val="3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center"/>
              <w:textAlignment w:val="top"/>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通过项目的建设，持续推进老旧小区环境综合整治提升工程，极大 地提升了老住宅小区居民的居住条件和生活环境，从而满足居民居住和 生活需求，进一步改造老旧小区居民的生活质量，优化城区人居环境。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highlight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老旧小区改造面积</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&gt;=3.99万平方</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老旧小区改造户数</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&gt;=498户</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老旧小区改造楼栋数量</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&gt;=18栋</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老旧小区改造小区数量</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&gt;=3个</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kern w:val="0"/>
                <w:sz w:val="20"/>
                <w:szCs w:val="20"/>
                <w:highlight w:val="none"/>
                <w:u w:val="none"/>
                <w:lang w:val="en-US" w:eastAsia="zh-CN" w:bidi="ar"/>
              </w:rPr>
            </w:pP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项目施工验收合格（率）</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942"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预算成本控制率</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&gt;=95%</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942" w:type="dxa"/>
            <w:gridSpan w:val="3"/>
            <w:vMerge w:val="restart"/>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有效改善老旧小区居民居住条件</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改善</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942" w:type="dxa"/>
            <w:gridSpan w:val="3"/>
            <w:vMerge w:val="continue"/>
            <w:tcBorders>
              <w:top w:val="single" w:color="000000" w:sz="4" w:space="0"/>
              <w:left w:val="single" w:color="000000" w:sz="4" w:space="0"/>
              <w:bottom w:val="single" w:color="auto"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项目持续发挥作用的期限</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&gt;=2年</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94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94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395" w:type="dxa"/>
            <w:gridSpan w:val="5"/>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老旧小区居民满意度</w:t>
            </w:r>
          </w:p>
        </w:tc>
        <w:tc>
          <w:tcPr>
            <w:tcW w:w="870" w:type="dxa"/>
            <w:gridSpan w:val="5"/>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&gt;=90%</w:t>
            </w:r>
          </w:p>
        </w:tc>
        <w:tc>
          <w:tcPr>
            <w:tcW w:w="1005"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rPr>
                <w:highlight w:val="none"/>
              </w:rPr>
            </w:pPr>
          </w:p>
        </w:tc>
        <w:tc>
          <w:tcPr>
            <w:tcW w:w="855"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975"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422" w:type="dxa"/>
            <w:gridSpan w:val="6"/>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lang w:eastAsia="zh-CN"/>
        </w:rPr>
        <w:t>（六）</w:t>
      </w: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呼图壁县住房和城乡建设局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pPr>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- 2 -</w:t>
                    </w:r>
                    <w:r>
                      <w:fldChar w:fldCharType="end"/>
                    </w:r>
                  </w:p>
                </w:txbxContent>
              </v:textbox>
            </v:shape>
          </w:pict>
        </mc:Fallback>
      </mc:AlternateConten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- 56 -</w:t>
                    </w:r>
                    <w:r>
                      <w:fldChar w:fldCharType="end"/>
                    </w:r>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92A5F2"/>
    <w:multiLevelType w:val="singleLevel"/>
    <w:tmpl w:val="6292A5F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00172A27"/>
    <w:rsid w:val="00EE2224"/>
    <w:rsid w:val="040146C1"/>
    <w:rsid w:val="04267B2D"/>
    <w:rsid w:val="05397FD9"/>
    <w:rsid w:val="06915DC0"/>
    <w:rsid w:val="070E6657"/>
    <w:rsid w:val="08450B28"/>
    <w:rsid w:val="09987741"/>
    <w:rsid w:val="0AD265B9"/>
    <w:rsid w:val="0B247F12"/>
    <w:rsid w:val="0D2A4BAD"/>
    <w:rsid w:val="0D6E5FD0"/>
    <w:rsid w:val="0E9208E7"/>
    <w:rsid w:val="0FA14106"/>
    <w:rsid w:val="10587512"/>
    <w:rsid w:val="10916BDA"/>
    <w:rsid w:val="11673C3B"/>
    <w:rsid w:val="1697741D"/>
    <w:rsid w:val="1732414C"/>
    <w:rsid w:val="1BEB54C3"/>
    <w:rsid w:val="1C3C6084"/>
    <w:rsid w:val="1CEB6DC6"/>
    <w:rsid w:val="1D3E1AFE"/>
    <w:rsid w:val="1D6B74FA"/>
    <w:rsid w:val="1EB61656"/>
    <w:rsid w:val="203B3B70"/>
    <w:rsid w:val="20DD55C0"/>
    <w:rsid w:val="22DB78DD"/>
    <w:rsid w:val="244D65B8"/>
    <w:rsid w:val="2492221D"/>
    <w:rsid w:val="26B4291F"/>
    <w:rsid w:val="26E769FA"/>
    <w:rsid w:val="26F91765"/>
    <w:rsid w:val="293B2E83"/>
    <w:rsid w:val="2A012DF7"/>
    <w:rsid w:val="2AFC4894"/>
    <w:rsid w:val="2D480265"/>
    <w:rsid w:val="2D977453"/>
    <w:rsid w:val="2EF22236"/>
    <w:rsid w:val="38606819"/>
    <w:rsid w:val="3FDF4D23"/>
    <w:rsid w:val="43C26223"/>
    <w:rsid w:val="43D8307E"/>
    <w:rsid w:val="44C3351F"/>
    <w:rsid w:val="46CE3131"/>
    <w:rsid w:val="494F7907"/>
    <w:rsid w:val="4C0055E5"/>
    <w:rsid w:val="4C3677AE"/>
    <w:rsid w:val="4C706B3A"/>
    <w:rsid w:val="50883A25"/>
    <w:rsid w:val="51C15CED"/>
    <w:rsid w:val="52285DEB"/>
    <w:rsid w:val="52AD62F0"/>
    <w:rsid w:val="546308FE"/>
    <w:rsid w:val="5ADB616C"/>
    <w:rsid w:val="5B2C65A4"/>
    <w:rsid w:val="5DF2092F"/>
    <w:rsid w:val="5F2346ED"/>
    <w:rsid w:val="61086613"/>
    <w:rsid w:val="6408782B"/>
    <w:rsid w:val="65322CBF"/>
    <w:rsid w:val="68CC52CB"/>
    <w:rsid w:val="68DE4FFE"/>
    <w:rsid w:val="694B58D7"/>
    <w:rsid w:val="69CE4E15"/>
    <w:rsid w:val="6B7F3246"/>
    <w:rsid w:val="6EF07839"/>
    <w:rsid w:val="6F63000B"/>
    <w:rsid w:val="72926F9F"/>
    <w:rsid w:val="72AE5159"/>
    <w:rsid w:val="72B56DCF"/>
    <w:rsid w:val="75B570E6"/>
    <w:rsid w:val="75DF3711"/>
    <w:rsid w:val="780A1873"/>
    <w:rsid w:val="787D11B8"/>
    <w:rsid w:val="78992A51"/>
    <w:rsid w:val="792C5912"/>
    <w:rsid w:val="7B692766"/>
    <w:rsid w:val="7CF03FB9"/>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font11"/>
    <w:basedOn w:val="7"/>
    <w:qFormat/>
    <w:uiPriority w:val="0"/>
    <w:rPr>
      <w:rFonts w:hint="eastAsia" w:ascii="宋体" w:hAnsi="宋体" w:eastAsia="宋体" w:cs="宋体"/>
      <w:color w:val="000000"/>
      <w:sz w:val="24"/>
      <w:szCs w:val="24"/>
      <w:u w:val="none"/>
    </w:rPr>
  </w:style>
  <w:style w:type="character" w:customStyle="1" w:styleId="9">
    <w:name w:val="font51"/>
    <w:basedOn w:val="7"/>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0</Words>
  <Characters>0</Characters>
  <Lines>0</Lines>
  <Paragraphs>0</Paragraphs>
  <TotalTime>5</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2024-07-25T02:48:00Z</cp:lastPrinted>
  <dcterms:modified xsi:type="dcterms:W3CDTF">2024-07-25T04:59:44Z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38493ABB1670409E8792B81342AFE7EF_13</vt:lpwstr>
  </property>
</Properties>
</file>