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呼图壁县农业农村局</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呼图壁县农业农村局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呼图壁县农业农村局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一、</w:t>
      </w:r>
      <w:r>
        <w:rPr>
          <w:rFonts w:hint="eastAsia" w:ascii="仿宋_GB2312" w:hAnsi="仿宋_GB2312" w:eastAsia="仿宋_GB2312" w:cs="仿宋_GB2312"/>
          <w:b w:val="0"/>
          <w:bCs w:val="0"/>
          <w:color w:val="auto"/>
          <w:kern w:val="0"/>
          <w:sz w:val="32"/>
          <w:szCs w:val="32"/>
          <w:highlight w:val="none"/>
          <w:lang w:val="en-US" w:eastAsia="zh-CN"/>
        </w:rPr>
        <w:t>呼图壁县农业农村局</w:t>
      </w:r>
      <w:r>
        <w:rPr>
          <w:rFonts w:hint="eastAsia" w:ascii="仿宋_GB2312" w:hAnsi="仿宋_GB2312" w:eastAsia="仿宋_GB2312" w:cs="仿宋_GB2312"/>
          <w:b w:val="0"/>
          <w:bCs w:val="0"/>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二、</w:t>
      </w:r>
      <w:r>
        <w:rPr>
          <w:rFonts w:hint="eastAsia" w:ascii="仿宋_GB2312" w:hAnsi="仿宋_GB2312" w:eastAsia="仿宋_GB2312" w:cs="仿宋_GB2312"/>
          <w:b w:val="0"/>
          <w:bCs w:val="0"/>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三、呼图壁县农业农村局支出总体情况表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呼图壁县农业农村局</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呼图壁县农业农村局2024年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呼图壁县农业农村局2024年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呼图壁县农业农村局2024年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呼图壁县农业农村局2024年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呼图壁县农业农村局2024年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呼图壁县农业农村局2024年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呼图壁县农业农村局2024年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呼图壁县农业农村局2024年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呼图壁县农业农村局2024年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呼图壁县农业农村局2024年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呼图壁县农业农村局2024年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呼图壁县农业农村局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eastAsia" w:ascii="仿宋_GB2312" w:hAnsi="仿宋" w:eastAsia="仿宋_GB2312"/>
          <w:sz w:val="32"/>
          <w:szCs w:val="32"/>
          <w:lang w:eastAsia="zh-CN"/>
        </w:rPr>
      </w:pPr>
      <w:r>
        <w:rPr>
          <w:rFonts w:hint="eastAsia" w:ascii="仿宋_GB2312" w:hAnsi="仿宋" w:eastAsia="仿宋_GB2312"/>
          <w:sz w:val="32"/>
          <w:szCs w:val="32"/>
          <w:lang w:eastAsia="zh-CN"/>
        </w:rPr>
        <w:t>呼图壁县农业农村局是政府下属职能部门，属于执行行政单位会计制度的一级预算单位。主要职能：</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一、研究拟定全县农业各产业及农村经济发展中长期规划、农业产业政策、年度工作计划，并组织实施；组织指导县种植业、畜牧业等农业产业基地及示范园建设工作；指导监督农业综合执法；参与涉农的财税、价格、收储、金融保险等政策研究。</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二、统筹推动发展县农村社会事业、农村公共服务、农村基础设施和乡村治理；牵头组织改善农村人居环境，统筹指导村庄整治、村容村貌提升，推进美丽乡村建设；指导农村精神文明和优秀农耕文化建设；指导农业行业安全生产工作。</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三、贯彻落实深化农村经济体制改革和稳定完善农村基本经营制度的政策；负责农村土地承包及承包合同管理，支持有关调解组织和农村土地承包仲裁委员会依法开展工作；指导、监督减轻农民负担和农村土地承包经营权流转及合同管理工作；负责对农村集体经济组织管理集体资产、农村集体经济审计工作进行指导、协调、监督和管理；指导农民合作经济组织、农业社会化服务体系、新型农业经营主体建设与发展；参与农村综合改革和有关农村社会事务工作。</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四、指导乡村特色产业、农产品加工业、休闲农业和乡镇企业发展工作。负责农产品供求信息、价格信息的收集和分析；提出促进大宗农产品流通的建议，培育、保护农业品牌；组织龙头企业和农产品加工企业开展招商引资和对外经济技术合作工作；组织对国家、自治区、自治州、县农业产业化龙头企业的初审报批和监测工作；监测分析农业农村经济运行，发布农业农村经济信息；承担农业统计和农业农村信息化有关工作，建立农业信息搜集、整理和发布制度。</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五、负责种植业、畜牧业、渔业、地方国有农场、农业机械化等农业各产业的监督管理；指导粮食、棉花等农畜产品生产；组织构建现代农业产业体系、生产体系、经营体系，指导农业标准化生产；组织落实促进粮食等主要农产品生产发展的相关政策措施；引导农业产业结构合理调整、农业资源合理配置和农产品品质改善；提出有关农产品及农业生产资料价格、农村信贷、税收及农业财政补贴的政策建议。</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六、负责农产品质量安全监督管理。组织开展农产品质量安全监测、追溯、风险评估；参与制定农产品质量安全地方标准并会同有关部门组织实施；指导农产品质量安全监管、检验检测体系建设；推进农产品基地建设，指导协调农产品“三品一标”认证工作。</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七、组织县农业资源区划可持续发展工作。指导农用地、渔业水域以及农业生物物种的保护与管理，负责耕地及永久基本农田质量保护工作；指导农产品产地环境管理和农业清洁生产；指导设施农业、生态循环农业、节水农业发展以及农村可再生能源综合开发利用，指导农作物秸秆、畜禽粪便、农产品加工副产品等农业生物质产业发展；负责农业生物物种资源的保护、利用；承担外来物种相关管理工作。</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八、负责县有关农业生产资料和农业投入品的监督管理。组织农业生产资料市场体系建设，监督实施有关农业生产资料地方标准；依法开展农作物种子（种苗）、种畜禽、农药、化肥等农业投入品的许可及监督管理。</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九、负责畜牧兽医工作。指导全县畜牧业生产、养殖基地建设、畜禽产业化发展工作；监督管理兽医医政和兽药药政工作；负责官方兽医和执业兽医管理以及兽医实验室生物安全管理；负责兽药、饲料及饲料添加剂、生鲜乳生产、收购、运输环节、畜禽屠宰环节质量安全监督管理。</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十、负责全县农业防灾减灾、农作物重大病虫害防治工作，监测农业灾情；制定重大动物疫病控制和扑灭计划；指导动植物防疫检疫体系建设，组织监督动植物防疫、检疫及疫情扑灭工作；组织协调实施农业抗灾、防灾减灾和农业保险工作。</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十一、负责农业投资管理。提出县农业投融资体制机制改革建议。研究拟订县农业重点建设项目及投资计划并监督实施；管理利用外资项目，负责农牧业投资项目、农业综合开发项目、农田整治项目、农田水利建设等农业投资项目资金安排和监督管理。</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十二、承担县农业科技体制改革和农业科技创新体系建设。指导农业产业技术体系和农技推广体系建设，组织开展农业领域的高新技术和应用技术研究、科技成果转化和技术推广；组织协调和实施农业科技推广项目的遴选工作；负责农业转基因生物安全监督管理和农业植物新品种保护。</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十三、指导农业农村人才工作。拟定县农业农村人才队伍建设规划并组织实施；指导农业教育和农业职业技能开发，指导新型职业农民培育、农业科技人才培养和农村实用人才培训工作。</w:t>
      </w:r>
    </w:p>
    <w:p>
      <w:pPr>
        <w:keepNext w:val="0"/>
        <w:keepLines w:val="0"/>
        <w:pageBreakBefore w:val="0"/>
        <w:kinsoku/>
        <w:wordWrap/>
        <w:overflowPunct/>
        <w:topLinePunct w:val="0"/>
        <w:autoSpaceDE/>
        <w:autoSpaceDN/>
        <w:bidi w:val="0"/>
        <w:adjustRightInd/>
        <w:snapToGrid w:val="0"/>
        <w:spacing w:before="0" w:beforeLines="0" w:after="0" w:afterLines="0" w:line="560" w:lineRule="exact"/>
        <w:ind w:left="0" w:leftChars="0" w:right="0" w:rightChars="0" w:firstLine="640" w:firstLineChars="200"/>
        <w:outlineLvl w:val="9"/>
        <w:rPr>
          <w:rFonts w:hint="default" w:ascii="仿宋_GB2312" w:hAnsi="仿宋" w:eastAsia="仿宋_GB2312"/>
          <w:sz w:val="32"/>
          <w:szCs w:val="32"/>
          <w:lang w:eastAsia="zh-CN"/>
        </w:rPr>
      </w:pPr>
      <w:r>
        <w:rPr>
          <w:rFonts w:hint="default" w:ascii="仿宋_GB2312" w:hAnsi="仿宋" w:eastAsia="仿宋_GB2312"/>
          <w:sz w:val="32"/>
          <w:szCs w:val="32"/>
          <w:lang w:eastAsia="zh-CN"/>
        </w:rPr>
        <w:t>十四、牵头开展农业对外合作工作。承办县农业涉外事务，参与县农业贸易促进和农业对外交流合作，提出促进县外向型农业发展的政策建议，协助有关部门组织实施有关农业援外项目。</w:t>
      </w:r>
    </w:p>
    <w:p>
      <w:pPr>
        <w:widowControl/>
        <w:spacing w:line="560" w:lineRule="exact"/>
        <w:jc w:val="left"/>
        <w:rPr>
          <w:rFonts w:ascii="仿宋_GB2312" w:hAnsi="宋体" w:eastAsia="仿宋_GB2312" w:cs="宋体"/>
          <w:bCs/>
          <w:color w:val="auto"/>
          <w:kern w:val="0"/>
          <w:sz w:val="32"/>
          <w:szCs w:val="32"/>
          <w:highlight w:val="none"/>
        </w:rPr>
      </w:pPr>
      <w:r>
        <w:rPr>
          <w:rFonts w:hint="default" w:ascii="仿宋_GB2312" w:hAnsi="仿宋" w:eastAsia="仿宋_GB2312"/>
          <w:sz w:val="32"/>
          <w:szCs w:val="32"/>
          <w:lang w:eastAsia="zh-CN"/>
        </w:rPr>
        <w:t>十五、完成县党委、县人民政府交办的其他事项。</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val="en-US" w:eastAsia="zh-CN"/>
        </w:rPr>
        <w:t>呼图壁县农业农村局</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6</w:t>
      </w:r>
      <w:r>
        <w:rPr>
          <w:rFonts w:hint="eastAsia" w:ascii="仿宋_GB2312" w:hAnsi="黑体" w:eastAsia="仿宋_GB2312" w:cs="宋体"/>
          <w:bCs/>
          <w:color w:val="auto"/>
          <w:kern w:val="0"/>
          <w:sz w:val="32"/>
          <w:szCs w:val="32"/>
          <w:highlight w:val="none"/>
        </w:rPr>
        <w:t>个处室，分别是：</w:t>
      </w:r>
      <w:r>
        <w:rPr>
          <w:rFonts w:hint="eastAsia" w:ascii="仿宋_GB2312" w:hAnsi="仿宋_GB2312" w:eastAsia="仿宋_GB2312" w:cs="仿宋_GB2312"/>
          <w:sz w:val="32"/>
          <w:szCs w:val="32"/>
          <w:lang w:val="en-US" w:eastAsia="zh-CN"/>
        </w:rPr>
        <w:t>综合科（计划财务科）、科教法规科（行政审批科）、产业发展科（县畜禽屠宰管理办公室）、市场与信息化科、农业科、畜牧兽医科（县重大动物疫病防控指挥部办公室）；下设2个副科级事业单位，分别是：农业综合执法大队、畜牧业发展服务中心。</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呼图壁县农业农村局</w:t>
      </w:r>
      <w:r>
        <w:rPr>
          <w:rFonts w:hint="eastAsia" w:ascii="仿宋_GB2312" w:hAnsi="仿宋_GB2312" w:eastAsia="仿宋_GB2312" w:cs="仿宋_GB2312"/>
          <w:color w:val="000000"/>
          <w:kern w:val="0"/>
          <w:sz w:val="32"/>
          <w:szCs w:val="32"/>
          <w:lang w:val="en-US" w:eastAsia="zh-CN" w:bidi="ar"/>
        </w:rPr>
        <w:t>单位编制数59，实有人数114人，</w:t>
      </w:r>
      <w:r>
        <w:rPr>
          <w:rFonts w:hint="eastAsia" w:ascii="仿宋_GB2312" w:hAnsi="宋体" w:eastAsia="仿宋_GB2312" w:cs="宋体"/>
          <w:color w:val="auto"/>
          <w:kern w:val="0"/>
          <w:sz w:val="32"/>
          <w:szCs w:val="32"/>
          <w:highlight w:val="none"/>
        </w:rPr>
        <w:t>其中：在职</w:t>
      </w:r>
      <w:r>
        <w:rPr>
          <w:rFonts w:hint="eastAsia" w:ascii="仿宋_GB2312" w:hAnsi="宋体" w:eastAsia="仿宋_GB2312" w:cs="宋体"/>
          <w:color w:val="auto"/>
          <w:kern w:val="0"/>
          <w:sz w:val="32"/>
          <w:szCs w:val="32"/>
          <w:highlight w:val="none"/>
          <w:lang w:val="en-US" w:eastAsia="zh-CN"/>
        </w:rPr>
        <w:t>54</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val="en-US" w:eastAsia="zh-CN"/>
        </w:rPr>
        <w:t>减少3人</w:t>
      </w:r>
      <w:r>
        <w:rPr>
          <w:rFonts w:hint="eastAsia" w:ascii="仿宋_GB2312" w:hAnsi="宋体" w:eastAsia="仿宋_GB2312" w:cs="宋体"/>
          <w:color w:val="auto"/>
          <w:kern w:val="0"/>
          <w:sz w:val="32"/>
          <w:szCs w:val="32"/>
          <w:highlight w:val="none"/>
        </w:rPr>
        <w:t>；退休</w:t>
      </w:r>
      <w:r>
        <w:rPr>
          <w:rFonts w:hint="eastAsia" w:ascii="仿宋_GB2312" w:hAnsi="宋体" w:eastAsia="仿宋_GB2312" w:cs="宋体"/>
          <w:color w:val="auto"/>
          <w:kern w:val="0"/>
          <w:sz w:val="32"/>
          <w:szCs w:val="32"/>
          <w:highlight w:val="none"/>
          <w:lang w:val="en-US" w:eastAsia="zh-CN"/>
        </w:rPr>
        <w:t>60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pStyle w:val="2"/>
        <w:rPr>
          <w:rFonts w:hint="eastAsia"/>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val="en-US" w:eastAsia="zh-CN"/>
        </w:rPr>
        <w:t xml:space="preserve"> 2024年呼图壁县农业农村局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yellow"/>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呼图壁县农业农村局收支总体情况表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呼图壁县农业农村局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16120.42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100.00</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14864.42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1129.03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13735.39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321.69</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142.90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1256.00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17326.05</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1256.00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2005.04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2005.04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2005.04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234.82</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rPr>
            </w:pPr>
            <w:r>
              <w:rPr>
                <w:rFonts w:hint="eastAsia" w:ascii="仿宋_GB2312" w:hAnsi="宋体" w:eastAsia="仿宋_GB2312" w:cs="宋体"/>
                <w:color w:val="auto"/>
                <w:kern w:val="0"/>
                <w:sz w:val="18"/>
                <w:szCs w:val="18"/>
                <w:highlight w:val="none"/>
                <w:lang w:val="en-US" w:eastAsia="zh-CN"/>
              </w:rPr>
              <w:t>18125.46</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18125.46</w:t>
            </w:r>
            <w:r>
              <w:rPr>
                <w:rFonts w:hint="eastAsia" w:ascii="仿宋_GB2312" w:hAnsi="宋体" w:eastAsia="仿宋_GB2312" w:cs="宋体"/>
                <w:color w:val="auto"/>
                <w:kern w:val="0"/>
                <w:sz w:val="18"/>
                <w:szCs w:val="18"/>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lang w:val="en-US" w:eastAsia="zh-CN"/>
        </w:rPr>
        <w:t>呼图壁县农业农村局</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呼图壁县农业农村局</w:t>
      </w:r>
      <w:r>
        <w:rPr>
          <w:rFonts w:hint="eastAsia" w:ascii="仿宋_GB2312" w:hAnsi="宋体" w:eastAsia="仿宋_GB2312"/>
          <w:color w:val="auto"/>
          <w:kern w:val="0"/>
          <w:sz w:val="24"/>
          <w:highlight w:val="none"/>
        </w:rPr>
        <w:t xml:space="preserve">                                    单位：万元</w:t>
      </w:r>
    </w:p>
    <w:tbl>
      <w:tblPr>
        <w:tblStyle w:val="6"/>
        <w:tblW w:w="9990" w:type="dxa"/>
        <w:tblInd w:w="-592" w:type="dxa"/>
        <w:tblLayout w:type="fixed"/>
        <w:tblCellMar>
          <w:top w:w="0" w:type="dxa"/>
          <w:left w:w="108" w:type="dxa"/>
          <w:bottom w:w="0" w:type="dxa"/>
          <w:right w:w="108" w:type="dxa"/>
        </w:tblCellMar>
      </w:tblPr>
      <w:tblGrid>
        <w:gridCol w:w="559"/>
        <w:gridCol w:w="417"/>
        <w:gridCol w:w="417"/>
        <w:gridCol w:w="1097"/>
        <w:gridCol w:w="840"/>
        <w:gridCol w:w="825"/>
        <w:gridCol w:w="855"/>
        <w:gridCol w:w="705"/>
        <w:gridCol w:w="510"/>
        <w:gridCol w:w="645"/>
        <w:gridCol w:w="480"/>
        <w:gridCol w:w="630"/>
        <w:gridCol w:w="435"/>
        <w:gridCol w:w="510"/>
        <w:gridCol w:w="570"/>
        <w:gridCol w:w="495"/>
      </w:tblGrid>
      <w:tr>
        <w:tblPrEx>
          <w:tblLayout w:type="fixed"/>
          <w:tblCellMar>
            <w:top w:w="0" w:type="dxa"/>
            <w:left w:w="108" w:type="dxa"/>
            <w:bottom w:w="0" w:type="dxa"/>
            <w:right w:w="108" w:type="dxa"/>
          </w:tblCellMar>
        </w:tblPrEx>
        <w:trPr>
          <w:trHeight w:val="697" w:hRule="atLeast"/>
        </w:trPr>
        <w:tc>
          <w:tcPr>
            <w:tcW w:w="139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9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4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65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3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1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7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9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559"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9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2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5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0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1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8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3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3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1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7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49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一般公共服务支出</w:t>
            </w:r>
          </w:p>
        </w:tc>
        <w:tc>
          <w:tcPr>
            <w:tcW w:w="840" w:type="dxa"/>
            <w:tcBorders>
              <w:top w:val="nil"/>
              <w:left w:val="nil"/>
              <w:bottom w:val="single" w:color="auto" w:sz="4" w:space="0"/>
              <w:right w:val="single" w:color="auto" w:sz="4" w:space="0"/>
            </w:tcBorders>
            <w:shd w:val="clear" w:color="000000" w:fill="FFFFFF"/>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100</w:t>
            </w:r>
          </w:p>
        </w:tc>
        <w:tc>
          <w:tcPr>
            <w:tcW w:w="82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shd w:val="clear" w:color="000000" w:fill="FFFFFF"/>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49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发展与改革事务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其他发展与改革事务支出</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社会保障和就业支出</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321.69</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141.69</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141.69</w:t>
            </w: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180</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行政事业单位养老支出</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321.69</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141.69</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141.69</w:t>
            </w: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180</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行政单位离退休</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51.37</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51.37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51.37</w:t>
            </w: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机关事业单位基本养老保险缴费支出</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240.32</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90.32</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90.32</w:t>
            </w: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机关事业单位职业年金缴费支出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30.00</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30</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卫生健康支出</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142.90</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57.90</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57.90</w:t>
            </w: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85</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行政事业单位医疗</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142.90</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57.90</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57.90</w:t>
            </w: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85</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行政单位医疗</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101.10</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36.10</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36.10</w:t>
            </w: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65</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事业单位医疗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9.07</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9.07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9.07</w:t>
            </w: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公务员医疗补助</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32.42</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12.42</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12.42</w:t>
            </w: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其他行政事业单位医疗支出</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0.32</w:t>
            </w:r>
          </w:p>
        </w:tc>
        <w:tc>
          <w:tcPr>
            <w:tcW w:w="82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0.32</w:t>
            </w:r>
          </w:p>
        </w:tc>
        <w:tc>
          <w:tcPr>
            <w:tcW w:w="85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0.32</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农林水支出</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17326.05</w:t>
            </w:r>
          </w:p>
        </w:tc>
        <w:tc>
          <w:tcPr>
            <w:tcW w:w="82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14590.01</w:t>
            </w:r>
          </w:p>
        </w:tc>
        <w:tc>
          <w:tcPr>
            <w:tcW w:w="85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14590.01</w:t>
            </w:r>
          </w:p>
        </w:tc>
        <w:tc>
          <w:tcPr>
            <w:tcW w:w="705"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13735.39</w:t>
            </w: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831</w:t>
            </w:r>
          </w:p>
        </w:tc>
        <w:tc>
          <w:tcPr>
            <w:tcW w:w="57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1905.04</w:t>
            </w: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农业农村</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16671.05</w:t>
            </w:r>
          </w:p>
        </w:tc>
        <w:tc>
          <w:tcPr>
            <w:tcW w:w="82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14135.01</w:t>
            </w:r>
          </w:p>
        </w:tc>
        <w:tc>
          <w:tcPr>
            <w:tcW w:w="85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14135.01</w:t>
            </w:r>
          </w:p>
        </w:tc>
        <w:tc>
          <w:tcPr>
            <w:tcW w:w="705"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13285.39</w:t>
            </w: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631</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1905.04</w:t>
            </w: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行政运行</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697.28</w:t>
            </w:r>
          </w:p>
        </w:tc>
        <w:tc>
          <w:tcPr>
            <w:tcW w:w="82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616.28</w:t>
            </w:r>
          </w:p>
        </w:tc>
        <w:tc>
          <w:tcPr>
            <w:tcW w:w="85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616.28</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81</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一般行政管理事务</w:t>
            </w:r>
          </w:p>
        </w:tc>
        <w:tc>
          <w:tcPr>
            <w:tcW w:w="8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w:t>
            </w:r>
          </w:p>
        </w:tc>
        <w:tc>
          <w:tcPr>
            <w:tcW w:w="82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w:t>
            </w: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事业运行</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126.35</w:t>
            </w:r>
          </w:p>
        </w:tc>
        <w:tc>
          <w:tcPr>
            <w:tcW w:w="82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126.35</w:t>
            </w:r>
          </w:p>
        </w:tc>
        <w:tc>
          <w:tcPr>
            <w:tcW w:w="85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126.35</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08</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病虫害控制</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14.96</w:t>
            </w:r>
          </w:p>
        </w:tc>
        <w:tc>
          <w:tcPr>
            <w:tcW w:w="82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14.96</w:t>
            </w:r>
          </w:p>
        </w:tc>
        <w:tc>
          <w:tcPr>
            <w:tcW w:w="85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14.96</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14.96</w:t>
            </w: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09</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农产品质量安全</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w:t>
            </w:r>
          </w:p>
        </w:tc>
        <w:tc>
          <w:tcPr>
            <w:tcW w:w="82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w:t>
            </w:r>
          </w:p>
        </w:tc>
        <w:tc>
          <w:tcPr>
            <w:tcW w:w="85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19</w:t>
            </w: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防灾救灾</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48</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48</w:t>
            </w: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稳定农民收入补贴</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2530.43</w:t>
            </w:r>
          </w:p>
        </w:tc>
        <w:tc>
          <w:tcPr>
            <w:tcW w:w="82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2530.43</w:t>
            </w:r>
          </w:p>
        </w:tc>
        <w:tc>
          <w:tcPr>
            <w:tcW w:w="85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2530.43</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2530.43</w:t>
            </w: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农业生产发展</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2546.93</w:t>
            </w:r>
          </w:p>
        </w:tc>
        <w:tc>
          <w:tcPr>
            <w:tcW w:w="82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2375</w:t>
            </w:r>
          </w:p>
        </w:tc>
        <w:tc>
          <w:tcPr>
            <w:tcW w:w="85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2375</w:t>
            </w:r>
          </w:p>
        </w:tc>
        <w:tc>
          <w:tcPr>
            <w:tcW w:w="705"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2375</w:t>
            </w: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171.93</w:t>
            </w: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35</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农业生态资源保护</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455.04</w:t>
            </w:r>
          </w:p>
        </w:tc>
        <w:tc>
          <w:tcPr>
            <w:tcW w:w="82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450</w:t>
            </w:r>
          </w:p>
        </w:tc>
        <w:tc>
          <w:tcPr>
            <w:tcW w:w="57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5.04</w:t>
            </w: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53</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耕地建设与利用</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9964.48</w:t>
            </w:r>
          </w:p>
        </w:tc>
        <w:tc>
          <w:tcPr>
            <w:tcW w:w="82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8365</w:t>
            </w:r>
          </w:p>
        </w:tc>
        <w:tc>
          <w:tcPr>
            <w:tcW w:w="85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8365</w:t>
            </w:r>
          </w:p>
        </w:tc>
        <w:tc>
          <w:tcPr>
            <w:tcW w:w="705"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8365</w:t>
            </w: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1599.48</w:t>
            </w: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其他农业农村支出</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269.6</w:t>
            </w:r>
          </w:p>
        </w:tc>
        <w:tc>
          <w:tcPr>
            <w:tcW w:w="82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92</w:t>
            </w:r>
          </w:p>
        </w:tc>
        <w:tc>
          <w:tcPr>
            <w:tcW w:w="85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92</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57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77.6</w:t>
            </w: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巩固脱贫攻坚成果衔接乡村振兴</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655</w:t>
            </w:r>
          </w:p>
        </w:tc>
        <w:tc>
          <w:tcPr>
            <w:tcW w:w="82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455</w:t>
            </w:r>
          </w:p>
        </w:tc>
        <w:tc>
          <w:tcPr>
            <w:tcW w:w="85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455</w:t>
            </w:r>
          </w:p>
        </w:tc>
        <w:tc>
          <w:tcPr>
            <w:tcW w:w="705"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450</w:t>
            </w: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农村基础设施建设</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450</w:t>
            </w:r>
          </w:p>
        </w:tc>
        <w:tc>
          <w:tcPr>
            <w:tcW w:w="82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450</w:t>
            </w:r>
          </w:p>
        </w:tc>
        <w:tc>
          <w:tcPr>
            <w:tcW w:w="85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450</w:t>
            </w:r>
          </w:p>
        </w:tc>
        <w:tc>
          <w:tcPr>
            <w:tcW w:w="705"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450</w:t>
            </w: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生产发展</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w:t>
            </w:r>
          </w:p>
        </w:tc>
        <w:tc>
          <w:tcPr>
            <w:tcW w:w="82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213</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05</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其他巩固脱贫攻坚成果衔接乡村振兴支出</w:t>
            </w:r>
          </w:p>
        </w:tc>
        <w:tc>
          <w:tcPr>
            <w:tcW w:w="8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w:t>
            </w:r>
          </w:p>
        </w:tc>
        <w:tc>
          <w:tcPr>
            <w:tcW w:w="82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w:t>
            </w:r>
          </w:p>
        </w:tc>
        <w:tc>
          <w:tcPr>
            <w:tcW w:w="85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住房保障支出</w:t>
            </w:r>
          </w:p>
        </w:tc>
        <w:tc>
          <w:tcPr>
            <w:tcW w:w="840"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234.82</w:t>
            </w:r>
          </w:p>
        </w:tc>
        <w:tc>
          <w:tcPr>
            <w:tcW w:w="82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74.82</w:t>
            </w:r>
          </w:p>
        </w:tc>
        <w:tc>
          <w:tcPr>
            <w:tcW w:w="855"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74.82</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160</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lang w:val="en-US" w:eastAsia="zh-CN"/>
              </w:rPr>
            </w:pP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住房改革支出</w:t>
            </w:r>
          </w:p>
        </w:tc>
        <w:tc>
          <w:tcPr>
            <w:tcW w:w="8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234.82</w:t>
            </w:r>
          </w:p>
        </w:tc>
        <w:tc>
          <w:tcPr>
            <w:tcW w:w="82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74.82</w:t>
            </w:r>
          </w:p>
        </w:tc>
        <w:tc>
          <w:tcPr>
            <w:tcW w:w="85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74.82</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160</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97" w:type="dxa"/>
            <w:tcBorders>
              <w:top w:val="nil"/>
              <w:left w:val="nil"/>
              <w:bottom w:val="single" w:color="auto" w:sz="4" w:space="0"/>
              <w:right w:val="single" w:color="auto" w:sz="4" w:space="0"/>
            </w:tcBorders>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8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234.82</w:t>
            </w:r>
          </w:p>
        </w:tc>
        <w:tc>
          <w:tcPr>
            <w:tcW w:w="82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74.82</w:t>
            </w:r>
          </w:p>
        </w:tc>
        <w:tc>
          <w:tcPr>
            <w:tcW w:w="85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74.82</w:t>
            </w:r>
          </w:p>
        </w:tc>
        <w:tc>
          <w:tcPr>
            <w:tcW w:w="70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1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160</w:t>
            </w:r>
          </w:p>
        </w:tc>
        <w:tc>
          <w:tcPr>
            <w:tcW w:w="57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9"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9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18125.46</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14864.42</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14864.42</w:t>
            </w: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13735.39</w:t>
            </w:r>
          </w:p>
        </w:tc>
        <w:tc>
          <w:tcPr>
            <w:tcW w:w="51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1256</w:t>
            </w:r>
          </w:p>
        </w:tc>
        <w:tc>
          <w:tcPr>
            <w:tcW w:w="570"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2005.04</w:t>
            </w:r>
          </w:p>
        </w:tc>
        <w:tc>
          <w:tcPr>
            <w:tcW w:w="495"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yellow"/>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呼图壁县农业农村局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呼图壁县农业农村局</w:t>
      </w:r>
      <w:r>
        <w:rPr>
          <w:rFonts w:hint="eastAsia" w:ascii="仿宋_GB2312" w:hAnsi="宋体" w:eastAsia="仿宋_GB2312"/>
          <w:color w:val="auto"/>
          <w:kern w:val="0"/>
          <w:sz w:val="24"/>
          <w:highlight w:val="none"/>
        </w:rPr>
        <w:t xml:space="preserve">                                    单位：万元</w:t>
      </w:r>
    </w:p>
    <w:tbl>
      <w:tblPr>
        <w:tblStyle w:val="6"/>
        <w:tblW w:w="9487" w:type="dxa"/>
        <w:tblInd w:w="-307" w:type="dxa"/>
        <w:tblLayout w:type="fixed"/>
        <w:tblCellMar>
          <w:top w:w="0" w:type="dxa"/>
          <w:left w:w="108" w:type="dxa"/>
          <w:bottom w:w="0" w:type="dxa"/>
          <w:right w:w="108" w:type="dxa"/>
        </w:tblCellMar>
      </w:tblPr>
      <w:tblGrid>
        <w:gridCol w:w="484"/>
        <w:gridCol w:w="417"/>
        <w:gridCol w:w="417"/>
        <w:gridCol w:w="2587"/>
        <w:gridCol w:w="1844"/>
        <w:gridCol w:w="1845"/>
        <w:gridCol w:w="1893"/>
      </w:tblGrid>
      <w:tr>
        <w:tblPrEx>
          <w:tblLayout w:type="fixed"/>
          <w:tblCellMar>
            <w:top w:w="0" w:type="dxa"/>
            <w:left w:w="108" w:type="dxa"/>
            <w:bottom w:w="0" w:type="dxa"/>
            <w:right w:w="108" w:type="dxa"/>
          </w:tblCellMar>
        </w:tblPrEx>
        <w:trPr>
          <w:trHeight w:val="328" w:hRule="atLeast"/>
        </w:trPr>
        <w:tc>
          <w:tcPr>
            <w:tcW w:w="390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1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一般公共服务支出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lang w:val="en-US" w:eastAsia="zh-CN"/>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100</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发展与改革事务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100</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587"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其他发展与改革事务支出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100</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社会保障和就业支出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321.69</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321.69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行政事业单位养老支出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321.69</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321.69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行政单位离退休</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51.37</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51.37</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机关事业单位基本养老保险缴费支出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240.32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240.32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06</w:t>
            </w: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机关事业单位职业年金缴费支出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卫生健康支出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142.90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142.90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11</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行政事业单位医疗</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142.90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142.90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行政单位医疗</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101.10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101.10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事业单位医疗</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9.07</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9.07</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03</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公务员医疗补助</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32.42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32.42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其他行政事业单位医疗支出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0.32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0.32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农林水支出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17326.05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823.62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16502.43</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农业农村</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16671.05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823.62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15847.43</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行政运行</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697.28</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697.28</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一般行政管理事务</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3</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04</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事业运行</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126.35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126.35</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08</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病虫害控制</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14.96</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14.96</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09</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农产品质量安全</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15</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19</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防灾救灾</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48</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48</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稳定农民收入补贴</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2530.43</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2530.43</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农业生产发展</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2546.93</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2546.93</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35</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农业生态资源保护</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455.04</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455.04</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53</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耕地建设与利用</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9964.48</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9964.48</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其他农业农村支出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269.6</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269.6</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pPr>
              <w:jc w:val="center"/>
              <w:rPr>
                <w:rFonts w:hint="eastAsia" w:ascii="宋体" w:hAnsi="宋体" w:cs="宋体"/>
                <w:b/>
                <w:bCs/>
                <w:color w:val="auto"/>
                <w:kern w:val="0"/>
                <w:sz w:val="22"/>
                <w:szCs w:val="22"/>
                <w:highlight w:val="none"/>
              </w:rPr>
            </w:pPr>
            <w:r>
              <w:rPr>
                <w:rFonts w:hint="eastAsia" w:ascii="仿宋_GB2312" w:eastAsia="仿宋_GB2312"/>
                <w:color w:val="auto"/>
                <w:sz w:val="20"/>
                <w:szCs w:val="20"/>
                <w:highlight w:val="none"/>
              </w:rPr>
              <w:t>巩固脱贫攻坚成果衔接乡村振兴</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655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655</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04</w:t>
            </w:r>
          </w:p>
        </w:tc>
        <w:tc>
          <w:tcPr>
            <w:tcW w:w="2587" w:type="dxa"/>
            <w:tcBorders>
              <w:top w:val="nil"/>
              <w:left w:val="nil"/>
              <w:bottom w:val="single" w:color="auto" w:sz="4" w:space="0"/>
              <w:right w:val="single" w:color="auto" w:sz="4" w:space="0"/>
            </w:tcBorders>
            <w:vAlign w:val="center"/>
          </w:tcPr>
          <w:p>
            <w:pPr>
              <w:jc w:val="center"/>
              <w:rPr>
                <w:rFonts w:hint="eastAsia" w:ascii="宋体" w:hAnsi="宋体" w:cs="宋体"/>
                <w:b/>
                <w:bCs/>
                <w:color w:val="auto"/>
                <w:kern w:val="0"/>
                <w:sz w:val="22"/>
                <w:szCs w:val="22"/>
                <w:highlight w:val="none"/>
              </w:rPr>
            </w:pPr>
            <w:r>
              <w:rPr>
                <w:rFonts w:hint="eastAsia" w:ascii="仿宋_GB2312" w:eastAsia="仿宋_GB2312"/>
                <w:color w:val="auto"/>
                <w:sz w:val="20"/>
                <w:szCs w:val="20"/>
                <w:highlight w:val="none"/>
              </w:rPr>
              <w:t>农村基础设施建设</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450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450</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2587" w:type="dxa"/>
            <w:tcBorders>
              <w:top w:val="nil"/>
              <w:left w:val="nil"/>
              <w:bottom w:val="single" w:color="auto" w:sz="4" w:space="0"/>
              <w:right w:val="single" w:color="auto" w:sz="4" w:space="0"/>
            </w:tcBorders>
            <w:vAlign w:val="center"/>
          </w:tcPr>
          <w:p>
            <w:pPr>
              <w:jc w:val="center"/>
              <w:rPr>
                <w:rFonts w:hint="eastAsia" w:ascii="宋体" w:hAnsi="宋体" w:cs="宋体"/>
                <w:b/>
                <w:bCs/>
                <w:color w:val="auto"/>
                <w:kern w:val="0"/>
                <w:sz w:val="22"/>
                <w:szCs w:val="22"/>
                <w:highlight w:val="none"/>
              </w:rPr>
            </w:pPr>
            <w:r>
              <w:rPr>
                <w:rFonts w:hint="eastAsia" w:ascii="仿宋_GB2312" w:eastAsia="仿宋_GB2312"/>
                <w:color w:val="auto"/>
                <w:sz w:val="20"/>
                <w:szCs w:val="20"/>
                <w:highlight w:val="none"/>
              </w:rPr>
              <w:t>生产发展</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200</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587" w:type="dxa"/>
            <w:tcBorders>
              <w:top w:val="nil"/>
              <w:left w:val="nil"/>
              <w:bottom w:val="single" w:color="auto" w:sz="4" w:space="0"/>
              <w:right w:val="single" w:color="auto" w:sz="4" w:space="0"/>
            </w:tcBorders>
            <w:vAlign w:val="center"/>
          </w:tcPr>
          <w:p>
            <w:pPr>
              <w:jc w:val="center"/>
              <w:rPr>
                <w:rFonts w:hint="eastAsia" w:ascii="宋体" w:hAnsi="宋体" w:cs="宋体"/>
                <w:b/>
                <w:bCs/>
                <w:color w:val="auto"/>
                <w:kern w:val="0"/>
                <w:sz w:val="22"/>
                <w:szCs w:val="22"/>
                <w:highlight w:val="none"/>
              </w:rPr>
            </w:pPr>
            <w:r>
              <w:rPr>
                <w:rFonts w:hint="eastAsia" w:ascii="仿宋_GB2312" w:eastAsia="仿宋_GB2312"/>
                <w:color w:val="auto"/>
                <w:sz w:val="20"/>
                <w:szCs w:val="20"/>
                <w:highlight w:val="none"/>
              </w:rPr>
              <w:t>其他巩固脱贫攻坚成果衔接乡村振兴支出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w:t>
            </w: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pPr>
              <w:jc w:val="center"/>
              <w:rPr>
                <w:rFonts w:hint="eastAsia" w:ascii="宋体" w:hAnsi="宋体" w:cs="宋体"/>
                <w:b/>
                <w:bCs/>
                <w:color w:val="auto"/>
                <w:kern w:val="0"/>
                <w:sz w:val="22"/>
                <w:szCs w:val="22"/>
                <w:highlight w:val="none"/>
              </w:rPr>
            </w:pPr>
            <w:r>
              <w:rPr>
                <w:rFonts w:hint="eastAsia" w:ascii="仿宋_GB2312" w:eastAsia="仿宋_GB2312"/>
                <w:color w:val="auto"/>
                <w:sz w:val="20"/>
                <w:szCs w:val="20"/>
                <w:highlight w:val="none"/>
              </w:rPr>
              <w:t>住房保障支出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234.82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234.82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住房改革支出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234.82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234.82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2587" w:type="dxa"/>
            <w:tcBorders>
              <w:top w:val="nil"/>
              <w:left w:val="nil"/>
              <w:bottom w:val="single" w:color="auto" w:sz="4" w:space="0"/>
              <w:right w:val="single" w:color="auto" w:sz="4" w:space="0"/>
            </w:tcBorders>
            <w:vAlign w:val="center"/>
          </w:tcPr>
          <w:p>
            <w:pPr>
              <w:jc w:val="center"/>
              <w:rPr>
                <w:rFonts w:hint="eastAsia" w:ascii="宋体" w:hAnsi="宋体" w:cs="宋体"/>
                <w:b/>
                <w:bCs/>
                <w:color w:val="auto"/>
                <w:kern w:val="0"/>
                <w:sz w:val="16"/>
                <w:szCs w:val="16"/>
                <w:highlight w:val="none"/>
              </w:rPr>
            </w:pPr>
            <w:r>
              <w:rPr>
                <w:rFonts w:hint="eastAsia" w:ascii="仿宋_GB2312" w:eastAsia="仿宋_GB2312"/>
                <w:color w:val="auto"/>
                <w:sz w:val="20"/>
                <w:szCs w:val="20"/>
                <w:highlight w:val="none"/>
              </w:rPr>
              <w:t>住房公积金</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r>
              <w:rPr>
                <w:rFonts w:hint="eastAsia" w:ascii="宋体" w:hAnsi="宋体" w:cs="宋体"/>
                <w:b/>
                <w:bCs/>
                <w:color w:val="auto"/>
                <w:kern w:val="0"/>
                <w:sz w:val="22"/>
                <w:szCs w:val="22"/>
                <w:highlight w:val="none"/>
                <w:lang w:val="en-US" w:eastAsia="zh-CN"/>
              </w:rPr>
              <w:t>234.82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r>
              <w:rPr>
                <w:rFonts w:hint="eastAsia" w:ascii="宋体" w:hAnsi="宋体" w:cs="宋体"/>
                <w:b/>
                <w:bCs/>
                <w:color w:val="auto"/>
                <w:kern w:val="0"/>
                <w:sz w:val="22"/>
                <w:szCs w:val="22"/>
                <w:highlight w:val="none"/>
                <w:lang w:val="en-US" w:eastAsia="zh-CN"/>
              </w:rPr>
              <w:t>234.82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r>
      <w:tr>
        <w:tblPrEx>
          <w:tblLayout w:type="fixed"/>
          <w:tblCellMar>
            <w:top w:w="0" w:type="dxa"/>
            <w:left w:w="108" w:type="dxa"/>
            <w:bottom w:w="0" w:type="dxa"/>
            <w:right w:w="108" w:type="dxa"/>
          </w:tblCellMar>
        </w:tblPrEx>
        <w:trPr>
          <w:trHeight w:val="405" w:hRule="atLeast"/>
        </w:trPr>
        <w:tc>
          <w:tcPr>
            <w:tcW w:w="484"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18125.46</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1523.03</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16602.43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val="en-US" w:eastAsia="zh-CN"/>
        </w:rPr>
        <w:t>呼图壁县农业农村局</w:t>
      </w:r>
      <w:r>
        <w:rPr>
          <w:rFonts w:hint="eastAsia" w:ascii="仿宋_GB2312" w:hAnsi="宋体" w:eastAsia="仿宋_GB2312"/>
          <w:color w:val="auto"/>
          <w:kern w:val="0"/>
          <w:sz w:val="24"/>
          <w:szCs w:val="24"/>
          <w:highlight w:val="none"/>
        </w:rPr>
        <w:t xml:space="preserve">                                   单位：万元</w:t>
      </w:r>
    </w:p>
    <w:tbl>
      <w:tblPr>
        <w:tblStyle w:val="6"/>
        <w:tblW w:w="9449" w:type="dxa"/>
        <w:tblInd w:w="-240" w:type="dxa"/>
        <w:tblLayout w:type="fixed"/>
        <w:tblCellMar>
          <w:top w:w="0" w:type="dxa"/>
          <w:left w:w="108" w:type="dxa"/>
          <w:bottom w:w="0" w:type="dxa"/>
          <w:right w:w="108" w:type="dxa"/>
        </w:tblCellMar>
      </w:tblPr>
      <w:tblGrid>
        <w:gridCol w:w="1936"/>
        <w:gridCol w:w="997"/>
        <w:gridCol w:w="2497"/>
        <w:gridCol w:w="983"/>
        <w:gridCol w:w="975"/>
        <w:gridCol w:w="1020"/>
        <w:gridCol w:w="1041"/>
      </w:tblGrid>
      <w:tr>
        <w:tblPrEx>
          <w:tblLayout w:type="fixed"/>
          <w:tblCellMar>
            <w:top w:w="0" w:type="dxa"/>
            <w:left w:w="108" w:type="dxa"/>
            <w:bottom w:w="0" w:type="dxa"/>
            <w:right w:w="108" w:type="dxa"/>
          </w:tblCellMar>
        </w:tblPrEx>
        <w:trPr>
          <w:trHeight w:val="285" w:hRule="atLeast"/>
        </w:trPr>
        <w:tc>
          <w:tcPr>
            <w:tcW w:w="2933"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16"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9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7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2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041"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9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14864.42</w:t>
            </w: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9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14864.42</w:t>
            </w: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9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141.69</w:t>
            </w: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141.69</w:t>
            </w: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57.90</w:t>
            </w: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57.90</w:t>
            </w: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14590.01</w:t>
            </w: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14590.01</w:t>
            </w: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74.82</w:t>
            </w: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74.82</w:t>
            </w: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97"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04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97"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14864.42</w:t>
            </w:r>
            <w:r>
              <w:rPr>
                <w:rFonts w:hint="eastAsia" w:ascii="仿宋_GB2312" w:hAnsi="宋体" w:eastAsia="仿宋_GB2312" w:cs="宋体"/>
                <w:b/>
                <w:bCs/>
                <w:color w:val="auto"/>
                <w:kern w:val="0"/>
                <w:sz w:val="20"/>
                <w:szCs w:val="20"/>
                <w:highlight w:val="none"/>
              </w:rPr>
              <w:t>　</w:t>
            </w:r>
          </w:p>
        </w:tc>
        <w:tc>
          <w:tcPr>
            <w:tcW w:w="249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83"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14864.42</w:t>
            </w:r>
            <w:r>
              <w:rPr>
                <w:rFonts w:hint="eastAsia" w:ascii="宋体" w:hAnsi="宋体" w:cs="宋体"/>
                <w:color w:val="auto"/>
                <w:kern w:val="0"/>
                <w:sz w:val="22"/>
                <w:szCs w:val="22"/>
                <w:highlight w:val="none"/>
              </w:rPr>
              <w:t>　</w:t>
            </w:r>
          </w:p>
        </w:tc>
        <w:tc>
          <w:tcPr>
            <w:tcW w:w="97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14864.42</w:t>
            </w:r>
            <w:r>
              <w:rPr>
                <w:rFonts w:hint="eastAsia" w:ascii="宋体" w:hAnsi="宋体" w:cs="宋体"/>
                <w:color w:val="auto"/>
                <w:kern w:val="0"/>
                <w:sz w:val="22"/>
                <w:szCs w:val="22"/>
                <w:highlight w:val="none"/>
              </w:rPr>
              <w:t>　</w:t>
            </w:r>
          </w:p>
        </w:tc>
        <w:tc>
          <w:tcPr>
            <w:tcW w:w="206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ascii="宋体" w:hAnsi="宋体" w:eastAsia="宋体" w:cs="宋体"/>
          <w:i w:val="0"/>
          <w:color w:val="auto"/>
          <w:kern w:val="0"/>
          <w:sz w:val="20"/>
          <w:szCs w:val="20"/>
          <w:highlight w:val="none"/>
          <w:u w:val="none"/>
          <w:lang w:val="en-US" w:eastAsia="zh-CN" w:bidi="ar"/>
        </w:rPr>
      </w:pPr>
    </w:p>
    <w:p>
      <w:pPr>
        <w:pStyle w:val="2"/>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300" w:type="dxa"/>
        <w:tblInd w:w="-120" w:type="dxa"/>
        <w:tblLayout w:type="fixed"/>
        <w:tblCellMar>
          <w:top w:w="0" w:type="dxa"/>
          <w:left w:w="108" w:type="dxa"/>
          <w:bottom w:w="0" w:type="dxa"/>
          <w:right w:w="108" w:type="dxa"/>
        </w:tblCellMar>
      </w:tblPr>
      <w:tblGrid>
        <w:gridCol w:w="560"/>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300"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073" w:type="dxa"/>
            <w:gridSpan w:val="4"/>
            <w:tcBorders>
              <w:top w:val="nil"/>
              <w:left w:val="nil"/>
              <w:bottom w:val="nil"/>
              <w:right w:val="nil"/>
            </w:tcBorders>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呼图壁县农业农村局</w:t>
            </w:r>
          </w:p>
        </w:tc>
        <w:tc>
          <w:tcPr>
            <w:tcW w:w="6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073"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63"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rPr>
              <w:t>社会保障和就业支出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141.69</w:t>
            </w:r>
          </w:p>
        </w:tc>
        <w:tc>
          <w:tcPr>
            <w:tcW w:w="1842"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141.69</w:t>
            </w:r>
          </w:p>
        </w:tc>
        <w:tc>
          <w:tcPr>
            <w:tcW w:w="1701"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51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color w:val="auto"/>
                <w:sz w:val="20"/>
                <w:szCs w:val="20"/>
                <w:highlight w:val="none"/>
              </w:rPr>
              <w:t>行政事业单位养老支出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141.69</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141.69</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251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color w:val="auto"/>
                <w:sz w:val="20"/>
                <w:szCs w:val="20"/>
                <w:highlight w:val="none"/>
              </w:rPr>
              <w:t>行政单位离退休</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51.37</w:t>
            </w:r>
          </w:p>
        </w:tc>
        <w:tc>
          <w:tcPr>
            <w:tcW w:w="1842"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51.37</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251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b/>
                <w:color w:val="auto"/>
                <w:kern w:val="0"/>
                <w:sz w:val="20"/>
                <w:szCs w:val="20"/>
                <w:highlight w:val="none"/>
                <w:lang w:val="en-US" w:eastAsia="zh-CN"/>
              </w:rPr>
            </w:pPr>
            <w:r>
              <w:rPr>
                <w:rFonts w:hint="eastAsia" w:ascii="仿宋_GB2312" w:eastAsia="仿宋_GB2312"/>
                <w:color w:val="auto"/>
                <w:sz w:val="20"/>
                <w:szCs w:val="20"/>
                <w:highlight w:val="none"/>
              </w:rPr>
              <w:t>机关事业单位基本养老保险缴费支出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90.32</w:t>
            </w:r>
          </w:p>
        </w:tc>
        <w:tc>
          <w:tcPr>
            <w:tcW w:w="1842"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90.32</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卫生健康支出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57.90</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57.90</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3"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行政事业单位医疗</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57.90</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57.90</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行政单位医疗</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36.10</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36.10</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事业单位医疗</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9.07</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9.07</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公务员医疗补助</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12.42</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12.42</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99</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其他行政事业单位医疗支出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0.32</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0.32</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　</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503"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农林水支出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14590.02　</w:t>
            </w:r>
          </w:p>
        </w:tc>
        <w:tc>
          <w:tcPr>
            <w:tcW w:w="1842"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742.63</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r>
              <w:rPr>
                <w:rFonts w:hint="eastAsia" w:ascii="宋体" w:hAnsi="宋体" w:cs="宋体"/>
                <w:b/>
                <w:bCs/>
                <w:color w:val="auto"/>
                <w:kern w:val="0"/>
                <w:sz w:val="20"/>
                <w:szCs w:val="20"/>
                <w:highlight w:val="none"/>
                <w:lang w:val="en-US" w:eastAsia="zh-CN"/>
              </w:rPr>
              <w:t>13847.39</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01</w:t>
            </w:r>
          </w:p>
        </w:tc>
        <w:tc>
          <w:tcPr>
            <w:tcW w:w="503"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农业农村</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14135.02</w:t>
            </w:r>
          </w:p>
        </w:tc>
        <w:tc>
          <w:tcPr>
            <w:tcW w:w="1842"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742.63</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13392.39</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01</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行政运行</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616.28</w:t>
            </w:r>
          </w:p>
        </w:tc>
        <w:tc>
          <w:tcPr>
            <w:tcW w:w="1842"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616.28</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04</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事业运行</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126.35</w:t>
            </w:r>
          </w:p>
        </w:tc>
        <w:tc>
          <w:tcPr>
            <w:tcW w:w="1842"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126.35</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08</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病虫害控制</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14.96</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14.96</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09</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农产品质量安全</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15</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15</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稳定农民收入补贴</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2530.43</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2530.43</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农业生产发展</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2375</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2375</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53</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耕地建设与利用</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8365</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8365</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99</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其他农业农村支出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92</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92</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巩固脱贫攻坚成果衔接乡村振兴</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455</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455</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04</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农村基础设施建设</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450</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450</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213</w:t>
            </w:r>
          </w:p>
        </w:tc>
        <w:tc>
          <w:tcPr>
            <w:tcW w:w="500"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99</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其他巩固脱贫攻坚成果衔接乡村振兴支出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w:t>
            </w: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503"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住房保障支出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74.82</w:t>
            </w:r>
          </w:p>
        </w:tc>
        <w:tc>
          <w:tcPr>
            <w:tcW w:w="1842" w:type="dxa"/>
            <w:gridSpan w:val="2"/>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74.82</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住房改革支出</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74.82</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74.82</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住房公积金</w:t>
            </w:r>
          </w:p>
        </w:tc>
        <w:tc>
          <w:tcPr>
            <w:tcW w:w="1684"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74.82</w:t>
            </w:r>
          </w:p>
        </w:tc>
        <w:tc>
          <w:tcPr>
            <w:tcW w:w="1842"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74.82</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560"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14864.42</w:t>
            </w:r>
          </w:p>
        </w:tc>
        <w:tc>
          <w:tcPr>
            <w:tcW w:w="1842"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1017.04</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13847.39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3029"/>
        <w:gridCol w:w="857"/>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363" w:type="dxa"/>
            <w:gridSpan w:val="3"/>
            <w:tcBorders>
              <w:top w:val="nil"/>
              <w:left w:val="nil"/>
              <w:bottom w:val="nil"/>
              <w:right w:val="nil"/>
            </w:tcBorders>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呼图壁县农业农村局</w:t>
            </w:r>
          </w:p>
        </w:tc>
        <w:tc>
          <w:tcPr>
            <w:tcW w:w="857"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363"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65"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2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63"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29"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563"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302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928.90</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928.90</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02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rPr>
              <w:t>基本工资</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225.20</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lang w:val="en-US" w:eastAsia="zh-CN"/>
              </w:rPr>
            </w:pPr>
            <w:r>
              <w:rPr>
                <w:rFonts w:hint="eastAsia" w:ascii="宋体" w:hAnsi="宋体" w:cs="宋体"/>
                <w:color w:val="auto"/>
                <w:kern w:val="0"/>
                <w:sz w:val="20"/>
                <w:szCs w:val="20"/>
                <w:highlight w:val="none"/>
                <w:lang w:val="en-US" w:eastAsia="zh-CN"/>
              </w:rPr>
              <w:t>225.20</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津贴补贴</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188.84</w:t>
            </w:r>
          </w:p>
        </w:tc>
        <w:tc>
          <w:tcPr>
            <w:tcW w:w="1701" w:type="dxa"/>
            <w:gridSpan w:val="2"/>
            <w:tcBorders>
              <w:top w:val="nil"/>
              <w:left w:val="nil"/>
              <w:bottom w:val="single" w:color="auto" w:sz="4" w:space="0"/>
              <w:right w:val="single" w:color="auto" w:sz="4" w:space="0"/>
            </w:tcBorders>
            <w:vAlign w:val="center"/>
          </w:tcPr>
          <w:p>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188.84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奖金</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178.72</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178.72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绩效工资</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30.71</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30.71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机关事业单位基本养老保险缴费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90.32</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90.32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职工基本医疗保险缴费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45.16</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45.16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公务员医疗补助缴费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12.42</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12.42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其他社会保障缴费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lang w:val="en-US" w:eastAsia="zh-CN"/>
              </w:rPr>
            </w:pPr>
            <w:r>
              <w:rPr>
                <w:rFonts w:hint="eastAsia"/>
                <w:lang w:val="en-US" w:eastAsia="zh-CN"/>
              </w:rPr>
              <w:t>3.15</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74.82</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74.82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其他工资福利支出</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79.57</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79.57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商品和服务支出</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32.80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32.80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办公费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水费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3029"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电费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029"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邮电费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029"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差旅费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维修（护）费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公务接待费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10.91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10.91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55.32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55.32</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02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退休费</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48.79</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48.79</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02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生活补助</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3.88</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3.88</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02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2.58</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02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其他对个人和家庭的补助</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0.07</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0.07</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302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63"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1017.03</w:t>
            </w:r>
          </w:p>
        </w:tc>
        <w:tc>
          <w:tcPr>
            <w:tcW w:w="1701" w:type="dxa"/>
            <w:gridSpan w:val="2"/>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984.23</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32.80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9660" w:type="dxa"/>
        <w:tblInd w:w="-482" w:type="dxa"/>
        <w:tblLayout w:type="fixed"/>
        <w:tblCellMar>
          <w:top w:w="0" w:type="dxa"/>
          <w:left w:w="108" w:type="dxa"/>
          <w:bottom w:w="0" w:type="dxa"/>
          <w:right w:w="108" w:type="dxa"/>
        </w:tblCellMar>
      </w:tblPr>
      <w:tblGrid>
        <w:gridCol w:w="8"/>
        <w:gridCol w:w="529"/>
        <w:gridCol w:w="417"/>
        <w:gridCol w:w="417"/>
        <w:gridCol w:w="828"/>
        <w:gridCol w:w="1400"/>
        <w:gridCol w:w="732"/>
        <w:gridCol w:w="110"/>
        <w:gridCol w:w="451"/>
        <w:gridCol w:w="530"/>
        <w:gridCol w:w="730"/>
        <w:gridCol w:w="510"/>
        <w:gridCol w:w="442"/>
        <w:gridCol w:w="214"/>
        <w:gridCol w:w="419"/>
        <w:gridCol w:w="633"/>
        <w:gridCol w:w="405"/>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575" w:type="dxa"/>
            <w:gridSpan w:val="1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433" w:type="dxa"/>
            <w:gridSpan w:val="7"/>
            <w:tcBorders>
              <w:top w:val="nil"/>
              <w:left w:val="nil"/>
              <w:bottom w:val="nil"/>
              <w:right w:val="nil"/>
            </w:tcBorders>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呼图壁县农业农村局</w:t>
            </w:r>
          </w:p>
        </w:tc>
        <w:tc>
          <w:tcPr>
            <w:tcW w:w="981"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7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1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56"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33"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0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37"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1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56"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3"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p>
            <w:pPr>
              <w:bidi w:val="0"/>
              <w:jc w:val="center"/>
              <w:rPr>
                <w:rFonts w:hint="default" w:ascii="Times New Roman" w:hAnsi="Times New Roman" w:eastAsia="宋体" w:cs="Times New Roman"/>
                <w:kern w:val="2"/>
                <w:sz w:val="18"/>
                <w:szCs w:val="18"/>
                <w:lang w:val="en-US" w:eastAsia="zh-CN" w:bidi="ar-SA"/>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eastAsia"/>
                <w:sz w:val="18"/>
                <w:szCs w:val="18"/>
                <w:lang w:eastAsia="zh-Hans"/>
              </w:rPr>
            </w:pPr>
          </w:p>
          <w:p>
            <w:pPr>
              <w:bidi w:val="0"/>
              <w:jc w:val="center"/>
              <w:rPr>
                <w:rFonts w:hint="default" w:ascii="Times New Roman" w:hAnsi="Times New Roman" w:eastAsia="宋体" w:cs="Times New Roman"/>
                <w:kern w:val="2"/>
                <w:sz w:val="18"/>
                <w:szCs w:val="18"/>
                <w:lang w:val="en-US" w:eastAsia="zh-CN" w:bidi="ar-SA"/>
              </w:rPr>
            </w:pP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r>
              <w:rPr>
                <w:rFonts w:hint="eastAsia"/>
                <w:sz w:val="18"/>
                <w:szCs w:val="18"/>
                <w:lang w:val="en-US" w:eastAsia="zh-CN"/>
              </w:rPr>
              <w:t>13847.39</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r>
              <w:rPr>
                <w:rFonts w:hint="eastAsia"/>
                <w:sz w:val="18"/>
                <w:szCs w:val="18"/>
                <w:lang w:val="en-US" w:eastAsia="zh-CN"/>
              </w:rPr>
              <w:t>107</w:t>
            </w: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r>
              <w:rPr>
                <w:rFonts w:hint="eastAsia"/>
                <w:sz w:val="18"/>
                <w:szCs w:val="18"/>
                <w:lang w:val="en-US" w:eastAsia="zh-CN"/>
              </w:rPr>
              <w:t>3910.43</w:t>
            </w: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r>
              <w:rPr>
                <w:rFonts w:hint="eastAsia"/>
                <w:sz w:val="18"/>
                <w:szCs w:val="18"/>
                <w:lang w:val="en-US" w:eastAsia="zh-CN"/>
              </w:rPr>
              <w:t>8815</w:t>
            </w: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r>
              <w:rPr>
                <w:rFonts w:hint="eastAsia"/>
                <w:sz w:val="18"/>
                <w:szCs w:val="18"/>
                <w:lang w:val="en-US" w:eastAsia="zh-CN"/>
              </w:rPr>
              <w:t>1014.96</w:t>
            </w: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sz w:val="18"/>
                <w:szCs w:val="18"/>
                <w:lang w:val="en-US" w:eastAsia="zh-CN"/>
              </w:rPr>
            </w:pP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13392.39</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107</w:t>
            </w: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3905.43</w:t>
            </w: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8365</w:t>
            </w: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1014.96</w:t>
            </w: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sz w:val="18"/>
                <w:szCs w:val="18"/>
                <w:lang w:val="en-US" w:eastAsia="zh-CN"/>
              </w:rPr>
            </w:pPr>
            <w:r>
              <w:rPr>
                <w:rFonts w:hint="eastAsia"/>
                <w:sz w:val="18"/>
                <w:szCs w:val="18"/>
                <w:lang w:val="en-US" w:eastAsia="zh-CN"/>
              </w:rPr>
              <w:t>08</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病虫害控制</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2024年中央农业动物防疫补助项目</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14.96</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14.96</w:t>
            </w: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09</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农产品质量安全</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2024年农产品质量安全工作经费</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15</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15</w:t>
            </w: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20</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稳定农民收入补贴</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2024年中央耕地建设与利用资金 耕地地力保护补贴项目</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2375</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2375</w:t>
            </w: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20</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稳定农民收入补贴</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2024年自治区耕地地力保护补贴项目</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155.43</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155.43</w:t>
            </w: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22</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农业生产发展</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w:t>
            </w:r>
            <w:r>
              <w:rPr>
                <w:rFonts w:hint="eastAsia"/>
                <w:sz w:val="18"/>
                <w:szCs w:val="18"/>
                <w:lang w:val="en-US" w:eastAsia="zh-CN"/>
              </w:rPr>
              <w:t>中央</w:t>
            </w:r>
            <w:r>
              <w:rPr>
                <w:rFonts w:hint="eastAsia"/>
                <w:sz w:val="18"/>
                <w:szCs w:val="18"/>
              </w:rPr>
              <w:t>农机购置与应用补贴项目</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1370</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1370</w:t>
            </w: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22</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农业生产发展</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w:t>
            </w:r>
            <w:r>
              <w:rPr>
                <w:rFonts w:hint="eastAsia"/>
                <w:sz w:val="18"/>
                <w:szCs w:val="18"/>
                <w:lang w:val="en-US" w:eastAsia="zh-CN"/>
              </w:rPr>
              <w:t>中央</w:t>
            </w:r>
            <w:r>
              <w:rPr>
                <w:rFonts w:hint="eastAsia"/>
                <w:sz w:val="18"/>
                <w:szCs w:val="18"/>
              </w:rPr>
              <w:t>牧区畜牧良种补贴项目</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eastAsia" w:eastAsia="宋体"/>
                <w:sz w:val="18"/>
                <w:szCs w:val="18"/>
                <w:lang w:val="en-US" w:eastAsia="zh-CN"/>
              </w:rPr>
            </w:pPr>
            <w:r>
              <w:rPr>
                <w:rFonts w:hint="eastAsia"/>
                <w:sz w:val="18"/>
                <w:szCs w:val="18"/>
                <w:lang w:val="en-US" w:eastAsia="zh-CN"/>
              </w:rPr>
              <w:t>5</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eastAsia" w:eastAsia="宋体"/>
                <w:sz w:val="18"/>
                <w:szCs w:val="18"/>
                <w:lang w:val="en-US" w:eastAsia="zh-CN"/>
              </w:rPr>
            </w:pPr>
            <w:r>
              <w:rPr>
                <w:rFonts w:hint="eastAsia"/>
                <w:sz w:val="18"/>
                <w:szCs w:val="18"/>
                <w:lang w:val="en-US" w:eastAsia="zh-CN"/>
              </w:rPr>
              <w:t>5</w:t>
            </w: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22</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农业生产发展</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w:t>
            </w:r>
            <w:r>
              <w:rPr>
                <w:rFonts w:hint="eastAsia"/>
                <w:sz w:val="18"/>
                <w:szCs w:val="18"/>
                <w:lang w:val="en-US" w:eastAsia="zh-CN"/>
              </w:rPr>
              <w:t>中央</w:t>
            </w:r>
            <w:r>
              <w:rPr>
                <w:rFonts w:hint="eastAsia"/>
                <w:sz w:val="18"/>
                <w:szCs w:val="18"/>
              </w:rPr>
              <w:t>棉花产业集群项目</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400</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400</w:t>
            </w: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22</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农业生产发展</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w:t>
            </w:r>
            <w:r>
              <w:rPr>
                <w:rFonts w:hint="eastAsia"/>
                <w:sz w:val="18"/>
                <w:szCs w:val="18"/>
                <w:lang w:val="en-US" w:eastAsia="zh-CN"/>
              </w:rPr>
              <w:t>中央</w:t>
            </w:r>
            <w:r>
              <w:rPr>
                <w:rFonts w:hint="eastAsia"/>
                <w:sz w:val="18"/>
                <w:szCs w:val="18"/>
              </w:rPr>
              <w:t>种畜禽生产性能测定项目</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100</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100</w:t>
            </w: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22</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农业生产发展</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w:t>
            </w:r>
            <w:r>
              <w:rPr>
                <w:rFonts w:hint="eastAsia"/>
                <w:sz w:val="18"/>
                <w:szCs w:val="18"/>
                <w:lang w:val="en-US" w:eastAsia="zh-CN"/>
              </w:rPr>
              <w:t>中央</w:t>
            </w:r>
            <w:r>
              <w:rPr>
                <w:rFonts w:hint="eastAsia"/>
                <w:sz w:val="18"/>
                <w:szCs w:val="18"/>
              </w:rPr>
              <w:t>粮改饲项目</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500</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500</w:t>
            </w: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53</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耕地建设与利用</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w:t>
            </w:r>
            <w:r>
              <w:rPr>
                <w:rFonts w:hint="eastAsia"/>
                <w:sz w:val="18"/>
                <w:szCs w:val="18"/>
                <w:lang w:val="en-US" w:eastAsia="zh-CN"/>
              </w:rPr>
              <w:t>自治区</w:t>
            </w:r>
            <w:r>
              <w:rPr>
                <w:rFonts w:hint="eastAsia"/>
                <w:sz w:val="18"/>
                <w:szCs w:val="18"/>
              </w:rPr>
              <w:t>高标准农田建设补助项目</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1807</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1807</w:t>
            </w: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53</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耕地建设与利用</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2024年中央耕地建设与利用资金高标准农田建设项目</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6558</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6558</w:t>
            </w: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01</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99</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其他农业农村支出</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2024年村级防疫员工资县级配套补助资金</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92</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92</w:t>
            </w: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05</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巩固脱贫衔接乡村振兴</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455</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05</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04</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农村基础设施建设</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2024年自治区衔接资金农村道路公共照明设施建设项目</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450</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450</w:t>
            </w: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cs="Times New Roman"/>
                <w:kern w:val="2"/>
                <w:sz w:val="18"/>
                <w:szCs w:val="18"/>
                <w:lang w:val="en-US" w:eastAsia="zh-CN" w:bidi="ar-SA"/>
              </w:rPr>
              <w:t>213</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lang w:val="en-US" w:eastAsia="zh-CN"/>
              </w:rPr>
              <w:t>05</w:t>
            </w: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eastAsia="宋体"/>
                <w:sz w:val="18"/>
                <w:szCs w:val="18"/>
                <w:lang w:val="en-US" w:eastAsia="zh-CN"/>
              </w:rPr>
            </w:pPr>
            <w:r>
              <w:rPr>
                <w:rFonts w:hint="eastAsia"/>
                <w:sz w:val="18"/>
                <w:szCs w:val="18"/>
                <w:lang w:val="en-US" w:eastAsia="zh-CN"/>
              </w:rPr>
              <w:t>99</w:t>
            </w: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其他巩固脱贫衔接乡村振兴支出</w:t>
            </w: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r>
              <w:rPr>
                <w:rFonts w:hint="eastAsia"/>
                <w:sz w:val="18"/>
                <w:szCs w:val="18"/>
              </w:rPr>
              <w:t>2024年县级衔接资金雨露计划项目</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eastAsia" w:eastAsia="宋体"/>
                <w:sz w:val="18"/>
                <w:szCs w:val="18"/>
                <w:lang w:val="en-US" w:eastAsia="zh-CN"/>
              </w:rPr>
            </w:pPr>
            <w:r>
              <w:rPr>
                <w:rFonts w:hint="eastAsia"/>
                <w:sz w:val="18"/>
                <w:szCs w:val="18"/>
                <w:lang w:val="en-US" w:eastAsia="zh-CN"/>
              </w:rPr>
              <w:t>5</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eastAsia" w:eastAsia="宋体"/>
                <w:sz w:val="18"/>
                <w:szCs w:val="18"/>
                <w:lang w:val="en-US" w:eastAsia="zh-CN"/>
              </w:rPr>
            </w:pPr>
            <w:r>
              <w:rPr>
                <w:rFonts w:hint="eastAsia"/>
                <w:sz w:val="18"/>
                <w:szCs w:val="18"/>
                <w:lang w:val="en-US" w:eastAsia="zh-CN"/>
              </w:rPr>
              <w:t>5</w:t>
            </w: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537"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417"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828"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140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732"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hint="default" w:ascii="仿宋_GB2312" w:hAnsi="宋体" w:eastAsia="仿宋_GB2312"/>
                <w:color w:val="auto"/>
                <w:kern w:val="0"/>
                <w:sz w:val="18"/>
                <w:szCs w:val="18"/>
                <w:highlight w:val="none"/>
                <w:lang w:val="en-US" w:eastAsia="zh-CN"/>
              </w:rPr>
            </w:pPr>
            <w:r>
              <w:rPr>
                <w:rFonts w:hint="eastAsia"/>
                <w:sz w:val="18"/>
                <w:szCs w:val="18"/>
                <w:lang w:val="en-US" w:eastAsia="zh-CN"/>
              </w:rPr>
              <w:t>13847.39</w:t>
            </w:r>
          </w:p>
        </w:tc>
        <w:tc>
          <w:tcPr>
            <w:tcW w:w="561"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5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r>
              <w:rPr>
                <w:rFonts w:hint="eastAsia"/>
                <w:sz w:val="18"/>
                <w:szCs w:val="18"/>
                <w:lang w:val="en-US" w:eastAsia="zh-CN"/>
              </w:rPr>
              <w:t>107</w:t>
            </w:r>
          </w:p>
        </w:tc>
        <w:tc>
          <w:tcPr>
            <w:tcW w:w="73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r>
              <w:rPr>
                <w:rFonts w:hint="eastAsia"/>
                <w:sz w:val="18"/>
                <w:szCs w:val="18"/>
                <w:lang w:val="en-US" w:eastAsia="zh-CN"/>
              </w:rPr>
              <w:t>3910.43</w:t>
            </w:r>
          </w:p>
        </w:tc>
        <w:tc>
          <w:tcPr>
            <w:tcW w:w="51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656"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419"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r>
              <w:rPr>
                <w:rFonts w:hint="eastAsia"/>
                <w:sz w:val="18"/>
                <w:szCs w:val="18"/>
                <w:lang w:val="en-US" w:eastAsia="zh-CN"/>
              </w:rPr>
              <w:t>8815</w:t>
            </w:r>
          </w:p>
        </w:tc>
        <w:tc>
          <w:tcPr>
            <w:tcW w:w="633"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405"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r>
              <w:rPr>
                <w:rFonts w:hint="eastAsia"/>
                <w:sz w:val="18"/>
                <w:szCs w:val="18"/>
                <w:lang w:val="en-US" w:eastAsia="zh-CN"/>
              </w:rPr>
              <w:t>1014.96</w:t>
            </w:r>
          </w:p>
        </w:tc>
        <w:tc>
          <w:tcPr>
            <w:tcW w:w="420" w:type="dxa"/>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c>
          <w:tcPr>
            <w:tcW w:w="465" w:type="dxa"/>
            <w:gridSpan w:val="2"/>
            <w:vAlign w:val="center"/>
          </w:tcPr>
          <w:p>
            <w:pPr>
              <w:keepNext w:val="0"/>
              <w:keepLines w:val="0"/>
              <w:pageBreakBefore w:val="0"/>
              <w:widowControl/>
              <w:kinsoku/>
              <w:wordWrap/>
              <w:overflowPunct/>
              <w:topLinePunct w:val="0"/>
              <w:autoSpaceDE/>
              <w:autoSpaceDN/>
              <w:bidi w:val="0"/>
              <w:adjustRightInd/>
              <w:snapToGrid/>
              <w:jc w:val="center"/>
              <w:textAlignment w:val="auto"/>
              <w:outlineLvl w:val="1"/>
              <w:rPr>
                <w:rFonts w:ascii="仿宋_GB2312" w:hAnsi="宋体" w:eastAsia="仿宋_GB2312"/>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呼图壁县农业农村局</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说明：本单位2024年没有政府性基金预算支出情况，该表为空表。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呼图壁县农业农村局</w:t>
      </w:r>
      <w:r>
        <w:rPr>
          <w:rFonts w:hint="eastAsia" w:ascii="仿宋_GB2312" w:hAnsi="宋体" w:eastAsia="仿宋_GB2312"/>
          <w:color w:val="auto"/>
          <w:kern w:val="0"/>
          <w:sz w:val="24"/>
          <w:highlight w:val="none"/>
        </w:rPr>
        <w:t xml:space="preserve">                                   单位：万元</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说明：本单位2024年没有国有资本经营预算支出，该表为空表。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呼图壁县农业农村局</w:t>
      </w:r>
      <w:r>
        <w:rPr>
          <w:rFonts w:hint="eastAsia" w:ascii="仿宋_GB2312" w:hAnsi="宋体" w:eastAsia="仿宋_GB2312"/>
          <w:color w:val="auto"/>
          <w:kern w:val="0"/>
          <w:sz w:val="24"/>
          <w:highlight w:val="none"/>
        </w:rPr>
        <w:t xml:space="preserve">                                    单位：万元</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11.5</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11.5</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0.3</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0.3</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11.2</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11.2</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11.2</w:t>
            </w: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11.2</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hint="eastAsia"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p>
      <w:pPr>
        <w:pStyle w:val="2"/>
        <w:rPr>
          <w:rFonts w:hint="default" w:eastAsia="仿宋"/>
          <w:lang w:val="en-US" w:eastAsia="zh-CN"/>
        </w:rPr>
      </w:pPr>
      <w:r>
        <w:rPr>
          <w:rFonts w:hint="eastAsia" w:ascii="仿宋" w:hAnsi="仿宋" w:eastAsia="仿宋" w:cs="仿宋_GB2312"/>
          <w:bCs/>
          <w:color w:val="auto"/>
          <w:kern w:val="0"/>
          <w:sz w:val="28"/>
          <w:szCs w:val="28"/>
          <w:highlight w:val="none"/>
          <w:lang w:val="en-US" w:eastAsia="zh-CN"/>
        </w:rPr>
        <w:t xml:space="preserve">                                                      </w:t>
      </w:r>
      <w:r>
        <w:rPr>
          <w:rFonts w:hint="eastAsia" w:ascii="仿宋" w:hAnsi="仿宋" w:eastAsia="仿宋" w:cs="仿宋_GB2312"/>
          <w:bCs/>
          <w:color w:val="auto"/>
          <w:kern w:val="0"/>
          <w:sz w:val="22"/>
          <w:szCs w:val="22"/>
          <w:highlight w:val="none"/>
          <w:lang w:val="en-US" w:eastAsia="zh-CN"/>
        </w:rPr>
        <w:t>单位：万元</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855"/>
        <w:gridCol w:w="915"/>
        <w:gridCol w:w="705"/>
        <w:gridCol w:w="720"/>
        <w:gridCol w:w="1096"/>
        <w:gridCol w:w="797"/>
        <w:gridCol w:w="723"/>
        <w:gridCol w:w="744"/>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715"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5"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436"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715"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15"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425"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96"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467"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48"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71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1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05"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2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96"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44"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348"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715" w:type="dxa"/>
            <w:vAlign w:val="center"/>
          </w:tcPr>
          <w:p>
            <w:pPr>
              <w:spacing w:line="240" w:lineRule="auto"/>
              <w:jc w:val="center"/>
              <w:rPr>
                <w:rFonts w:ascii="仿宋" w:hAnsi="仿宋" w:eastAsia="仿宋" w:cs="仿宋_GB2312"/>
                <w:bCs/>
                <w:color w:val="auto"/>
                <w:kern w:val="0"/>
                <w:sz w:val="18"/>
                <w:szCs w:val="18"/>
                <w:highlight w:val="none"/>
              </w:rPr>
            </w:pPr>
            <w:r>
              <w:rPr>
                <w:rFonts w:hint="eastAsia"/>
                <w:sz w:val="18"/>
                <w:szCs w:val="18"/>
              </w:rPr>
              <w:t>昌州财办建【2023】8号高产奶牛标准化养殖基地项目</w:t>
            </w:r>
          </w:p>
        </w:tc>
        <w:tc>
          <w:tcPr>
            <w:tcW w:w="85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50</w:t>
            </w:r>
          </w:p>
        </w:tc>
        <w:tc>
          <w:tcPr>
            <w:tcW w:w="91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50</w:t>
            </w:r>
          </w:p>
        </w:tc>
        <w:tc>
          <w:tcPr>
            <w:tcW w:w="705"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720"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1096"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50</w:t>
            </w:r>
          </w:p>
        </w:tc>
        <w:tc>
          <w:tcPr>
            <w:tcW w:w="797" w:type="dxa"/>
            <w:vAlign w:val="center"/>
          </w:tcPr>
          <w:p>
            <w:pPr>
              <w:spacing w:line="240" w:lineRule="auto"/>
              <w:jc w:val="center"/>
              <w:rPr>
                <w:rFonts w:ascii="仿宋" w:hAnsi="仿宋" w:eastAsia="仿宋" w:cs="仿宋_GB2312"/>
                <w:bCs/>
                <w:color w:val="auto"/>
                <w:kern w:val="0"/>
                <w:sz w:val="18"/>
                <w:szCs w:val="18"/>
                <w:highlight w:val="none"/>
              </w:rPr>
            </w:pPr>
          </w:p>
        </w:tc>
        <w:tc>
          <w:tcPr>
            <w:tcW w:w="723" w:type="dxa"/>
            <w:vAlign w:val="center"/>
          </w:tcPr>
          <w:p>
            <w:pPr>
              <w:spacing w:line="240" w:lineRule="auto"/>
              <w:jc w:val="center"/>
              <w:rPr>
                <w:rFonts w:ascii="仿宋" w:hAnsi="仿宋" w:eastAsia="仿宋" w:cs="仿宋_GB2312"/>
                <w:bCs/>
                <w:color w:val="auto"/>
                <w:kern w:val="0"/>
                <w:sz w:val="18"/>
                <w:szCs w:val="18"/>
                <w:highlight w:val="none"/>
              </w:rPr>
            </w:pPr>
          </w:p>
        </w:tc>
        <w:tc>
          <w:tcPr>
            <w:tcW w:w="744" w:type="dxa"/>
            <w:vAlign w:val="center"/>
          </w:tcPr>
          <w:p>
            <w:pPr>
              <w:spacing w:line="240" w:lineRule="auto"/>
              <w:jc w:val="center"/>
              <w:rPr>
                <w:rFonts w:ascii="仿宋" w:hAnsi="仿宋" w:eastAsia="仿宋" w:cs="仿宋_GB2312"/>
                <w:bCs/>
                <w:color w:val="auto"/>
                <w:kern w:val="0"/>
                <w:sz w:val="18"/>
                <w:szCs w:val="18"/>
                <w:highlight w:val="none"/>
              </w:rPr>
            </w:pPr>
          </w:p>
        </w:tc>
        <w:tc>
          <w:tcPr>
            <w:tcW w:w="1348" w:type="dxa"/>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715" w:type="dxa"/>
            <w:vAlign w:val="center"/>
          </w:tcPr>
          <w:p>
            <w:pPr>
              <w:spacing w:line="240" w:lineRule="auto"/>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2023年第六批自治区预算内投资2024年农村人居环境整治项目</w:t>
            </w:r>
          </w:p>
        </w:tc>
        <w:tc>
          <w:tcPr>
            <w:tcW w:w="85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50</w:t>
            </w:r>
          </w:p>
        </w:tc>
        <w:tc>
          <w:tcPr>
            <w:tcW w:w="91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50</w:t>
            </w:r>
          </w:p>
        </w:tc>
        <w:tc>
          <w:tcPr>
            <w:tcW w:w="705"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720"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1096"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50</w:t>
            </w:r>
          </w:p>
        </w:tc>
        <w:tc>
          <w:tcPr>
            <w:tcW w:w="797" w:type="dxa"/>
            <w:vAlign w:val="center"/>
          </w:tcPr>
          <w:p>
            <w:pPr>
              <w:spacing w:line="240" w:lineRule="auto"/>
              <w:jc w:val="center"/>
              <w:rPr>
                <w:rFonts w:ascii="仿宋" w:hAnsi="仿宋" w:eastAsia="仿宋" w:cs="仿宋_GB2312"/>
                <w:bCs/>
                <w:color w:val="auto"/>
                <w:kern w:val="0"/>
                <w:sz w:val="18"/>
                <w:szCs w:val="18"/>
                <w:highlight w:val="none"/>
              </w:rPr>
            </w:pPr>
          </w:p>
        </w:tc>
        <w:tc>
          <w:tcPr>
            <w:tcW w:w="723" w:type="dxa"/>
            <w:vAlign w:val="center"/>
          </w:tcPr>
          <w:p>
            <w:pPr>
              <w:spacing w:line="240" w:lineRule="auto"/>
              <w:jc w:val="center"/>
              <w:rPr>
                <w:rFonts w:ascii="仿宋" w:hAnsi="仿宋" w:eastAsia="仿宋" w:cs="仿宋_GB2312"/>
                <w:bCs/>
                <w:color w:val="auto"/>
                <w:kern w:val="0"/>
                <w:sz w:val="18"/>
                <w:szCs w:val="18"/>
                <w:highlight w:val="none"/>
              </w:rPr>
            </w:pPr>
          </w:p>
        </w:tc>
        <w:tc>
          <w:tcPr>
            <w:tcW w:w="744" w:type="dxa"/>
            <w:vAlign w:val="center"/>
          </w:tcPr>
          <w:p>
            <w:pPr>
              <w:spacing w:line="240" w:lineRule="auto"/>
              <w:jc w:val="center"/>
              <w:rPr>
                <w:rFonts w:ascii="仿宋" w:hAnsi="仿宋" w:eastAsia="仿宋" w:cs="仿宋_GB2312"/>
                <w:bCs/>
                <w:color w:val="auto"/>
                <w:kern w:val="0"/>
                <w:sz w:val="18"/>
                <w:szCs w:val="18"/>
                <w:highlight w:val="none"/>
              </w:rPr>
            </w:pPr>
          </w:p>
        </w:tc>
        <w:tc>
          <w:tcPr>
            <w:tcW w:w="1348" w:type="dxa"/>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715" w:type="dxa"/>
            <w:vAlign w:val="center"/>
          </w:tcPr>
          <w:p>
            <w:pPr>
              <w:spacing w:line="240" w:lineRule="auto"/>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2023年度州级重点人才项目经费</w:t>
            </w:r>
          </w:p>
        </w:tc>
        <w:tc>
          <w:tcPr>
            <w:tcW w:w="855" w:type="dxa"/>
            <w:vAlign w:val="center"/>
          </w:tcPr>
          <w:p>
            <w:pPr>
              <w:spacing w:line="240" w:lineRule="auto"/>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w:t>
            </w:r>
          </w:p>
        </w:tc>
        <w:tc>
          <w:tcPr>
            <w:tcW w:w="915" w:type="dxa"/>
            <w:vAlign w:val="center"/>
          </w:tcPr>
          <w:p>
            <w:pPr>
              <w:spacing w:line="240" w:lineRule="auto"/>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w:t>
            </w:r>
          </w:p>
        </w:tc>
        <w:tc>
          <w:tcPr>
            <w:tcW w:w="705"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720"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1096" w:type="dxa"/>
            <w:vAlign w:val="center"/>
          </w:tcPr>
          <w:p>
            <w:pPr>
              <w:spacing w:line="240" w:lineRule="auto"/>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w:t>
            </w:r>
          </w:p>
        </w:tc>
        <w:tc>
          <w:tcPr>
            <w:tcW w:w="797" w:type="dxa"/>
            <w:vAlign w:val="center"/>
          </w:tcPr>
          <w:p>
            <w:pPr>
              <w:spacing w:line="240" w:lineRule="auto"/>
              <w:jc w:val="center"/>
              <w:rPr>
                <w:rFonts w:ascii="仿宋" w:hAnsi="仿宋" w:eastAsia="仿宋" w:cs="仿宋_GB2312"/>
                <w:bCs/>
                <w:color w:val="auto"/>
                <w:kern w:val="0"/>
                <w:sz w:val="18"/>
                <w:szCs w:val="18"/>
                <w:highlight w:val="none"/>
              </w:rPr>
            </w:pPr>
          </w:p>
        </w:tc>
        <w:tc>
          <w:tcPr>
            <w:tcW w:w="723" w:type="dxa"/>
            <w:vAlign w:val="center"/>
          </w:tcPr>
          <w:p>
            <w:pPr>
              <w:spacing w:line="240" w:lineRule="auto"/>
              <w:jc w:val="center"/>
              <w:rPr>
                <w:rFonts w:ascii="仿宋" w:hAnsi="仿宋" w:eastAsia="仿宋" w:cs="仿宋_GB2312"/>
                <w:bCs/>
                <w:color w:val="auto"/>
                <w:kern w:val="0"/>
                <w:sz w:val="18"/>
                <w:szCs w:val="18"/>
                <w:highlight w:val="none"/>
              </w:rPr>
            </w:pPr>
          </w:p>
        </w:tc>
        <w:tc>
          <w:tcPr>
            <w:tcW w:w="744" w:type="dxa"/>
            <w:vAlign w:val="center"/>
          </w:tcPr>
          <w:p>
            <w:pPr>
              <w:spacing w:line="240" w:lineRule="auto"/>
              <w:jc w:val="center"/>
              <w:rPr>
                <w:rFonts w:ascii="仿宋" w:hAnsi="仿宋" w:eastAsia="仿宋" w:cs="仿宋_GB2312"/>
                <w:bCs/>
                <w:color w:val="auto"/>
                <w:kern w:val="0"/>
                <w:sz w:val="18"/>
                <w:szCs w:val="18"/>
                <w:highlight w:val="none"/>
              </w:rPr>
            </w:pPr>
          </w:p>
        </w:tc>
        <w:tc>
          <w:tcPr>
            <w:tcW w:w="1348" w:type="dxa"/>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715" w:type="dxa"/>
            <w:vAlign w:val="center"/>
          </w:tcPr>
          <w:p>
            <w:pPr>
              <w:spacing w:line="240" w:lineRule="auto"/>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2023年中央农业防灾减灾和救灾资金调运储备饲草料</w:t>
            </w:r>
          </w:p>
        </w:tc>
        <w:tc>
          <w:tcPr>
            <w:tcW w:w="85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48</w:t>
            </w:r>
          </w:p>
        </w:tc>
        <w:tc>
          <w:tcPr>
            <w:tcW w:w="91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48</w:t>
            </w:r>
          </w:p>
        </w:tc>
        <w:tc>
          <w:tcPr>
            <w:tcW w:w="705"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720"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1096"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48</w:t>
            </w:r>
          </w:p>
        </w:tc>
        <w:tc>
          <w:tcPr>
            <w:tcW w:w="797" w:type="dxa"/>
            <w:vAlign w:val="center"/>
          </w:tcPr>
          <w:p>
            <w:pPr>
              <w:spacing w:line="240" w:lineRule="auto"/>
              <w:jc w:val="center"/>
              <w:rPr>
                <w:rFonts w:ascii="仿宋" w:hAnsi="仿宋" w:eastAsia="仿宋" w:cs="仿宋_GB2312"/>
                <w:bCs/>
                <w:color w:val="auto"/>
                <w:kern w:val="0"/>
                <w:sz w:val="18"/>
                <w:szCs w:val="18"/>
                <w:highlight w:val="none"/>
              </w:rPr>
            </w:pPr>
          </w:p>
        </w:tc>
        <w:tc>
          <w:tcPr>
            <w:tcW w:w="723" w:type="dxa"/>
            <w:vAlign w:val="center"/>
          </w:tcPr>
          <w:p>
            <w:pPr>
              <w:spacing w:line="240" w:lineRule="auto"/>
              <w:jc w:val="center"/>
              <w:rPr>
                <w:rFonts w:ascii="仿宋" w:hAnsi="仿宋" w:eastAsia="仿宋" w:cs="仿宋_GB2312"/>
                <w:bCs/>
                <w:color w:val="auto"/>
                <w:kern w:val="0"/>
                <w:sz w:val="18"/>
                <w:szCs w:val="18"/>
                <w:highlight w:val="none"/>
              </w:rPr>
            </w:pPr>
          </w:p>
        </w:tc>
        <w:tc>
          <w:tcPr>
            <w:tcW w:w="744" w:type="dxa"/>
            <w:vAlign w:val="center"/>
          </w:tcPr>
          <w:p>
            <w:pPr>
              <w:spacing w:line="240" w:lineRule="auto"/>
              <w:jc w:val="center"/>
              <w:rPr>
                <w:rFonts w:ascii="仿宋" w:hAnsi="仿宋" w:eastAsia="仿宋" w:cs="仿宋_GB2312"/>
                <w:bCs/>
                <w:color w:val="auto"/>
                <w:kern w:val="0"/>
                <w:sz w:val="18"/>
                <w:szCs w:val="18"/>
                <w:highlight w:val="none"/>
              </w:rPr>
            </w:pPr>
          </w:p>
        </w:tc>
        <w:tc>
          <w:tcPr>
            <w:tcW w:w="1348" w:type="dxa"/>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715" w:type="dxa"/>
            <w:vAlign w:val="center"/>
          </w:tcPr>
          <w:p>
            <w:pPr>
              <w:spacing w:line="240" w:lineRule="auto"/>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2023年中央农业生产发展资金</w:t>
            </w:r>
          </w:p>
        </w:tc>
        <w:tc>
          <w:tcPr>
            <w:tcW w:w="85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156.18</w:t>
            </w:r>
          </w:p>
        </w:tc>
        <w:tc>
          <w:tcPr>
            <w:tcW w:w="91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156.18</w:t>
            </w:r>
          </w:p>
        </w:tc>
        <w:tc>
          <w:tcPr>
            <w:tcW w:w="705"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720"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1096"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156.18</w:t>
            </w:r>
          </w:p>
        </w:tc>
        <w:tc>
          <w:tcPr>
            <w:tcW w:w="797" w:type="dxa"/>
            <w:vAlign w:val="center"/>
          </w:tcPr>
          <w:p>
            <w:pPr>
              <w:spacing w:line="240" w:lineRule="auto"/>
              <w:jc w:val="center"/>
              <w:rPr>
                <w:rFonts w:ascii="仿宋" w:hAnsi="仿宋" w:eastAsia="仿宋" w:cs="仿宋_GB2312"/>
                <w:bCs/>
                <w:color w:val="auto"/>
                <w:kern w:val="0"/>
                <w:sz w:val="18"/>
                <w:szCs w:val="18"/>
                <w:highlight w:val="none"/>
              </w:rPr>
            </w:pPr>
          </w:p>
        </w:tc>
        <w:tc>
          <w:tcPr>
            <w:tcW w:w="723" w:type="dxa"/>
            <w:vAlign w:val="center"/>
          </w:tcPr>
          <w:p>
            <w:pPr>
              <w:spacing w:line="240" w:lineRule="auto"/>
              <w:jc w:val="center"/>
              <w:rPr>
                <w:rFonts w:ascii="仿宋" w:hAnsi="仿宋" w:eastAsia="仿宋" w:cs="仿宋_GB2312"/>
                <w:bCs/>
                <w:color w:val="auto"/>
                <w:kern w:val="0"/>
                <w:sz w:val="18"/>
                <w:szCs w:val="18"/>
                <w:highlight w:val="none"/>
              </w:rPr>
            </w:pPr>
          </w:p>
        </w:tc>
        <w:tc>
          <w:tcPr>
            <w:tcW w:w="744" w:type="dxa"/>
            <w:vAlign w:val="center"/>
          </w:tcPr>
          <w:p>
            <w:pPr>
              <w:spacing w:line="240" w:lineRule="auto"/>
              <w:jc w:val="center"/>
              <w:rPr>
                <w:rFonts w:ascii="仿宋" w:hAnsi="仿宋" w:eastAsia="仿宋" w:cs="仿宋_GB2312"/>
                <w:bCs/>
                <w:color w:val="auto"/>
                <w:kern w:val="0"/>
                <w:sz w:val="18"/>
                <w:szCs w:val="18"/>
                <w:highlight w:val="none"/>
              </w:rPr>
            </w:pPr>
          </w:p>
        </w:tc>
        <w:tc>
          <w:tcPr>
            <w:tcW w:w="1348" w:type="dxa"/>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715" w:type="dxa"/>
            <w:vAlign w:val="center"/>
          </w:tcPr>
          <w:p>
            <w:pPr>
              <w:spacing w:line="240" w:lineRule="auto"/>
              <w:jc w:val="center"/>
              <w:rPr>
                <w:rFonts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2023年自治区大豆、花生种植补贴项目</w:t>
            </w:r>
          </w:p>
        </w:tc>
        <w:tc>
          <w:tcPr>
            <w:tcW w:w="85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15.75</w:t>
            </w:r>
          </w:p>
        </w:tc>
        <w:tc>
          <w:tcPr>
            <w:tcW w:w="91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15.75</w:t>
            </w:r>
          </w:p>
        </w:tc>
        <w:tc>
          <w:tcPr>
            <w:tcW w:w="705"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720"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1096"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15.75</w:t>
            </w:r>
          </w:p>
        </w:tc>
        <w:tc>
          <w:tcPr>
            <w:tcW w:w="797" w:type="dxa"/>
            <w:vAlign w:val="center"/>
          </w:tcPr>
          <w:p>
            <w:pPr>
              <w:spacing w:line="240" w:lineRule="auto"/>
              <w:jc w:val="center"/>
              <w:rPr>
                <w:rFonts w:ascii="仿宋" w:hAnsi="仿宋" w:eastAsia="仿宋" w:cs="仿宋_GB2312"/>
                <w:bCs/>
                <w:color w:val="auto"/>
                <w:kern w:val="0"/>
                <w:sz w:val="18"/>
                <w:szCs w:val="18"/>
                <w:highlight w:val="none"/>
              </w:rPr>
            </w:pPr>
          </w:p>
        </w:tc>
        <w:tc>
          <w:tcPr>
            <w:tcW w:w="723" w:type="dxa"/>
            <w:vAlign w:val="center"/>
          </w:tcPr>
          <w:p>
            <w:pPr>
              <w:spacing w:line="240" w:lineRule="auto"/>
              <w:jc w:val="center"/>
              <w:rPr>
                <w:rFonts w:ascii="仿宋" w:hAnsi="仿宋" w:eastAsia="仿宋" w:cs="仿宋_GB2312"/>
                <w:bCs/>
                <w:color w:val="auto"/>
                <w:kern w:val="0"/>
                <w:sz w:val="18"/>
                <w:szCs w:val="18"/>
                <w:highlight w:val="none"/>
              </w:rPr>
            </w:pPr>
          </w:p>
        </w:tc>
        <w:tc>
          <w:tcPr>
            <w:tcW w:w="744" w:type="dxa"/>
            <w:vAlign w:val="center"/>
          </w:tcPr>
          <w:p>
            <w:pPr>
              <w:spacing w:line="240" w:lineRule="auto"/>
              <w:jc w:val="center"/>
              <w:rPr>
                <w:rFonts w:ascii="仿宋" w:hAnsi="仿宋" w:eastAsia="仿宋" w:cs="仿宋_GB2312"/>
                <w:bCs/>
                <w:color w:val="auto"/>
                <w:kern w:val="0"/>
                <w:sz w:val="18"/>
                <w:szCs w:val="18"/>
                <w:highlight w:val="none"/>
              </w:rPr>
            </w:pPr>
          </w:p>
        </w:tc>
        <w:tc>
          <w:tcPr>
            <w:tcW w:w="1348" w:type="dxa"/>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715" w:type="dxa"/>
            <w:vAlign w:val="center"/>
          </w:tcPr>
          <w:p>
            <w:pPr>
              <w:spacing w:line="240" w:lineRule="auto"/>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rPr>
              <w:t>2023年中央农业资源及生态保护补助资金耕地轮作</w:t>
            </w:r>
            <w:r>
              <w:rPr>
                <w:rFonts w:hint="eastAsia" w:ascii="仿宋" w:hAnsi="仿宋" w:eastAsia="仿宋" w:cs="仿宋_GB2312"/>
                <w:bCs/>
                <w:color w:val="auto"/>
                <w:kern w:val="0"/>
                <w:sz w:val="18"/>
                <w:szCs w:val="18"/>
                <w:highlight w:val="none"/>
                <w:lang w:val="en-US" w:eastAsia="zh-CN"/>
              </w:rPr>
              <w:t>项目</w:t>
            </w:r>
          </w:p>
        </w:tc>
        <w:tc>
          <w:tcPr>
            <w:tcW w:w="85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5.04</w:t>
            </w:r>
          </w:p>
        </w:tc>
        <w:tc>
          <w:tcPr>
            <w:tcW w:w="91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5.04</w:t>
            </w:r>
          </w:p>
        </w:tc>
        <w:tc>
          <w:tcPr>
            <w:tcW w:w="705"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720"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1096"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5.04</w:t>
            </w:r>
          </w:p>
        </w:tc>
        <w:tc>
          <w:tcPr>
            <w:tcW w:w="797" w:type="dxa"/>
            <w:vAlign w:val="center"/>
          </w:tcPr>
          <w:p>
            <w:pPr>
              <w:spacing w:line="240" w:lineRule="auto"/>
              <w:jc w:val="center"/>
              <w:rPr>
                <w:rFonts w:ascii="仿宋" w:hAnsi="仿宋" w:eastAsia="仿宋" w:cs="仿宋_GB2312"/>
                <w:bCs/>
                <w:color w:val="auto"/>
                <w:kern w:val="0"/>
                <w:sz w:val="18"/>
                <w:szCs w:val="18"/>
                <w:highlight w:val="none"/>
              </w:rPr>
            </w:pPr>
          </w:p>
        </w:tc>
        <w:tc>
          <w:tcPr>
            <w:tcW w:w="723" w:type="dxa"/>
            <w:vAlign w:val="center"/>
          </w:tcPr>
          <w:p>
            <w:pPr>
              <w:spacing w:line="240" w:lineRule="auto"/>
              <w:jc w:val="center"/>
              <w:rPr>
                <w:rFonts w:ascii="仿宋" w:hAnsi="仿宋" w:eastAsia="仿宋" w:cs="仿宋_GB2312"/>
                <w:bCs/>
                <w:color w:val="auto"/>
                <w:kern w:val="0"/>
                <w:sz w:val="18"/>
                <w:szCs w:val="18"/>
                <w:highlight w:val="none"/>
              </w:rPr>
            </w:pPr>
          </w:p>
        </w:tc>
        <w:tc>
          <w:tcPr>
            <w:tcW w:w="744" w:type="dxa"/>
            <w:vAlign w:val="center"/>
          </w:tcPr>
          <w:p>
            <w:pPr>
              <w:spacing w:line="240" w:lineRule="auto"/>
              <w:jc w:val="center"/>
              <w:rPr>
                <w:rFonts w:ascii="仿宋" w:hAnsi="仿宋" w:eastAsia="仿宋" w:cs="仿宋_GB2312"/>
                <w:bCs/>
                <w:color w:val="auto"/>
                <w:kern w:val="0"/>
                <w:sz w:val="18"/>
                <w:szCs w:val="18"/>
                <w:highlight w:val="none"/>
              </w:rPr>
            </w:pPr>
          </w:p>
        </w:tc>
        <w:tc>
          <w:tcPr>
            <w:tcW w:w="1348" w:type="dxa"/>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715" w:type="dxa"/>
            <w:vAlign w:val="center"/>
          </w:tcPr>
          <w:p>
            <w:pPr>
              <w:spacing w:line="240" w:lineRule="auto"/>
              <w:jc w:val="center"/>
              <w:rPr>
                <w:rFonts w:hint="eastAsia"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2023年中央高标准农田建设补助项目</w:t>
            </w:r>
          </w:p>
        </w:tc>
        <w:tc>
          <w:tcPr>
            <w:tcW w:w="85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1599.48</w:t>
            </w:r>
          </w:p>
        </w:tc>
        <w:tc>
          <w:tcPr>
            <w:tcW w:w="91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1599.48</w:t>
            </w:r>
          </w:p>
        </w:tc>
        <w:tc>
          <w:tcPr>
            <w:tcW w:w="705"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720"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1096"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1599.48</w:t>
            </w:r>
          </w:p>
        </w:tc>
        <w:tc>
          <w:tcPr>
            <w:tcW w:w="797" w:type="dxa"/>
            <w:vAlign w:val="center"/>
          </w:tcPr>
          <w:p>
            <w:pPr>
              <w:spacing w:line="240" w:lineRule="auto"/>
              <w:jc w:val="center"/>
              <w:rPr>
                <w:rFonts w:ascii="仿宋" w:hAnsi="仿宋" w:eastAsia="仿宋" w:cs="仿宋_GB2312"/>
                <w:bCs/>
                <w:color w:val="auto"/>
                <w:kern w:val="0"/>
                <w:sz w:val="18"/>
                <w:szCs w:val="18"/>
                <w:highlight w:val="none"/>
              </w:rPr>
            </w:pPr>
          </w:p>
        </w:tc>
        <w:tc>
          <w:tcPr>
            <w:tcW w:w="723" w:type="dxa"/>
            <w:vAlign w:val="center"/>
          </w:tcPr>
          <w:p>
            <w:pPr>
              <w:spacing w:line="240" w:lineRule="auto"/>
              <w:jc w:val="center"/>
              <w:rPr>
                <w:rFonts w:ascii="仿宋" w:hAnsi="仿宋" w:eastAsia="仿宋" w:cs="仿宋_GB2312"/>
                <w:bCs/>
                <w:color w:val="auto"/>
                <w:kern w:val="0"/>
                <w:sz w:val="18"/>
                <w:szCs w:val="18"/>
                <w:highlight w:val="none"/>
              </w:rPr>
            </w:pPr>
          </w:p>
        </w:tc>
        <w:tc>
          <w:tcPr>
            <w:tcW w:w="744" w:type="dxa"/>
            <w:vAlign w:val="center"/>
          </w:tcPr>
          <w:p>
            <w:pPr>
              <w:spacing w:line="240" w:lineRule="auto"/>
              <w:jc w:val="center"/>
              <w:rPr>
                <w:rFonts w:ascii="仿宋" w:hAnsi="仿宋" w:eastAsia="仿宋" w:cs="仿宋_GB2312"/>
                <w:bCs/>
                <w:color w:val="auto"/>
                <w:kern w:val="0"/>
                <w:sz w:val="18"/>
                <w:szCs w:val="18"/>
                <w:highlight w:val="none"/>
              </w:rPr>
            </w:pPr>
          </w:p>
        </w:tc>
        <w:tc>
          <w:tcPr>
            <w:tcW w:w="1348" w:type="dxa"/>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715" w:type="dxa"/>
            <w:vAlign w:val="center"/>
          </w:tcPr>
          <w:p>
            <w:pPr>
              <w:spacing w:line="240" w:lineRule="auto"/>
              <w:jc w:val="center"/>
              <w:rPr>
                <w:rFonts w:hint="eastAsia" w:ascii="仿宋" w:hAnsi="仿宋" w:eastAsia="仿宋" w:cs="仿宋_GB2312"/>
                <w:bCs/>
                <w:color w:val="auto"/>
                <w:kern w:val="0"/>
                <w:sz w:val="18"/>
                <w:szCs w:val="18"/>
                <w:highlight w:val="none"/>
              </w:rPr>
            </w:pPr>
            <w:r>
              <w:rPr>
                <w:rFonts w:hint="eastAsia" w:ascii="仿宋" w:hAnsi="仿宋" w:eastAsia="仿宋" w:cs="仿宋_GB2312"/>
                <w:bCs/>
                <w:color w:val="auto"/>
                <w:kern w:val="0"/>
                <w:sz w:val="18"/>
                <w:szCs w:val="18"/>
                <w:highlight w:val="none"/>
              </w:rPr>
              <w:t>2023年昌吉州农业发展资金</w:t>
            </w:r>
          </w:p>
        </w:tc>
        <w:tc>
          <w:tcPr>
            <w:tcW w:w="85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77.6</w:t>
            </w:r>
          </w:p>
        </w:tc>
        <w:tc>
          <w:tcPr>
            <w:tcW w:w="915"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77.6</w:t>
            </w:r>
          </w:p>
        </w:tc>
        <w:tc>
          <w:tcPr>
            <w:tcW w:w="705"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720" w:type="dxa"/>
            <w:vAlign w:val="center"/>
          </w:tcPr>
          <w:p>
            <w:pPr>
              <w:widowControl/>
              <w:spacing w:line="240" w:lineRule="auto"/>
              <w:jc w:val="center"/>
              <w:rPr>
                <w:rFonts w:hint="eastAsia" w:ascii="仿宋_GB2312" w:hAnsi="宋体" w:eastAsia="仿宋_GB2312" w:cs="宋体"/>
                <w:b/>
                <w:bCs/>
                <w:color w:val="auto"/>
                <w:kern w:val="0"/>
                <w:sz w:val="18"/>
                <w:szCs w:val="18"/>
                <w:highlight w:val="none"/>
                <w:lang w:val="en-US" w:eastAsia="zh-CN"/>
              </w:rPr>
            </w:pPr>
          </w:p>
        </w:tc>
        <w:tc>
          <w:tcPr>
            <w:tcW w:w="1096" w:type="dxa"/>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77.6</w:t>
            </w:r>
          </w:p>
        </w:tc>
        <w:tc>
          <w:tcPr>
            <w:tcW w:w="797" w:type="dxa"/>
            <w:vAlign w:val="center"/>
          </w:tcPr>
          <w:p>
            <w:pPr>
              <w:spacing w:line="240" w:lineRule="auto"/>
              <w:jc w:val="center"/>
              <w:rPr>
                <w:rFonts w:ascii="仿宋" w:hAnsi="仿宋" w:eastAsia="仿宋" w:cs="仿宋_GB2312"/>
                <w:bCs/>
                <w:color w:val="auto"/>
                <w:kern w:val="0"/>
                <w:sz w:val="18"/>
                <w:szCs w:val="18"/>
                <w:highlight w:val="none"/>
              </w:rPr>
            </w:pPr>
          </w:p>
        </w:tc>
        <w:tc>
          <w:tcPr>
            <w:tcW w:w="723" w:type="dxa"/>
            <w:vAlign w:val="center"/>
          </w:tcPr>
          <w:p>
            <w:pPr>
              <w:spacing w:line="240" w:lineRule="auto"/>
              <w:jc w:val="center"/>
              <w:rPr>
                <w:rFonts w:ascii="仿宋" w:hAnsi="仿宋" w:eastAsia="仿宋" w:cs="仿宋_GB2312"/>
                <w:bCs/>
                <w:color w:val="auto"/>
                <w:kern w:val="0"/>
                <w:sz w:val="18"/>
                <w:szCs w:val="18"/>
                <w:highlight w:val="none"/>
              </w:rPr>
            </w:pPr>
          </w:p>
        </w:tc>
        <w:tc>
          <w:tcPr>
            <w:tcW w:w="744" w:type="dxa"/>
            <w:vAlign w:val="center"/>
          </w:tcPr>
          <w:p>
            <w:pPr>
              <w:spacing w:line="240" w:lineRule="auto"/>
              <w:jc w:val="center"/>
              <w:rPr>
                <w:rFonts w:ascii="仿宋" w:hAnsi="仿宋" w:eastAsia="仿宋" w:cs="仿宋_GB2312"/>
                <w:bCs/>
                <w:color w:val="auto"/>
                <w:kern w:val="0"/>
                <w:sz w:val="18"/>
                <w:szCs w:val="18"/>
                <w:highlight w:val="none"/>
              </w:rPr>
            </w:pPr>
          </w:p>
        </w:tc>
        <w:tc>
          <w:tcPr>
            <w:tcW w:w="1348" w:type="dxa"/>
            <w:vAlign w:val="center"/>
          </w:tcPr>
          <w:p>
            <w:pPr>
              <w:spacing w:line="240" w:lineRule="auto"/>
              <w:jc w:val="center"/>
              <w:rPr>
                <w:rFonts w:ascii="仿宋" w:hAnsi="仿宋" w:eastAsia="仿宋" w:cs="仿宋_GB2312"/>
                <w:bCs/>
                <w:color w:val="auto"/>
                <w:kern w:val="0"/>
                <w:sz w:val="18"/>
                <w:szCs w:val="1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呼图壁县农业农村局</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呼图壁县农业农村局2024年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呼图壁县农业农村局2024年</w:t>
      </w:r>
      <w:r>
        <w:rPr>
          <w:rFonts w:hint="eastAsia" w:ascii="仿宋_GB2312" w:hAnsi="宋体" w:eastAsia="仿宋_GB2312" w:cs="宋体"/>
          <w:color w:val="auto"/>
          <w:kern w:val="0"/>
          <w:sz w:val="32"/>
          <w:szCs w:val="32"/>
          <w:highlight w:val="none"/>
        </w:rPr>
        <w:t>所有收入和支出均纳入单位预算管理。收支总预算18125.4</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14864.42</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1256</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2005.04</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321.69</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142.9</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17326.05</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234.82</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呼图壁县农业农村局2024年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呼图壁县农业农村局</w:t>
      </w:r>
      <w:r>
        <w:rPr>
          <w:rFonts w:hint="eastAsia" w:ascii="仿宋_GB2312" w:hAnsi="宋体" w:eastAsia="仿宋_GB2312" w:cs="宋体"/>
          <w:color w:val="auto"/>
          <w:kern w:val="0"/>
          <w:sz w:val="32"/>
          <w:szCs w:val="32"/>
          <w:highlight w:val="none"/>
        </w:rPr>
        <w:t>收入预算18125.4</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14864.42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82.01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3487.05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30.65%，</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2024年预算基本支出由于人员增加、工资基数提高，工资社保公积金等费用增长</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项目中增加耕地力保护补贴项目资金、高标准农田项目资金、农机购置补贴项目资金等。</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13735.39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75.78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13735.39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2023年预算中未纳入</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1256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6.93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455.76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56.95%，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项目中增加地膜推广项目资金、耕地轮作试点项目资金、农村人居环境整治村集体自筹项目资金等。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2005.04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11.06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1794.73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853.37%，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2023年高标准农田建设、农机购置补贴等项目未完成，结余资金较多。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呼图壁县农业农村局2024年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呼图壁县农业农村局2024年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18125.46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1523.03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450.47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42%，</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lang w:val="en-US" w:eastAsia="zh-CN"/>
        </w:rPr>
        <w:t>新招录工作人员3人，且工资正常晋升，工资社保公积金等涉及人员类费用增加</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16602.43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91.6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5287.07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46.72%，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增加耕地力保护补贴项目资金、2024年中央农业生产发展项目资金、上年结转项目资金等</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呼图壁县农业农村局2024年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14864.42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14864.42</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208-社会保障和就业支出141.69万元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lang w:val="en-US" w:eastAsia="zh-CN"/>
        </w:rPr>
        <w:t>主要用于在职职工社保费用支出；210-卫生健康支出57.9万元，主要用于职工医疗费用支出；213-</w:t>
      </w:r>
      <w:r>
        <w:rPr>
          <w:rFonts w:hint="eastAsia" w:ascii="仿宋_GB2312" w:hAnsi="宋体" w:eastAsia="仿宋_GB2312" w:cs="宋体"/>
          <w:kern w:val="0"/>
          <w:sz w:val="32"/>
          <w:szCs w:val="32"/>
          <w:lang w:eastAsia="zh-CN"/>
        </w:rPr>
        <w:t>农林水支出</w:t>
      </w:r>
      <w:r>
        <w:rPr>
          <w:rFonts w:hint="eastAsia" w:ascii="仿宋_GB2312" w:hAnsi="宋体" w:eastAsia="仿宋_GB2312" w:cs="宋体"/>
          <w:kern w:val="0"/>
          <w:sz w:val="32"/>
          <w:szCs w:val="32"/>
          <w:lang w:val="en-US" w:eastAsia="zh-CN"/>
        </w:rPr>
        <w:t>14590.01万元，主要用于在职干部职工的工资福利，退休职工的交通费、奖励金、医保费等，保证机关正常办公的商品和服务支出、村级防疫员工资县级配套项目资金、以及农业农村项目支出；221-住房保障支出74.82万元，主要用于职工住房公积金费用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呼图壁县农业农村局2024年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呼图壁县农业农村局2024年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宋体" w:eastAsia="仿宋_GB2312" w:cs="宋体"/>
          <w:color w:val="auto"/>
          <w:kern w:val="0"/>
          <w:sz w:val="32"/>
          <w:szCs w:val="32"/>
          <w:highlight w:val="none"/>
          <w:lang w:val="en-US" w:eastAsia="zh-CN"/>
        </w:rPr>
        <w:t>14864.42</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1017.04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占</w:t>
      </w:r>
      <w:r>
        <w:rPr>
          <w:rFonts w:hint="eastAsia" w:ascii="仿宋_GB2312" w:hAnsi="仿宋_GB2312" w:eastAsia="仿宋_GB2312" w:cs="仿宋_GB2312"/>
          <w:color w:val="auto"/>
          <w:kern w:val="0"/>
          <w:sz w:val="32"/>
          <w:szCs w:val="32"/>
          <w:highlight w:val="none"/>
          <w:lang w:val="en-US" w:eastAsia="zh-CN"/>
        </w:rPr>
        <w:t>6.84%,</w:t>
      </w:r>
      <w:r>
        <w:rPr>
          <w:rFonts w:hint="eastAsia" w:ascii="仿宋_GB2312" w:hAnsi="仿宋_GB2312" w:eastAsia="仿宋_GB2312" w:cs="仿宋_GB2312"/>
          <w:color w:val="auto"/>
          <w:kern w:val="0"/>
          <w:sz w:val="32"/>
          <w:szCs w:val="32"/>
          <w:highlight w:val="none"/>
        </w:rPr>
        <w:t>比上年预算减少</w:t>
      </w:r>
      <w:r>
        <w:rPr>
          <w:rFonts w:hint="eastAsia" w:ascii="仿宋_GB2312" w:hAnsi="仿宋_GB2312" w:eastAsia="仿宋_GB2312" w:cs="仿宋_GB2312"/>
          <w:color w:val="auto"/>
          <w:kern w:val="0"/>
          <w:sz w:val="32"/>
          <w:szCs w:val="32"/>
          <w:highlight w:val="none"/>
          <w:lang w:val="en-US" w:eastAsia="zh-CN"/>
        </w:rPr>
        <w:t>55.52</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5.18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在职人员总数减少，对应工资福利支出减少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项目支出13847.39万元，</w:t>
      </w:r>
      <w:r>
        <w:rPr>
          <w:rFonts w:hint="eastAsia" w:ascii="仿宋_GB2312" w:hAnsi="仿宋_GB2312" w:eastAsia="仿宋_GB2312" w:cs="仿宋_GB2312"/>
          <w:color w:val="auto"/>
          <w:kern w:val="0"/>
          <w:sz w:val="32"/>
          <w:szCs w:val="32"/>
          <w:highlight w:val="none"/>
          <w:lang w:eastAsia="zh-CN"/>
        </w:rPr>
        <w:t>占比</w:t>
      </w:r>
      <w:r>
        <w:rPr>
          <w:rFonts w:hint="eastAsia" w:ascii="仿宋_GB2312" w:hAnsi="仿宋_GB2312" w:eastAsia="仿宋_GB2312" w:cs="仿宋_GB2312"/>
          <w:color w:val="auto"/>
          <w:kern w:val="0"/>
          <w:sz w:val="32"/>
          <w:szCs w:val="32"/>
          <w:highlight w:val="none"/>
          <w:lang w:val="en-US" w:eastAsia="zh-CN"/>
        </w:rPr>
        <w:t>93.16%</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3332.27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31.69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增加耕地力保护补贴项目资金、高标准农田项目资金等</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sz w:val="32"/>
          <w:szCs w:val="32"/>
        </w:rPr>
        <w:t>1.</w:t>
      </w:r>
      <w:r>
        <w:rPr>
          <w:rFonts w:hint="eastAsia" w:ascii="仿宋_GB2312" w:hAnsi="宋体" w:eastAsia="仿宋_GB2312" w:cs="宋体"/>
          <w:kern w:val="0"/>
          <w:sz w:val="32"/>
          <w:szCs w:val="32"/>
          <w:lang w:val="en-US" w:eastAsia="zh-CN"/>
        </w:rPr>
        <w:t>社会保障和就业</w:t>
      </w:r>
      <w:r>
        <w:rPr>
          <w:rFonts w:hint="eastAsia" w:ascii="仿宋_GB2312" w:hAnsi="宋体" w:eastAsia="仿宋_GB2312" w:cs="宋体"/>
          <w:kern w:val="0"/>
          <w:sz w:val="32"/>
          <w:szCs w:val="32"/>
          <w:highlight w:val="none"/>
          <w:lang w:val="en-US" w:eastAsia="zh-CN"/>
        </w:rPr>
        <w:t>支出（208类）141.69万元，占0.95%；</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2.卫生健康支出（210类）57.9万元，占0.39%；</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lang w:eastAsia="zh-CN"/>
        </w:rPr>
        <w:t>农林水支出</w:t>
      </w:r>
      <w:r>
        <w:rPr>
          <w:rFonts w:hint="eastAsia" w:ascii="仿宋_GB2312" w:hAnsi="宋体" w:eastAsia="仿宋_GB2312" w:cs="宋体"/>
          <w:kern w:val="0"/>
          <w:sz w:val="32"/>
          <w:szCs w:val="32"/>
          <w:highlight w:val="none"/>
          <w:lang w:val="en-US" w:eastAsia="zh-CN"/>
        </w:rPr>
        <w:t>（213类）14590.02万元，占98.15%；</w:t>
      </w:r>
    </w:p>
    <w:p>
      <w:pPr>
        <w:spacing w:line="560" w:lineRule="exact"/>
        <w:ind w:firstLine="640" w:firstLineChars="200"/>
        <w:rPr>
          <w:rFonts w:hint="eastAsia" w:ascii="仿宋_GB2312" w:hAnsi="仿宋_GB2312" w:eastAsia="仿宋_GB2312" w:cs="仿宋_GB2312"/>
          <w:b/>
          <w:sz w:val="32"/>
          <w:szCs w:val="32"/>
        </w:rPr>
      </w:pPr>
      <w:r>
        <w:rPr>
          <w:rFonts w:hint="eastAsia" w:ascii="仿宋_GB2312" w:hAnsi="宋体" w:eastAsia="仿宋_GB2312" w:cs="宋体"/>
          <w:kern w:val="0"/>
          <w:sz w:val="32"/>
          <w:szCs w:val="32"/>
          <w:highlight w:val="none"/>
          <w:lang w:val="en-US" w:eastAsia="zh-CN"/>
        </w:rPr>
        <w:t>4.住房保障支出（221类）74.82万元，</w:t>
      </w:r>
      <w:r>
        <w:rPr>
          <w:rFonts w:hint="eastAsia" w:ascii="仿宋_GB2312" w:hAnsi="宋体" w:eastAsia="仿宋_GB2312" w:cs="宋体"/>
          <w:kern w:val="0"/>
          <w:sz w:val="32"/>
          <w:szCs w:val="32"/>
          <w:lang w:val="en-US" w:eastAsia="zh-CN"/>
        </w:rPr>
        <w:t>占0.5%。</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lang w:eastAsia="zh-CN"/>
        </w:rPr>
        <w:t>类）行政事业单位养老支出（</w:t>
      </w:r>
      <w:r>
        <w:rPr>
          <w:rFonts w:hint="eastAsia" w:ascii="仿宋_GB2312" w:hAnsi="宋体" w:eastAsia="仿宋_GB2312" w:cs="宋体"/>
          <w:kern w:val="0"/>
          <w:sz w:val="32"/>
          <w:szCs w:val="32"/>
          <w:lang w:val="en-US" w:eastAsia="zh-CN"/>
        </w:rPr>
        <w:t>05</w:t>
      </w:r>
      <w:r>
        <w:rPr>
          <w:rFonts w:hint="eastAsia" w:ascii="仿宋_GB2312" w:hAnsi="宋体" w:eastAsia="仿宋_GB2312" w:cs="宋体"/>
          <w:kern w:val="0"/>
          <w:sz w:val="32"/>
          <w:szCs w:val="32"/>
          <w:lang w:eastAsia="zh-CN"/>
        </w:rPr>
        <w:t>款）行政单位离退休（</w:t>
      </w:r>
      <w:r>
        <w:rPr>
          <w:rFonts w:hint="eastAsia" w:ascii="仿宋_GB2312" w:hAnsi="宋体" w:eastAsia="仿宋_GB2312" w:cs="宋体"/>
          <w:kern w:val="0"/>
          <w:sz w:val="32"/>
          <w:szCs w:val="32"/>
          <w:lang w:val="en-US" w:eastAsia="zh-CN"/>
        </w:rPr>
        <w:t>01</w:t>
      </w:r>
      <w:r>
        <w:rPr>
          <w:rFonts w:hint="eastAsia" w:ascii="仿宋_GB2312" w:hAnsi="宋体" w:eastAsia="仿宋_GB2312" w:cs="宋体"/>
          <w:kern w:val="0"/>
          <w:sz w:val="32"/>
          <w:szCs w:val="32"/>
          <w:lang w:eastAsia="zh-CN"/>
        </w:rPr>
        <w:t>项）</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w:t>
      </w:r>
      <w:r>
        <w:rPr>
          <w:rFonts w:ascii="仿宋_GB2312" w:hAnsi="宋体" w:eastAsia="仿宋_GB2312" w:cs="宋体"/>
          <w:kern w:val="0"/>
          <w:sz w:val="32"/>
          <w:szCs w:val="32"/>
        </w:rPr>
        <w:t>预算数为</w:t>
      </w:r>
      <w:r>
        <w:rPr>
          <w:rFonts w:hint="eastAsia" w:ascii="仿宋_GB2312" w:hAnsi="宋体" w:eastAsia="仿宋_GB2312" w:cs="宋体"/>
          <w:kern w:val="0"/>
          <w:sz w:val="32"/>
          <w:szCs w:val="32"/>
          <w:lang w:val="en-US" w:eastAsia="zh-CN"/>
        </w:rPr>
        <w:t>51.37</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51.37</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2023年预算未使用本科目核算。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lang w:eastAsia="zh-CN"/>
        </w:rPr>
        <w:t>类）行政事业单位养老支出（</w:t>
      </w:r>
      <w:r>
        <w:rPr>
          <w:rFonts w:hint="eastAsia" w:ascii="仿宋_GB2312" w:hAnsi="宋体" w:eastAsia="仿宋_GB2312" w:cs="宋体"/>
          <w:kern w:val="0"/>
          <w:sz w:val="32"/>
          <w:szCs w:val="32"/>
          <w:lang w:val="en-US" w:eastAsia="zh-CN"/>
        </w:rPr>
        <w:t>05</w:t>
      </w:r>
      <w:r>
        <w:rPr>
          <w:rFonts w:hint="eastAsia" w:ascii="仿宋_GB2312" w:hAnsi="宋体" w:eastAsia="仿宋_GB2312" w:cs="宋体"/>
          <w:kern w:val="0"/>
          <w:sz w:val="32"/>
          <w:szCs w:val="32"/>
          <w:lang w:eastAsia="zh-CN"/>
        </w:rPr>
        <w:t>款）</w:t>
      </w:r>
      <w:r>
        <w:rPr>
          <w:rFonts w:hint="eastAsia" w:ascii="仿宋_GB2312" w:hAnsi="宋体" w:eastAsia="仿宋_GB2312" w:cs="宋体"/>
          <w:kern w:val="0"/>
          <w:sz w:val="32"/>
          <w:szCs w:val="32"/>
        </w:rPr>
        <w:t>机关事业单位基本养老保险缴费支出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05</w:t>
      </w:r>
      <w:r>
        <w:rPr>
          <w:rFonts w:hint="eastAsia" w:ascii="仿宋_GB2312" w:hAnsi="宋体" w:eastAsia="仿宋_GB2312" w:cs="宋体"/>
          <w:kern w:val="0"/>
          <w:sz w:val="32"/>
          <w:szCs w:val="32"/>
          <w:lang w:eastAsia="zh-CN"/>
        </w:rPr>
        <w:t>项）</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w:t>
      </w:r>
      <w:r>
        <w:rPr>
          <w:rFonts w:ascii="仿宋_GB2312" w:hAnsi="宋体" w:eastAsia="仿宋_GB2312" w:cs="宋体"/>
          <w:kern w:val="0"/>
          <w:sz w:val="32"/>
          <w:szCs w:val="32"/>
        </w:rPr>
        <w:t>预算数为</w:t>
      </w:r>
      <w:r>
        <w:rPr>
          <w:rFonts w:hint="eastAsia" w:ascii="仿宋_GB2312" w:hAnsi="宋体" w:eastAsia="仿宋_GB2312" w:cs="宋体"/>
          <w:kern w:val="0"/>
          <w:sz w:val="32"/>
          <w:szCs w:val="32"/>
          <w:lang w:val="en-US" w:eastAsia="zh-CN"/>
        </w:rPr>
        <w:t>90.32</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4.74</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5.54</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2023年新招录3人，且工资正常晋升，社保基数提高，缴费增加。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宋体" w:eastAsia="仿宋_GB2312" w:cs="宋体"/>
          <w:kern w:val="0"/>
          <w:sz w:val="32"/>
          <w:szCs w:val="32"/>
          <w:lang w:val="en-US" w:eastAsia="zh-CN"/>
        </w:rPr>
        <w:t>卫生健康支出（210类）行政事业单位医疗（11款）行政单位医疗（01项）：</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w:t>
      </w:r>
      <w:r>
        <w:rPr>
          <w:rFonts w:ascii="仿宋_GB2312" w:hAnsi="宋体" w:eastAsia="仿宋_GB2312" w:cs="宋体"/>
          <w:kern w:val="0"/>
          <w:sz w:val="32"/>
          <w:szCs w:val="32"/>
        </w:rPr>
        <w:t>预算数为</w:t>
      </w:r>
      <w:r>
        <w:rPr>
          <w:rFonts w:hint="eastAsia" w:ascii="仿宋_GB2312" w:hAnsi="宋体" w:eastAsia="仿宋_GB2312" w:cs="宋体"/>
          <w:kern w:val="0"/>
          <w:sz w:val="32"/>
          <w:szCs w:val="32"/>
          <w:lang w:val="en-US" w:eastAsia="zh-CN"/>
        </w:rPr>
        <w:t>36.1</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val="en-US" w:eastAsia="zh-CN"/>
        </w:rPr>
        <w:t>减少40.26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highlight w:val="none"/>
          <w:lang w:val="en-US" w:eastAsia="zh-CN"/>
        </w:rPr>
        <w:t>下降</w:t>
      </w:r>
      <w:r>
        <w:rPr>
          <w:rFonts w:hint="eastAsia" w:ascii="仿宋_GB2312" w:hAnsi="宋体" w:eastAsia="仿宋_GB2312" w:cs="宋体"/>
          <w:kern w:val="0"/>
          <w:sz w:val="32"/>
          <w:szCs w:val="32"/>
          <w:lang w:val="en-US" w:eastAsia="zh-CN"/>
        </w:rPr>
        <w:t>52.72</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事业人员、退休人员医疗费用不在本科目核算。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4.卫生健康支出（210类）行政事业单位医疗（11款）事业单位医疗（02项）：2024年预算数为9.07万元，比上年预算增加9.07万元，增长100%，主要原因是：2023年预算事业人员医疗未在本科目核算。</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5.卫生健康支出（210类）行政事业单位医疗（11款）公务员医疗补助（03项）：</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lang w:eastAsia="zh-CN"/>
        </w:rPr>
        <w:t>年</w:t>
      </w:r>
      <w:r>
        <w:rPr>
          <w:rFonts w:ascii="仿宋_GB2312" w:hAnsi="宋体" w:eastAsia="仿宋_GB2312" w:cs="宋体"/>
          <w:kern w:val="0"/>
          <w:sz w:val="32"/>
          <w:szCs w:val="32"/>
        </w:rPr>
        <w:t>预算数为</w:t>
      </w:r>
      <w:r>
        <w:rPr>
          <w:rFonts w:hint="eastAsia" w:ascii="仿宋_GB2312" w:hAnsi="宋体" w:eastAsia="仿宋_GB2312" w:cs="宋体"/>
          <w:kern w:val="0"/>
          <w:sz w:val="32"/>
          <w:szCs w:val="32"/>
          <w:lang w:val="en-US" w:eastAsia="zh-CN"/>
        </w:rPr>
        <w:t>12.42</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val="en-US" w:eastAsia="zh-CN"/>
        </w:rPr>
        <w:t>减少8.58</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下降40.86</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退休人员公务员医疗本年不在本科目核算。</w:t>
      </w:r>
    </w:p>
    <w:p>
      <w:pPr>
        <w:spacing w:line="560" w:lineRule="exact"/>
        <w:ind w:firstLine="640" w:firstLineChars="200"/>
        <w:rPr>
          <w:rFonts w:hint="eastAsia"/>
          <w:lang w:val="en-US" w:eastAsia="zh-CN"/>
        </w:rPr>
      </w:pPr>
      <w:r>
        <w:rPr>
          <w:rFonts w:hint="eastAsia" w:ascii="仿宋_GB2312" w:hAnsi="宋体" w:eastAsia="仿宋_GB2312" w:cs="宋体"/>
          <w:kern w:val="0"/>
          <w:sz w:val="32"/>
          <w:szCs w:val="32"/>
          <w:lang w:val="en-US" w:eastAsia="zh-CN"/>
        </w:rPr>
        <w:t>6.卫生健康支出（210类）行政事业单位医疗（11款）其他行政事业单位医疗支出（99项）：2024年预算数为0.32万元，比上年预算减少0.03万元，下降8.57%，主要原因是：在职人员数减少。</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7.农林水支出（213类）农业农村（01款）行政运行（01项）：2024年预算数为616.28万元，比上年预算减少886.6万元，下降58.99 %，主要原因是：2024年单位资金不在本科目核算；退休人员相关费用不在本科目核算。</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8.农林水支出（213类）农业农村（01款）事业运行（04项）：2024年预算数为126.35万元，比上年预算增加8.97万元，增长7.64 %，主要原因是：人员工资调资，支出有所增加。</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9.农林水支出（213类）农业农村（01款）病虫害控制（08项）：2024年预算数为14.96万元，比上年预算减少77.98万元，下降83.9%，主要原因是：2023年动物防疫服务补助资金中防疫员补助由各乡镇列支。</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lang w:val="en-US" w:eastAsia="zh-CN"/>
        </w:rPr>
        <w:t>10.农林水支出（213类）农业农村（01款）农产品质量安全（09项）：2024年预算数为15万元，比上年预算增加15万</w:t>
      </w:r>
      <w:r>
        <w:rPr>
          <w:rFonts w:hint="eastAsia" w:ascii="仿宋_GB2312" w:hAnsi="宋体" w:eastAsia="仿宋_GB2312" w:cs="宋体"/>
          <w:kern w:val="0"/>
          <w:sz w:val="32"/>
          <w:szCs w:val="32"/>
          <w:highlight w:val="none"/>
          <w:lang w:val="en-US" w:eastAsia="zh-CN"/>
        </w:rPr>
        <w:t>元，提高100%，主要原因是：2024年农产品质量安全工作经费在本科目核算。</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11.农林水支出（213类）农业农村（01款）稳定农民收入补贴（20项）：2024年预算数为2530.43万元，比上年预算增加2530.43万元，提高100%，主要原因是：2024年耕地力保护补贴项目资金在本科目核算。</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12.农林水支出（213类）农业农村（01款）农业生产发展（22项）：2024年预算数为2375万元，比上年预算增加1528万元，提高180.4%，主要原因是：2024年中央农业生产发展项目资金较多。</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13.农林水支出（213类）农业农村（01款）耕地建设与利用（53项）：2024年预算数为8365万元，比上年预算增加8154.7万元，提高3877.65 %，主要原因是：2024年高标准农田建设项目资金高于2023年。</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14.农林水支出（213类）农业农村（01款）其他农业农村支出（99项）：2024年预算数为92万元，比上年预算减少108万元，下降54%，主要原因是：上年项目资金结转至本年。</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15.农林水支出（213类）巩固脱贫衔接乡村振兴（05款）农村基础设施建设（04项）：2024年预算数为450万元，比上年预算增加450万元，提高100 %，主要原因是：增加2024年乡村振兴衔接资金农村道路公共照明设施建设项目资金。</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16.农林水支出（213类）巩固脱贫衔接乡村振兴（05款）其他巩固脱贫攻坚成果衔接乡村振兴支出（99项）：2024年预算数为5万元，比上年预算增加5万元，提高100 %，主要原因是：2024年乡村振兴衔接资金雨露计划项目资金在本科目核算。</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17.住房保障支出（221类）住房改革支出（02款）住房公积金（01项）：2024年预算数为74.82万元，比上年预算增加5.56万元，提高8.03%，主要原因是：2023年新招录3人，工资调标，支出有所增加。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呼图壁县农业农村局2024年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呼图壁县农业农村局</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1017.03</w:t>
      </w:r>
      <w:r>
        <w:rPr>
          <w:rFonts w:hint="eastAsia" w:ascii="仿宋_GB2312" w:hAnsi="宋体" w:eastAsia="仿宋_GB2312" w:cs="宋体"/>
          <w:color w:val="auto"/>
          <w:spacing w:val="-6"/>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984.23</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225.2万元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188.84万元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178.72万元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30.71万元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90.32万元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45.16万元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12.42万元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3.15万元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74.82万元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79.57万元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48.79万元</w:t>
      </w:r>
      <w:r>
        <w:rPr>
          <w:rFonts w:hint="eastAsia" w:ascii="仿宋_GB2312" w:hAnsi="宋体" w:eastAsia="仿宋_GB2312" w:cs="宋体"/>
          <w:color w:val="auto"/>
          <w:kern w:val="0"/>
          <w:sz w:val="32"/>
          <w:szCs w:val="32"/>
          <w:highlight w:val="none"/>
        </w:rPr>
        <w:t>、生活补助</w:t>
      </w:r>
      <w:r>
        <w:rPr>
          <w:rFonts w:hint="eastAsia" w:ascii="仿宋_GB2312" w:hAnsi="宋体" w:eastAsia="仿宋_GB2312" w:cs="宋体"/>
          <w:color w:val="auto"/>
          <w:kern w:val="0"/>
          <w:sz w:val="32"/>
          <w:szCs w:val="32"/>
          <w:highlight w:val="none"/>
          <w:lang w:val="en-US" w:eastAsia="zh-CN"/>
        </w:rPr>
        <w:t>3.88万元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2.58万元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0.07万元</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32.8</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2.5万元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0.15万元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0.6万元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1.84万元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5.22万元</w:t>
      </w:r>
      <w:r>
        <w:rPr>
          <w:rFonts w:hint="eastAsia" w:ascii="仿宋_GB2312" w:hAnsi="宋体" w:eastAsia="仿宋_GB2312" w:cs="宋体"/>
          <w:color w:val="auto"/>
          <w:kern w:val="0"/>
          <w:sz w:val="32"/>
          <w:szCs w:val="32"/>
          <w:highlight w:val="none"/>
        </w:rPr>
        <w:t>、维修（护）费</w:t>
      </w:r>
      <w:r>
        <w:rPr>
          <w:rFonts w:hint="eastAsia" w:ascii="仿宋_GB2312" w:hAnsi="宋体" w:eastAsia="仿宋_GB2312" w:cs="宋体"/>
          <w:color w:val="auto"/>
          <w:kern w:val="0"/>
          <w:sz w:val="32"/>
          <w:szCs w:val="32"/>
          <w:highlight w:val="none"/>
          <w:lang w:val="en-US" w:eastAsia="zh-CN"/>
        </w:rPr>
        <w:t>0.08万元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0.3万元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10.91万元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11.2万元</w:t>
      </w:r>
      <w:r>
        <w:rPr>
          <w:rFonts w:hint="eastAsia" w:ascii="仿宋_GB2312" w:hAnsi="宋体" w:eastAsia="仿宋_GB2312" w:cs="宋体"/>
          <w:color w:val="auto"/>
          <w:kern w:val="0"/>
          <w:sz w:val="32"/>
          <w:szCs w:val="32"/>
          <w:highlight w:val="none"/>
        </w:rPr>
        <w:t>等。</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呼图壁县农业农村局2024年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2024年中央农业动物防疫补助项目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2023</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51号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14.96万元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：无害化处理补助资金14.96万元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预计</w:t>
      </w:r>
      <w:r>
        <w:rPr>
          <w:rFonts w:hint="eastAsia" w:ascii="仿宋_GB2312" w:hAnsi="黑体" w:eastAsia="仿宋_GB2312"/>
          <w:color w:val="auto"/>
          <w:sz w:val="32"/>
          <w:szCs w:val="32"/>
          <w:highlight w:val="none"/>
          <w:lang w:eastAsia="zh-CN"/>
        </w:rPr>
        <w:t>计完成3554头生猪无害化处理。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yellow"/>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2024年农产品质量安全工作经费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呼图壁县2023年农产品质量安全监测工作方案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抽检样品费用4万元，检测试剂费4万元，农产品质量宣传资料费2万元，工作经费5万元。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yellow"/>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2024年棉花产业集群项目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2023</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62号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1000万元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：种畜禽生产性能测定100万、棉花产业集群400万、粮改饲500万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2024年高标准农田建设补助项目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昌州财农【2023】71号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1807万元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高标准农田建设补助面积10.24万亩，其中新建4.12万亩，改建6.12万亩。新建投入资金1195万元，改建投入资金612万元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2024年中央耕地建设与利用资金高标准农田建设项目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昌州财农【2023】50号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6558万元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：新建高标准农田4.12万亩，改造提升高标准农田6.12万亩，其中大丰镇3.40万亩、五工台镇1.76万亩、二十里店镇1.96万亩、石梯子乡2.87万亩、园户村镇0.70万亩。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yellow"/>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2024年村级防疫员工资县级配套补助资金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中华人民共和国动物防疫法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92万元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村级防疫员工资92万元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7、</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2024年自治区衔接资金农村道路公共照明设施建设项目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昌州财农【2023】53号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450万元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农村道路公共照明设施建设项目450万元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yellow"/>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8、</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2024年中央耕地建设与利用资金耕地地力保护补贴项目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2023</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50号</w:t>
      </w:r>
      <w:r>
        <w:rPr>
          <w:rFonts w:hint="eastAsia" w:ascii="仿宋_GB2312" w:hAnsi="宋体" w:eastAsia="仿宋_GB2312" w:cs="宋体"/>
          <w:color w:val="auto"/>
          <w:kern w:val="0"/>
          <w:sz w:val="32"/>
          <w:szCs w:val="32"/>
          <w:highlight w:val="none"/>
          <w:lang w:eastAsia="zh-CN"/>
        </w:rPr>
        <w:t>、昌州财农【</w:t>
      </w:r>
      <w:r>
        <w:rPr>
          <w:rFonts w:hint="eastAsia" w:ascii="仿宋_GB2312" w:hAnsi="宋体" w:eastAsia="仿宋_GB2312" w:cs="宋体"/>
          <w:color w:val="auto"/>
          <w:kern w:val="0"/>
          <w:sz w:val="32"/>
          <w:szCs w:val="32"/>
          <w:highlight w:val="none"/>
          <w:lang w:val="en-US" w:eastAsia="zh-CN"/>
        </w:rPr>
        <w:t>2023</w:t>
      </w:r>
      <w:r>
        <w:rPr>
          <w:rFonts w:hint="eastAsia" w:ascii="仿宋_GB2312" w:hAnsi="宋体" w:eastAsia="仿宋_GB2312" w:cs="宋体"/>
          <w:color w:val="auto"/>
          <w:kern w:val="0"/>
          <w:sz w:val="32"/>
          <w:szCs w:val="32"/>
          <w:highlight w:val="none"/>
          <w:lang w:eastAsia="zh-CN"/>
        </w:rPr>
        <w:t>】72号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2530.43万元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：耕地补贴面积11万亩，补助资金2375万元</w:t>
      </w:r>
      <w:r>
        <w:rPr>
          <w:rFonts w:hint="eastAsia" w:ascii="仿宋_GB2312" w:hAnsi="黑体" w:eastAsia="仿宋_GB2312"/>
          <w:color w:val="auto"/>
          <w:sz w:val="32"/>
          <w:szCs w:val="32"/>
          <w:highlight w:val="none"/>
          <w:lang w:eastAsia="zh-CN"/>
        </w:rPr>
        <w:t>；冬小麦补贴面积11万亩，补贴资金155.43万元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yellow"/>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中央专项资金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根据申请审核后人数确定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对种植冬小麦和春小麦的农户补助，</w:t>
      </w:r>
      <w:r>
        <w:rPr>
          <w:rFonts w:hint="eastAsia" w:ascii="仿宋_GB2312" w:hAnsi="黑体" w:eastAsia="仿宋_GB2312"/>
          <w:color w:val="auto"/>
          <w:sz w:val="32"/>
          <w:szCs w:val="32"/>
          <w:highlight w:val="none"/>
          <w:lang w:val="en-US" w:eastAsia="zh-CN"/>
        </w:rPr>
        <w:t>每亩补助215.87元；每亩补贴标准14.13元。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种植冬小麦和春小麦的农户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一卡通发放</w:t>
      </w:r>
    </w:p>
    <w:p>
      <w:pPr>
        <w:spacing w:line="560" w:lineRule="exact"/>
        <w:ind w:firstLine="640" w:firstLineChars="200"/>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种植冬小麦和春小麦</w:t>
      </w:r>
      <w:r>
        <w:rPr>
          <w:rFonts w:hint="eastAsia" w:ascii="仿宋_GB2312" w:hAnsi="宋体" w:eastAsia="仿宋_GB2312" w:cs="宋体"/>
          <w:kern w:val="0"/>
          <w:sz w:val="32"/>
          <w:szCs w:val="32"/>
          <w:lang w:val="en-US" w:eastAsia="zh-CN"/>
        </w:rPr>
        <w:t>，提交申请，农业部门核实，录入系统，一卡通资金发放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冬小麦和春小麦农户受益；</w:t>
      </w:r>
      <w:r>
        <w:rPr>
          <w:rFonts w:hint="eastAsia" w:ascii="仿宋_GB2312" w:hAnsi="宋体" w:eastAsia="仿宋_GB2312" w:cs="宋体"/>
          <w:kern w:val="0"/>
          <w:sz w:val="32"/>
          <w:szCs w:val="32"/>
          <w:lang w:val="en-US" w:eastAsia="zh-CN"/>
        </w:rPr>
        <w:t>群众满意度高，促进农业可持续发展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9、</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2024年农机购置与应用补贴项目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2023</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62号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1370万元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：农机购置与应用补贴1370万</w:t>
      </w:r>
      <w:r>
        <w:rPr>
          <w:rFonts w:hint="eastAsia" w:ascii="仿宋_GB2312" w:hAnsi="黑体" w:eastAsia="仿宋_GB2312"/>
          <w:color w:val="auto"/>
          <w:sz w:val="32"/>
          <w:szCs w:val="32"/>
          <w:highlight w:val="none"/>
          <w:lang w:eastAsia="zh-CN"/>
        </w:rPr>
        <w:t>，补贴各类农机具725台（套）以上。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yellow"/>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中央专项资金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根据申请审核后人数确定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中央财政补贴资金实行定额补贴，即同一种类、同一档次农业机械实行统一的补贴标准，其中：通用类机具补贴额不超过农业部发布的最高补贴额，补贴额依据同档产品上年市场销售均价测算，原则上比例不超过30%。</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购买享受补贴的机具农户均可享受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一卡通发放</w:t>
      </w:r>
    </w:p>
    <w:p>
      <w:pPr>
        <w:spacing w:line="560" w:lineRule="exact"/>
        <w:ind w:firstLine="640" w:firstLineChars="200"/>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购买农机</w:t>
      </w:r>
      <w:r>
        <w:rPr>
          <w:rFonts w:hint="eastAsia" w:ascii="仿宋_GB2312" w:hAnsi="宋体" w:eastAsia="仿宋_GB2312" w:cs="宋体"/>
          <w:kern w:val="0"/>
          <w:sz w:val="32"/>
          <w:szCs w:val="32"/>
          <w:lang w:val="en-US" w:eastAsia="zh-CN"/>
        </w:rPr>
        <w:t>，提交申请，农业部门核实，录入系统，一卡通资金发放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购买享受补贴机具的农户受益；</w:t>
      </w:r>
      <w:r>
        <w:rPr>
          <w:rFonts w:hint="eastAsia" w:ascii="仿宋_GB2312" w:hAnsi="宋体" w:eastAsia="仿宋_GB2312" w:cs="宋体"/>
          <w:kern w:val="0"/>
          <w:sz w:val="32"/>
          <w:szCs w:val="32"/>
          <w:lang w:val="en-US" w:eastAsia="zh-CN"/>
        </w:rPr>
        <w:t>群众满意度高，促进农业可持续发展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10、</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2024年种畜禽生产性能测定项目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昌州财农</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2023</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62号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：牧区畜牧良种补贴5万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yellow"/>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中央专项资金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根据申请审核后人数确定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每只种公羊1000元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lang w:val="en-US" w:eastAsia="zh-CN"/>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对购买种公羊的农户进行补贴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农信银行卡发放</w:t>
      </w:r>
    </w:p>
    <w:p>
      <w:pPr>
        <w:spacing w:line="560" w:lineRule="exact"/>
        <w:ind w:firstLine="640" w:firstLineChars="200"/>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购买种公羊</w:t>
      </w:r>
      <w:r>
        <w:rPr>
          <w:rFonts w:hint="eastAsia" w:ascii="仿宋_GB2312" w:hAnsi="宋体" w:eastAsia="仿宋_GB2312" w:cs="宋体"/>
          <w:kern w:val="0"/>
          <w:sz w:val="32"/>
          <w:szCs w:val="32"/>
          <w:lang w:val="en-US" w:eastAsia="zh-CN"/>
        </w:rPr>
        <w:t>，提交申请，农业部门核实，录入系统，银行卡发放</w:t>
      </w:r>
    </w:p>
    <w:p>
      <w:pPr>
        <w:spacing w:line="560" w:lineRule="exact"/>
        <w:ind w:firstLine="640" w:firstLineChars="200"/>
        <w:rPr>
          <w:rFonts w:hint="eastAsia" w:ascii="仿宋_GB2312" w:hAnsi="宋体" w:eastAsia="仿宋_GB2312" w:cs="宋体"/>
          <w:kern w:val="0"/>
          <w:sz w:val="32"/>
          <w:szCs w:val="32"/>
          <w:lang w:val="en-US"/>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购买种公羊的农户受益；</w:t>
      </w:r>
      <w:r>
        <w:rPr>
          <w:rFonts w:hint="eastAsia" w:ascii="仿宋_GB2312" w:hAnsi="宋体" w:eastAsia="仿宋_GB2312" w:cs="宋体"/>
          <w:kern w:val="0"/>
          <w:sz w:val="32"/>
          <w:szCs w:val="32"/>
          <w:lang w:val="en-US" w:eastAsia="zh-CN"/>
        </w:rPr>
        <w:t>群众满意度高，促进农业可持续发展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11、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2024年县级衔接资金雨露计划项目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关于印发新疆维吾尔自治区财政衔接推进乡村振兴补助资金管理办法的通知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呼图壁县农业农村局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雨露计划项目</w:t>
      </w:r>
      <w:r>
        <w:rPr>
          <w:rFonts w:hint="eastAsia" w:ascii="仿宋_GB2312" w:hAnsi="宋体" w:eastAsia="仿宋_GB2312" w:cs="宋体"/>
          <w:color w:val="auto"/>
          <w:kern w:val="0"/>
          <w:sz w:val="32"/>
          <w:szCs w:val="32"/>
          <w:highlight w:val="none"/>
          <w:lang w:val="en-US" w:eastAsia="zh-CN"/>
        </w:rPr>
        <w:t>补助资金5万元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yellow"/>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县本级资金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根据申请审核后人数确定</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每人3000元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kern w:val="0"/>
          <w:sz w:val="32"/>
          <w:szCs w:val="32"/>
          <w:lang w:val="en-US" w:eastAsia="zh-CN"/>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对低收入家庭中在中职校就读的学生进行补贴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银行卡发放</w:t>
      </w:r>
    </w:p>
    <w:p>
      <w:pPr>
        <w:spacing w:line="560" w:lineRule="exact"/>
        <w:ind w:firstLine="640" w:firstLineChars="200"/>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kern w:val="0"/>
          <w:sz w:val="32"/>
          <w:szCs w:val="32"/>
          <w:lang w:val="en-US" w:eastAsia="zh-CN"/>
        </w:rPr>
        <w:t>提交申请，农业部门核实，录入系统，银行卡发放</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群众满意度高，扶持低收入家庭中的学生就学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呼图壁县农业农村局2024年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呼图壁县农业农村局2024年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呼图壁县农业农村局2024年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呼图壁县农业农村局2024年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呼图壁县农业农村局2024年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呼图壁县农业农村局2024年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11.5</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11.2</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0.3</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0%，本年预算相较去年无变化</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0%，本年预算相较去年无变化</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呼图壁县农业农村局2024年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呼图壁县农业农村局2024年</w:t>
      </w:r>
      <w:r>
        <w:rPr>
          <w:rFonts w:hint="eastAsia" w:ascii="仿宋_GB2312" w:hAnsi="仿宋_GB2312" w:eastAsia="仿宋_GB2312" w:cs="仿宋_GB2312"/>
          <w:color w:val="auto"/>
          <w:kern w:val="0"/>
          <w:sz w:val="32"/>
          <w:szCs w:val="32"/>
          <w:highlight w:val="none"/>
          <w:lang w:val="en-US" w:eastAsia="zh-CN"/>
        </w:rPr>
        <w:t>上年结转结余2005.04万元，包括：财政拨款2005.04万元，非财政拨款0万元，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1.高产奶牛标准化养殖基地项目前期费50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主要用于：标准化奶牛养殖基地建设前期设计费和方案编制费等。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2.2024年农村人居环境整治项目前期费50万元，主要用于：项目设计费和项目方案编制费等。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lang w:val="en-US" w:eastAsia="zh-CN"/>
        </w:rPr>
      </w:pPr>
      <w:r>
        <w:rPr>
          <w:rFonts w:hint="eastAsia" w:ascii="仿宋_GB2312" w:hAnsi="仿宋_GB2312" w:eastAsia="仿宋_GB2312" w:cs="仿宋_GB2312"/>
          <w:color w:val="auto"/>
          <w:sz w:val="32"/>
          <w:szCs w:val="32"/>
          <w:highlight w:val="none"/>
          <w:lang w:val="en-US" w:eastAsia="zh-CN"/>
        </w:rPr>
        <w:t>3.2023年度州级重点人才项目经费3万元，主要用于：支付人才培养项目费用。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4.2023年中央农业防灾减灾和救灾资金预算（防灾减灾第十一批）48万元，主要用于：运储备饲草料。</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5.2023年中央农业生产发展资金156.18万元，主要用于：农机购置补贴、粮改饲、高产优质苜蓿、良种补贴项目。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6.2023年自治区大豆、花生种植补贴项目15.75万元，主要用于：大豆及花生种植的补贴。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7.2023年中央农业资源及生态保护补助资金5.04万元，主要用于：耕地轮作项目。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8.2023年中央高标准农田建设补助项目1599.48万元，主要用于：高标准农田建设。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highlight w:val="yellow"/>
          <w:lang w:val="en-US" w:eastAsia="zh-CN"/>
        </w:rPr>
      </w:pPr>
      <w:r>
        <w:rPr>
          <w:rFonts w:hint="eastAsia" w:ascii="仿宋_GB2312" w:hAnsi="仿宋_GB2312" w:eastAsia="仿宋_GB2312" w:cs="仿宋_GB2312"/>
          <w:color w:val="auto"/>
          <w:sz w:val="32"/>
          <w:szCs w:val="32"/>
          <w:highlight w:val="none"/>
          <w:lang w:val="en-US" w:eastAsia="zh-CN"/>
        </w:rPr>
        <w:t>9.2023年昌吉州农业发展资金77.6万元，主要用于：政府购买动物防疫服务配套项目资金。</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呼图壁县农业农村局</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年，本级及下属</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家行政单位和</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家事业单位的</w:t>
      </w:r>
      <w:r>
        <w:rPr>
          <w:rFonts w:hint="eastAsia" w:ascii="仿宋_GB2312" w:hAnsi="仿宋_GB2312" w:eastAsia="仿宋_GB2312" w:cs="仿宋_GB2312"/>
          <w:color w:val="auto"/>
          <w:kern w:val="0"/>
          <w:sz w:val="32"/>
          <w:szCs w:val="32"/>
          <w:highlight w:val="none"/>
        </w:rPr>
        <w:t>机关运行经费财政拨款预算</w:t>
      </w:r>
      <w:r>
        <w:rPr>
          <w:rFonts w:hint="eastAsia" w:ascii="仿宋_GB2312" w:hAnsi="仿宋_GB2312" w:eastAsia="仿宋_GB2312" w:cs="仿宋_GB2312"/>
          <w:color w:val="auto"/>
          <w:kern w:val="0"/>
          <w:sz w:val="32"/>
          <w:szCs w:val="32"/>
          <w:highlight w:val="none"/>
          <w:lang w:val="en-US" w:eastAsia="zh-CN"/>
        </w:rPr>
        <w:t>32.8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2.11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6.88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kern w:val="0"/>
          <w:sz w:val="32"/>
          <w:szCs w:val="32"/>
          <w:lang w:val="en-US" w:eastAsia="zh-CN"/>
        </w:rPr>
        <w:t>年预算中安排了工会经费，且2023年新招录工作人员3人，运行经费增加。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呼图壁县农业农村局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461.7</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6.5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450</w:t>
      </w:r>
      <w:r>
        <w:rPr>
          <w:rFonts w:hint="eastAsia" w:ascii="仿宋_GB2312" w:hAnsi="仿宋_GB2312" w:eastAsia="仿宋_GB2312" w:cs="仿宋_GB2312"/>
          <w:color w:val="auto"/>
          <w:kern w:val="0"/>
          <w:sz w:val="32"/>
          <w:szCs w:val="32"/>
          <w:highlight w:val="none"/>
        </w:rPr>
        <w:t xml:space="preserve">     万元，政府采购服务预算</w:t>
      </w:r>
      <w:r>
        <w:rPr>
          <w:rFonts w:hint="eastAsia" w:ascii="仿宋_GB2312" w:hAnsi="仿宋_GB2312" w:eastAsia="仿宋_GB2312" w:cs="仿宋_GB2312"/>
          <w:color w:val="auto"/>
          <w:kern w:val="0"/>
          <w:sz w:val="32"/>
          <w:szCs w:val="32"/>
          <w:highlight w:val="none"/>
          <w:lang w:val="en-US" w:eastAsia="zh-CN"/>
        </w:rPr>
        <w:t>5.2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呼图壁县农业农村局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11.7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11.7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呼图壁县农业农村局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122.34</w:t>
      </w:r>
      <w:r>
        <w:rPr>
          <w:rFonts w:hint="eastAsia" w:ascii="仿宋_GB2312" w:hAnsi="仿宋_GB2312" w:eastAsia="仿宋_GB2312" w:cs="仿宋_GB2312"/>
          <w:kern w:val="0"/>
          <w:sz w:val="32"/>
          <w:szCs w:val="32"/>
        </w:rPr>
        <w:t xml:space="preserve">万元；其中：一般公务用车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18.95</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103.39</w:t>
      </w:r>
      <w:r>
        <w:rPr>
          <w:rFonts w:hint="eastAsia" w:ascii="仿宋_GB2312" w:hAnsi="仿宋_GB2312" w:eastAsia="仿宋_GB2312" w:cs="仿宋_GB2312"/>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56.78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276.56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单位</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val="en-US" w:eastAsia="zh-CN"/>
        </w:rPr>
        <w:t>单位</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呼图壁县农业农村局</w:t>
      </w:r>
      <w:r>
        <w:rPr>
          <w:rFonts w:hint="eastAsia" w:ascii="仿宋_GB2312" w:hAnsi="仿宋_GB2312" w:eastAsia="仿宋_GB2312" w:cs="仿宋_GB2312"/>
          <w:color w:val="auto"/>
          <w:kern w:val="0"/>
          <w:sz w:val="32"/>
          <w:szCs w:val="32"/>
          <w:highlight w:val="none"/>
        </w:rPr>
        <w:t>预算未安排购置车辆经费，</w:t>
      </w:r>
      <w:r>
        <w:rPr>
          <w:rFonts w:hint="eastAsia" w:ascii="仿宋_GB2312" w:hAnsi="仿宋_GB2312" w:eastAsia="仿宋_GB2312" w:cs="仿宋_GB2312"/>
          <w:color w:val="auto"/>
          <w:kern w:val="0"/>
          <w:sz w:val="32"/>
          <w:szCs w:val="32"/>
          <w:highlight w:val="none"/>
          <w:lang w:val="en-US" w:eastAsia="zh-CN"/>
        </w:rPr>
        <w:t>未</w:t>
      </w:r>
      <w:r>
        <w:rPr>
          <w:rFonts w:hint="eastAsia" w:ascii="仿宋_GB2312" w:hAnsi="仿宋_GB2312" w:eastAsia="仿宋_GB2312" w:cs="仿宋_GB2312"/>
          <w:color w:val="auto"/>
          <w:kern w:val="0"/>
          <w:sz w:val="32"/>
          <w:szCs w:val="32"/>
          <w:highlight w:val="none"/>
        </w:rPr>
        <w:t>安排购置50万元以上大型设备，</w:t>
      </w:r>
      <w:r>
        <w:rPr>
          <w:rFonts w:hint="eastAsia" w:ascii="仿宋_GB2312" w:hAnsi="仿宋_GB2312" w:eastAsia="仿宋_GB2312" w:cs="仿宋_GB2312"/>
          <w:color w:val="auto"/>
          <w:kern w:val="0"/>
          <w:sz w:val="32"/>
          <w:szCs w:val="32"/>
          <w:highlight w:val="none"/>
          <w:lang w:val="en-US" w:eastAsia="zh-CN"/>
        </w:rPr>
        <w:t>未安排购置</w:t>
      </w:r>
      <w:r>
        <w:rPr>
          <w:rFonts w:hint="eastAsia" w:ascii="仿宋_GB2312" w:hAnsi="仿宋_GB2312" w:eastAsia="仿宋_GB2312" w:cs="仿宋_GB2312"/>
          <w:color w:val="auto"/>
          <w:kern w:val="0"/>
          <w:sz w:val="32"/>
          <w:szCs w:val="32"/>
          <w:highlight w:val="none"/>
        </w:rPr>
        <w:t>单位价值100万元以上大型设备。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整体预算绩效目标1个，涉及金额16120.42万元；当年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14</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涉及预算金额13847.39万元；当年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750</w:t>
      </w:r>
      <w:r>
        <w:rPr>
          <w:rFonts w:hint="eastAsia" w:ascii="仿宋_GB2312" w:hAnsi="仿宋_GB2312" w:eastAsia="仿宋_GB2312" w:cs="仿宋_GB2312"/>
          <w:color w:val="auto"/>
          <w:kern w:val="0"/>
          <w:sz w:val="32"/>
          <w:szCs w:val="32"/>
          <w:highlight w:val="none"/>
        </w:rPr>
        <w:t>万元。具体情况见下表：</w:t>
      </w:r>
    </w:p>
    <w:tbl>
      <w:tblPr>
        <w:tblStyle w:val="6"/>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呼图壁县农业农村局整体绩效目标表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安志扬</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15003038312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以实施乡村振兴战略为总抓手，以农业供给侧结构性改革为主线，转变发展方式，不断优化产业结构布局，强化科技创新、政策支持和法治保障，努力实现农业提质增效、农村劳动力转移就业，加快构建现代农业产业体系、生产体系和经营体系，推动农业农村高质量发展。完成单位职工工资社保公积金等正常发放，保障单位职工基本利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资金总额</w:t>
            </w:r>
            <w:r>
              <w:rPr>
                <w:rFonts w:hint="eastAsia" w:ascii="宋体" w:hAnsi="宋体" w:cs="宋体"/>
                <w:i w:val="0"/>
                <w:iCs w:val="0"/>
                <w:color w:val="000000"/>
                <w:kern w:val="0"/>
                <w:sz w:val="20"/>
                <w:szCs w:val="20"/>
                <w:u w:val="none"/>
                <w:lang w:val="en-US" w:eastAsia="zh-CN" w:bidi="ar"/>
              </w:rPr>
              <w:t>：16120.42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13735.39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1029.03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1256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u w:val="none"/>
                <w:lang w:val="en-US" w:eastAsia="zh-CN"/>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u w:val="none"/>
                <w:lang w:val="en-US" w:eastAsia="zh-CN"/>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小麦种植面积</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11万亩</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千亩棉花示范园</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1个</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玉米种植面积</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26万亩</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农产品质量安全监测合格率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≥98%</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行业标准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重大动物疫病免疫密度</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≥9</w:t>
            </w:r>
            <w:r>
              <w:rPr>
                <w:rFonts w:hint="eastAsia" w:ascii="宋体" w:hAnsi="宋体" w:cs="宋体"/>
                <w:i w:val="0"/>
                <w:iCs w:val="0"/>
                <w:color w:val="000000"/>
                <w:sz w:val="20"/>
                <w:szCs w:val="20"/>
                <w:u w:val="none"/>
                <w:lang w:val="en-US" w:eastAsia="zh-CN"/>
              </w:rPr>
              <w:t>0</w:t>
            </w:r>
            <w:r>
              <w:rPr>
                <w:rFonts w:hint="eastAsia" w:ascii="宋体" w:hAnsi="宋体" w:eastAsia="宋体" w:cs="宋体"/>
                <w:i w:val="0"/>
                <w:iCs w:val="0"/>
                <w:color w:val="000000"/>
                <w:sz w:val="20"/>
                <w:szCs w:val="20"/>
                <w:u w:val="none"/>
              </w:rPr>
              <w:t>%</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行业标准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u w:val="none"/>
                <w:lang w:val="en-US" w:eastAsia="zh-CN"/>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u w:val="none"/>
                <w:lang w:val="en-US" w:eastAsia="zh-CN"/>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4"/>
                <w:szCs w:val="24"/>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p>
        </w:tc>
        <w:tc>
          <w:tcPr>
            <w:tcW w:w="1809" w:type="dxa"/>
            <w:tcBorders>
              <w:top w:val="single" w:color="000000" w:sz="4" w:space="0"/>
              <w:left w:val="single" w:color="000000" w:sz="4" w:space="0"/>
              <w:bottom w:val="single" w:color="000000" w:sz="4" w:space="0"/>
              <w:right w:val="single" w:color="000000" w:sz="4" w:space="0"/>
            </w:tcBorders>
            <w:vAlign w:val="center"/>
          </w:tcPr>
          <w:p>
            <w:pPr>
              <w:pStyle w:val="2"/>
              <w:rPr>
                <w:rFonts w:hint="default" w:ascii="宋体" w:hAnsi="宋体" w:eastAsia="宋体" w:cs="宋体"/>
                <w:i w:val="0"/>
                <w:iCs w:val="0"/>
                <w:color w:val="000000"/>
                <w:sz w:val="24"/>
                <w:szCs w:val="24"/>
                <w:u w:val="none"/>
                <w:lang w:val="en-US" w:eastAsia="zh-CN"/>
              </w:rPr>
            </w:pPr>
          </w:p>
        </w:tc>
      </w:tr>
    </w:tbl>
    <w:tbl>
      <w:tblPr>
        <w:tblStyle w:val="6"/>
        <w:tblpPr w:leftFromText="180" w:rightFromText="180" w:vertAnchor="text" w:horzAnchor="page" w:tblpX="1357" w:tblpY="289"/>
        <w:tblOverlap w:val="never"/>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5"/>
        <w:gridCol w:w="906"/>
        <w:gridCol w:w="906"/>
        <w:gridCol w:w="906"/>
        <w:gridCol w:w="907"/>
        <w:gridCol w:w="906"/>
        <w:gridCol w:w="907"/>
        <w:gridCol w:w="906"/>
        <w:gridCol w:w="19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80" w:hRule="atLeast"/>
        </w:trPr>
        <w:tc>
          <w:tcPr>
            <w:tcW w:w="92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7" w:hRule="atLeast"/>
        </w:trPr>
        <w:tc>
          <w:tcPr>
            <w:tcW w:w="920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0" w:hRule="atLeast"/>
        </w:trPr>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38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2" w:hRule="atLeast"/>
        </w:trPr>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2024年中央农业防灾减灾动物防疫补助养殖环节无害化处理补助项目</w:t>
            </w:r>
          </w:p>
        </w:tc>
        <w:tc>
          <w:tcPr>
            <w:tcW w:w="18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8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2" w:hRule="atLeast"/>
        </w:trPr>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14.96</w:t>
            </w:r>
          </w:p>
        </w:tc>
        <w:tc>
          <w:tcPr>
            <w:tcW w:w="90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14.96</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8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2" w:hRule="atLeast"/>
        </w:trPr>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389"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呼图壁县共计完成3554头生猪无害化处理。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2" w:hRule="atLeast"/>
        </w:trPr>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0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0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0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95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2" w:hRule="atLeast"/>
        </w:trPr>
        <w:tc>
          <w:tcPr>
            <w:tcW w:w="9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病死猪应补尽补数量</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&gt;=3354头</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2"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资金执行率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2"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资金发放及时率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2" w:hRule="atLeast"/>
        </w:trPr>
        <w:tc>
          <w:tcPr>
            <w:tcW w:w="9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项目成本控制率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2" w:hRule="atLeast"/>
        </w:trPr>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资金补助标准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=80元/头</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73"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资金使用过程中重大违规违纪问题</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=0个</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4"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pStyle w:val="2"/>
        <w:rPr>
          <w:rFonts w:hint="eastAsia" w:ascii="黑体" w:hAnsi="黑体" w:eastAsia="黑体"/>
          <w:kern w:val="0"/>
          <w:sz w:val="32"/>
          <w:szCs w:val="32"/>
          <w:highlight w:val="none"/>
        </w:rPr>
      </w:pPr>
    </w:p>
    <w:tbl>
      <w:tblPr>
        <w:tblStyle w:val="6"/>
        <w:tblpPr w:leftFromText="180" w:rightFromText="180" w:vertAnchor="text" w:horzAnchor="page" w:tblpX="1342" w:tblpY="330"/>
        <w:tblOverlap w:val="never"/>
        <w:tblW w:w="9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12"/>
        <w:gridCol w:w="914"/>
        <w:gridCol w:w="915"/>
        <w:gridCol w:w="915"/>
        <w:gridCol w:w="915"/>
        <w:gridCol w:w="914"/>
        <w:gridCol w:w="915"/>
        <w:gridCol w:w="913"/>
        <w:gridCol w:w="19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72" w:hRule="atLeast"/>
        </w:trPr>
        <w:tc>
          <w:tcPr>
            <w:tcW w:w="92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3" w:hRule="atLeast"/>
        </w:trPr>
        <w:tc>
          <w:tcPr>
            <w:tcW w:w="92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45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2" w:hRule="atLeast"/>
        </w:trPr>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7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2024年非定额--2024年农产品质量安全工作经费（非定额）</w:t>
            </w:r>
          </w:p>
        </w:tc>
        <w:tc>
          <w:tcPr>
            <w:tcW w:w="182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杨梅梅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2" w:hRule="atLeast"/>
        </w:trPr>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91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8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5" w:hRule="atLeast"/>
        </w:trPr>
        <w:tc>
          <w:tcPr>
            <w:tcW w:w="182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454"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完成10500批次农产品监测任务，确保监测合格率98%以上，成功创建自治区农产品质量安全县。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2" w:hRule="atLeast"/>
        </w:trPr>
        <w:tc>
          <w:tcPr>
            <w:tcW w:w="91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1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1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1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1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96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74" w:hRule="atLeast"/>
        </w:trPr>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完成农畜产品监督抽查（批次）</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&gt;=1080批次</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74"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完成农畜产品风险监测（批次）</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&gt;=1920批次</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74"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完成乡镇蔬菜快速检测（批次）</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&gt;=7500批次</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2"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全县农产品检测合格率</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&gt;=98%</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2"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农产品监管工作经费</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&lt;=15万元</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35"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农产品质量安全案件立案率、办结率（%）</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2"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tbl>
      <w:tblPr>
        <w:tblStyle w:val="6"/>
        <w:tblpPr w:leftFromText="180" w:rightFromText="180" w:vertAnchor="text" w:horzAnchor="page" w:tblpX="517" w:tblpY="289"/>
        <w:tblOverlap w:val="never"/>
        <w:tblW w:w="105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80"/>
        <w:gridCol w:w="1080"/>
        <w:gridCol w:w="1876"/>
        <w:gridCol w:w="870"/>
        <w:gridCol w:w="960"/>
        <w:gridCol w:w="690"/>
        <w:gridCol w:w="1004"/>
        <w:gridCol w:w="1080"/>
        <w:gridCol w:w="19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trPr>
        <w:tc>
          <w:tcPr>
            <w:tcW w:w="10591"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0591"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843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70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2024年棉花集群项目</w:t>
            </w:r>
          </w:p>
        </w:tc>
        <w:tc>
          <w:tcPr>
            <w:tcW w:w="16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0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96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w:t>
            </w: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0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8431"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建设棉花标准化种植基地6万亩，机械化率达到98.35%以上，棉花单产逐年提高1.2%左右。棉花加工业设备升级、技术改造成效显著，原棉品质一致性显著提高。培育种植规模 5 万亩以上的龙头企业、农民专业合作社等新型农业经营主体1家以上，籽棉加工规模 5万吨以上的轧花企业1家以上，实现产业链各实施主体之间分工明确、合作有序，通过订单农业带动农户1000人以上，棉花种植户平均增收3000元以上。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87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69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100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95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1"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建设特色棉花产业集群（个）</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=1个</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建立标准化示范基地面积</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=6万亩</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扶持龙头企业或者合作社数量</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&gt;=2个</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项目验收合格率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项目承担主体完成建设任务和验收及时率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项目资金支付及时率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项目成本控制率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全县棉花全产业链综合产值</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明显提高</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服务对象对中央财政补助资金使用情况满意度（%）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9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pStyle w:val="2"/>
        <w:rPr>
          <w:rFonts w:hint="eastAsia"/>
        </w:rPr>
      </w:pPr>
    </w:p>
    <w:tbl>
      <w:tblPr>
        <w:tblStyle w:val="6"/>
        <w:tblpPr w:leftFromText="180" w:rightFromText="180" w:vertAnchor="text" w:horzAnchor="page" w:tblpX="1402" w:tblpY="88"/>
        <w:tblOverlap w:val="never"/>
        <w:tblW w:w="91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03"/>
        <w:gridCol w:w="904"/>
        <w:gridCol w:w="904"/>
        <w:gridCol w:w="905"/>
        <w:gridCol w:w="905"/>
        <w:gridCol w:w="905"/>
        <w:gridCol w:w="904"/>
        <w:gridCol w:w="904"/>
        <w:gridCol w:w="1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76" w:hRule="atLeast"/>
        </w:trPr>
        <w:tc>
          <w:tcPr>
            <w:tcW w:w="91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2" w:hRule="atLeast"/>
        </w:trPr>
        <w:tc>
          <w:tcPr>
            <w:tcW w:w="91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2"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37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6"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7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2024年中央农业生产发展-2024年种畜禽生产性能测定项目</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6"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0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5" w:hRule="atLeast"/>
        </w:trPr>
        <w:tc>
          <w:tcPr>
            <w:tcW w:w="18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373"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完成国家肉牛核心育种场核心群中国西门塔尔牛生产性能测定任务1000头，其中生长发育性能测定550头，泌乳生产性能测定450头。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6" w:hRule="atLeast"/>
        </w:trPr>
        <w:tc>
          <w:tcPr>
            <w:tcW w:w="90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0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0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0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0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94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47" w:hRule="atLeast"/>
        </w:trPr>
        <w:tc>
          <w:tcPr>
            <w:tcW w:w="9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种畜禽和奶牛生产性能测定数量（头、只）</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=1000头</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6" w:hRule="atLeast"/>
        </w:trPr>
        <w:tc>
          <w:tcPr>
            <w:tcW w:w="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检测的有效性（%）</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6" w:hRule="atLeast"/>
        </w:trPr>
        <w:tc>
          <w:tcPr>
            <w:tcW w:w="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检测完成及时率（%）</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6" w:hRule="atLeast"/>
        </w:trPr>
        <w:tc>
          <w:tcPr>
            <w:tcW w:w="9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检测截止时限</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2024年底</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6" w:hRule="atLeast"/>
        </w:trPr>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16" w:hRule="atLeast"/>
        </w:trPr>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资金使用重大违规违纪问题</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87" w:hRule="atLeast"/>
        </w:trPr>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服务对象对中央财政补助经费使用情况的满意度（%）</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p>
    <w:tbl>
      <w:tblPr>
        <w:tblStyle w:val="6"/>
        <w:tblpPr w:leftFromText="180" w:rightFromText="180" w:vertAnchor="text" w:horzAnchor="page" w:tblpX="982" w:tblpY="274"/>
        <w:tblOverlap w:val="never"/>
        <w:tblW w:w="9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70"/>
        <w:gridCol w:w="971"/>
        <w:gridCol w:w="971"/>
        <w:gridCol w:w="971"/>
        <w:gridCol w:w="972"/>
        <w:gridCol w:w="971"/>
        <w:gridCol w:w="972"/>
        <w:gridCol w:w="971"/>
        <w:gridCol w:w="20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39" w:hRule="atLeast"/>
        </w:trPr>
        <w:tc>
          <w:tcPr>
            <w:tcW w:w="98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trPr>
        <w:tc>
          <w:tcPr>
            <w:tcW w:w="986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5" w:hRule="atLeast"/>
        </w:trPr>
        <w:tc>
          <w:tcPr>
            <w:tcW w:w="1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91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75" w:hRule="atLeast"/>
        </w:trPr>
        <w:tc>
          <w:tcPr>
            <w:tcW w:w="1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9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2024年粮改饲项目</w:t>
            </w:r>
          </w:p>
        </w:tc>
        <w:tc>
          <w:tcPr>
            <w:tcW w:w="19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0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9" w:hRule="atLeast"/>
        </w:trPr>
        <w:tc>
          <w:tcPr>
            <w:tcW w:w="1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w:t>
            </w:r>
          </w:p>
        </w:tc>
        <w:tc>
          <w:tcPr>
            <w:tcW w:w="972"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0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4" w:hRule="atLeast"/>
        </w:trPr>
        <w:tc>
          <w:tcPr>
            <w:tcW w:w="194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919"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粮改饲结构调整面积3.5万亩，收贮优质青贮饲料12.5万吨以上。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9" w:hRule="atLeast"/>
        </w:trPr>
        <w:tc>
          <w:tcPr>
            <w:tcW w:w="9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7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7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209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9" w:hRule="atLeast"/>
        </w:trPr>
        <w:tc>
          <w:tcPr>
            <w:tcW w:w="9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粮改饲结构调整面积</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&gt;=3.50万亩</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0"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收贮优质青贮饲料12.5万吨以上</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&gt;=12.50万吨</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9"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提高规模化经营水平</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良好</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9" w:hRule="atLeast"/>
        </w:trPr>
        <w:tc>
          <w:tcPr>
            <w:tcW w:w="9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项目完成及时率（%）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成本控制率（%）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9"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降低养殖场户饲料成本</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良好</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93" w:hRule="atLeast"/>
        </w:trPr>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服务对象对中央财政补助经费使用情况的满意度</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2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pStyle w:val="2"/>
        <w:rPr>
          <w:rFonts w:hint="eastAsia" w:ascii="黑体" w:hAnsi="黑体" w:eastAsia="黑体"/>
          <w:kern w:val="0"/>
          <w:sz w:val="32"/>
          <w:szCs w:val="32"/>
          <w:highlight w:val="none"/>
        </w:rPr>
      </w:pPr>
    </w:p>
    <w:p>
      <w:pPr>
        <w:pStyle w:val="2"/>
        <w:rPr>
          <w:rFonts w:hint="eastAsia" w:ascii="黑体" w:hAnsi="黑体" w:eastAsia="黑体"/>
          <w:kern w:val="0"/>
          <w:sz w:val="32"/>
          <w:szCs w:val="32"/>
          <w:highlight w:val="none"/>
        </w:rPr>
      </w:pPr>
    </w:p>
    <w:tbl>
      <w:tblPr>
        <w:tblStyle w:val="6"/>
        <w:tblpPr w:leftFromText="180" w:rightFromText="180" w:vertAnchor="text" w:horzAnchor="page" w:tblpX="997" w:tblpY="231"/>
        <w:tblOverlap w:val="never"/>
        <w:tblW w:w="98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6"/>
        <w:gridCol w:w="968"/>
        <w:gridCol w:w="968"/>
        <w:gridCol w:w="968"/>
        <w:gridCol w:w="967"/>
        <w:gridCol w:w="967"/>
        <w:gridCol w:w="968"/>
        <w:gridCol w:w="966"/>
        <w:gridCol w:w="20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94" w:hRule="atLeast"/>
        </w:trPr>
        <w:tc>
          <w:tcPr>
            <w:tcW w:w="982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6" w:hRule="atLeast"/>
        </w:trPr>
        <w:tc>
          <w:tcPr>
            <w:tcW w:w="982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4" w:hRule="atLeast"/>
        </w:trPr>
        <w:tc>
          <w:tcPr>
            <w:tcW w:w="19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88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4" w:hRule="atLeast"/>
        </w:trPr>
        <w:tc>
          <w:tcPr>
            <w:tcW w:w="19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90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2024年高标准农田建设项目</w:t>
            </w:r>
          </w:p>
        </w:tc>
        <w:tc>
          <w:tcPr>
            <w:tcW w:w="19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张振锋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2" w:hRule="atLeast"/>
        </w:trPr>
        <w:tc>
          <w:tcPr>
            <w:tcW w:w="19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8365</w:t>
            </w:r>
          </w:p>
        </w:tc>
        <w:tc>
          <w:tcPr>
            <w:tcW w:w="967"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8365</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94" w:hRule="atLeast"/>
        </w:trPr>
        <w:tc>
          <w:tcPr>
            <w:tcW w:w="19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886"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建高标准农田4.12万亩，改造提升高标准农田6.12万亩，其中大丰镇3.40万亩、五工台镇1.76万亩、二十里店镇1.96万亩、石梯子乡2.87万亩、园户村镇0.70万亩。2024年年底完成全部工程量的80%，2025年12月完成全部建设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2" w:hRule="atLeast"/>
        </w:trPr>
        <w:tc>
          <w:tcPr>
            <w:tcW w:w="9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6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6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6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6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67"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6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66"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208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94" w:hRule="atLeast"/>
        </w:trPr>
        <w:tc>
          <w:tcPr>
            <w:tcW w:w="9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新建高标准农田面积（万亩）</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&gt;=4.12万亩</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68" w:hRule="atLeast"/>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改造提升高标准农田面积（万亩）</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&gt;=6.12万亩</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78" w:hRule="atLeast"/>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高标准农田建设项目验收合格率（%）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68" w:hRule="atLeast"/>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高标准农田建设任务完成及时性</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&lt;=2年</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2"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项目成本控制率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2" w:hRule="atLeast"/>
        </w:trPr>
        <w:tc>
          <w:tcPr>
            <w:tcW w:w="9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田间道路通达率（%）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2" w:hRule="atLeast"/>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水资源利用率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较上年提升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2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2" w:hRule="atLeast"/>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粮食综合生产能力</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较上年提升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2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91" w:hRule="atLeast"/>
        </w:trPr>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受益群众满意度（%）</w:t>
            </w: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20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正式材料</w:t>
            </w:r>
          </w:p>
        </w:tc>
      </w:tr>
    </w:tbl>
    <w:tbl>
      <w:tblPr>
        <w:tblStyle w:val="6"/>
        <w:tblpPr w:leftFromText="180" w:rightFromText="180" w:vertAnchor="text" w:horzAnchor="page" w:tblpX="1103" w:tblpY="515"/>
        <w:tblOverlap w:val="never"/>
        <w:tblW w:w="10000" w:type="dxa"/>
        <w:tblInd w:w="0" w:type="dxa"/>
        <w:tblLayout w:type="fixed"/>
        <w:tblCellMar>
          <w:top w:w="0" w:type="dxa"/>
          <w:left w:w="108" w:type="dxa"/>
          <w:bottom w:w="0" w:type="dxa"/>
          <w:right w:w="108" w:type="dxa"/>
        </w:tblCellMar>
      </w:tblPr>
      <w:tblGrid>
        <w:gridCol w:w="876"/>
        <w:gridCol w:w="1296"/>
        <w:gridCol w:w="1412"/>
        <w:gridCol w:w="930"/>
        <w:gridCol w:w="1571"/>
        <w:gridCol w:w="1168"/>
        <w:gridCol w:w="990"/>
        <w:gridCol w:w="772"/>
        <w:gridCol w:w="985"/>
      </w:tblGrid>
      <w:tr>
        <w:tblPrEx>
          <w:tblLayout w:type="fixed"/>
          <w:tblCellMar>
            <w:top w:w="0" w:type="dxa"/>
            <w:left w:w="108" w:type="dxa"/>
            <w:bottom w:w="0" w:type="dxa"/>
            <w:right w:w="108" w:type="dxa"/>
          </w:tblCellMar>
        </w:tblPrEx>
        <w:trPr>
          <w:trHeight w:val="616" w:hRule="atLeast"/>
        </w:trPr>
        <w:tc>
          <w:tcPr>
            <w:tcW w:w="10000" w:type="dxa"/>
            <w:gridSpan w:val="9"/>
            <w:tcBorders>
              <w:top w:val="nil"/>
              <w:left w:val="nil"/>
              <w:bottom w:val="nil"/>
              <w:right w:val="nil"/>
            </w:tcBorders>
            <w:noWrap w:val="0"/>
            <w:vAlign w:val="center"/>
          </w:tcPr>
          <w:p>
            <w:pPr>
              <w:widowControl/>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  目  支  出  绩  效  目  标  表</w:t>
            </w:r>
          </w:p>
        </w:tc>
      </w:tr>
      <w:tr>
        <w:tblPrEx>
          <w:tblLayout w:type="fixed"/>
          <w:tblCellMar>
            <w:top w:w="0" w:type="dxa"/>
            <w:left w:w="108" w:type="dxa"/>
            <w:bottom w:w="0" w:type="dxa"/>
            <w:right w:w="108" w:type="dxa"/>
          </w:tblCellMar>
        </w:tblPrEx>
        <w:trPr>
          <w:trHeight w:val="356" w:hRule="atLeast"/>
        </w:trPr>
        <w:tc>
          <w:tcPr>
            <w:tcW w:w="10000" w:type="dxa"/>
            <w:gridSpan w:val="9"/>
            <w:tcBorders>
              <w:top w:val="nil"/>
              <w:left w:val="nil"/>
              <w:bottom w:val="nil"/>
              <w:right w:val="nil"/>
            </w:tcBorders>
            <w:noWrap w:val="0"/>
            <w:vAlign w:val="center"/>
          </w:tcPr>
          <w:p>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lang w:val="en-US" w:eastAsia="zh-CN"/>
              </w:rPr>
              <w:t>4</w:t>
            </w:r>
            <w:r>
              <w:rPr>
                <w:rFonts w:hint="eastAsia" w:ascii="宋体" w:hAnsi="宋体" w:cs="宋体"/>
                <w:color w:val="000000"/>
                <w:sz w:val="22"/>
                <w:szCs w:val="22"/>
                <w:lang w:eastAsia="zh-Hans"/>
              </w:rPr>
              <w:t>年）</w:t>
            </w:r>
          </w:p>
        </w:tc>
      </w:tr>
      <w:tr>
        <w:tblPrEx>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82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呼图壁县农业农村局</w:t>
            </w:r>
          </w:p>
        </w:tc>
      </w:tr>
      <w:tr>
        <w:tblPrEx>
          <w:tblLayout w:type="fixed"/>
          <w:tblCellMar>
            <w:top w:w="0" w:type="dxa"/>
            <w:left w:w="108" w:type="dxa"/>
            <w:bottom w:w="0" w:type="dxa"/>
            <w:right w:w="108" w:type="dxa"/>
          </w:tblCellMar>
        </w:tblPrEx>
        <w:trPr>
          <w:trHeight w:val="602"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91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lang w:val="en-US" w:eastAsia="zh-CN"/>
              </w:rPr>
              <w:t>2024年村级防疫员工资县级配套补助资金</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林松涛</w:t>
            </w:r>
          </w:p>
        </w:tc>
      </w:tr>
      <w:tr>
        <w:tblPrEx>
          <w:tblLayout w:type="fixed"/>
          <w:tblCellMar>
            <w:top w:w="0" w:type="dxa"/>
            <w:left w:w="108" w:type="dxa"/>
            <w:bottom w:w="0" w:type="dxa"/>
            <w:right w:w="108" w:type="dxa"/>
          </w:tblCellMar>
        </w:tblPrEx>
        <w:trPr>
          <w:trHeight w:val="681"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150</w:t>
            </w:r>
          </w:p>
        </w:tc>
        <w:tc>
          <w:tcPr>
            <w:tcW w:w="1571"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150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r>
      <w:tr>
        <w:tblPrEx>
          <w:tblLayout w:type="fixed"/>
          <w:tblCellMar>
            <w:top w:w="0" w:type="dxa"/>
            <w:left w:w="108" w:type="dxa"/>
            <w:bottom w:w="0" w:type="dxa"/>
            <w:right w:w="108" w:type="dxa"/>
          </w:tblCellMar>
        </w:tblPrEx>
        <w:trPr>
          <w:trHeight w:val="997" w:hRule="atLeast"/>
        </w:trPr>
        <w:tc>
          <w:tcPr>
            <w:tcW w:w="21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828" w:type="dxa"/>
            <w:gridSpan w:val="7"/>
            <w:tcBorders>
              <w:top w:val="single" w:color="000000" w:sz="4" w:space="0"/>
              <w:left w:val="nil"/>
              <w:bottom w:val="single" w:color="000000" w:sz="4" w:space="0"/>
              <w:right w:val="single" w:color="000000" w:sz="4" w:space="0"/>
            </w:tcBorders>
            <w:noWrap w:val="0"/>
            <w:vAlign w:val="center"/>
          </w:tcPr>
          <w:p>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完成2024年动物防疫各项工作任务，发放防疫员补助，为防疫员购买保险，涉及项目资金150万元</w:t>
            </w:r>
          </w:p>
        </w:tc>
      </w:tr>
      <w:tr>
        <w:tblPrEx>
          <w:tblLayout w:type="fixed"/>
          <w:tblCellMar>
            <w:top w:w="0" w:type="dxa"/>
            <w:left w:w="108" w:type="dxa"/>
            <w:bottom w:w="0" w:type="dxa"/>
            <w:right w:w="108" w:type="dxa"/>
          </w:tblCellMar>
        </w:tblPrEx>
        <w:trPr>
          <w:trHeight w:val="626"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发放防疫员补助人数</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92</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自治区、州核定的村级防疫员数量和工资标准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96"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中央财政补助资金使用率</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eastAsia="宋体" w:cs="宋体"/>
                <w:color w:val="000000"/>
                <w:sz w:val="18"/>
                <w:szCs w:val="18"/>
              </w:rPr>
              <w:t>≧</w:t>
            </w:r>
            <w:r>
              <w:rPr>
                <w:rFonts w:hint="eastAsia" w:ascii="宋体" w:hAnsi="宋体" w:cs="宋体"/>
                <w:color w:val="000000"/>
                <w:sz w:val="18"/>
                <w:szCs w:val="18"/>
                <w:lang w:val="en-US" w:eastAsia="zh-CN"/>
              </w:rPr>
              <w:t>95%</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自治区、州核定的村级防疫员数量和工资标准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20%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社会成本指标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项目资金总额</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150万</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自治区、州核定的村级防疫员数量和工资标准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20%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生态成本指标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r>
      <w:tr>
        <w:tblPrEx>
          <w:tblLayout w:type="fixed"/>
          <w:tblCellMar>
            <w:top w:w="0" w:type="dxa"/>
            <w:left w:w="108" w:type="dxa"/>
            <w:bottom w:w="0" w:type="dxa"/>
            <w:right w:w="108" w:type="dxa"/>
          </w:tblCellMar>
        </w:tblPrEx>
        <w:trPr>
          <w:trHeight w:val="602" w:hRule="atLeast"/>
        </w:trPr>
        <w:tc>
          <w:tcPr>
            <w:tcW w:w="876" w:type="dxa"/>
            <w:vMerge w:val="restart"/>
            <w:tcBorders>
              <w:top w:val="single" w:color="000000" w:sz="4" w:space="0"/>
              <w:left w:val="single" w:color="000000" w:sz="4" w:space="0"/>
              <w:bottom w:val="nil"/>
              <w:right w:val="single" w:color="000000" w:sz="4" w:space="0"/>
            </w:tcBorders>
            <w:noWrap w:val="0"/>
            <w:vAlign w:val="center"/>
          </w:tcPr>
          <w:p>
            <w:pPr>
              <w:widowControl/>
              <w:textAlignment w:val="center"/>
              <w:rPr>
                <w:rFonts w:hint="eastAsia" w:ascii="宋体" w:hAnsi="宋体" w:cs="宋体"/>
                <w:color w:val="000000"/>
                <w:kern w:val="0"/>
                <w:sz w:val="18"/>
                <w:szCs w:val="18"/>
                <w:lang w:bidi="ar"/>
              </w:rPr>
            </w:pPr>
          </w:p>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r>
      <w:tr>
        <w:tblPrEx>
          <w:tblLayout w:type="fixed"/>
          <w:tblCellMar>
            <w:top w:w="0" w:type="dxa"/>
            <w:left w:w="108" w:type="dxa"/>
            <w:bottom w:w="0" w:type="dxa"/>
            <w:right w:w="108" w:type="dxa"/>
          </w:tblCellMar>
        </w:tblPrEx>
        <w:trPr>
          <w:trHeight w:val="602"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资金使用有无重大违规问题</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无</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自治区、州核定的村级防疫员数量和工资标准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20%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r>
      <w:tr>
        <w:tblPrEx>
          <w:tblLayout w:type="fixed"/>
          <w:tblCellMar>
            <w:top w:w="0" w:type="dxa"/>
            <w:left w:w="108" w:type="dxa"/>
            <w:bottom w:w="0" w:type="dxa"/>
            <w:right w:w="108" w:type="dxa"/>
          </w:tblCellMar>
        </w:tblPrEx>
        <w:trPr>
          <w:trHeight w:val="571" w:hRule="atLeast"/>
        </w:trPr>
        <w:tc>
          <w:tcPr>
            <w:tcW w:w="876"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r>
      <w:tr>
        <w:tblPrEx>
          <w:tblLayout w:type="fixed"/>
          <w:tblCellMar>
            <w:top w:w="0" w:type="dxa"/>
            <w:left w:w="108" w:type="dxa"/>
            <w:bottom w:w="0" w:type="dxa"/>
            <w:right w:w="108" w:type="dxa"/>
          </w:tblCellMar>
        </w:tblPrEx>
        <w:trPr>
          <w:trHeight w:val="602" w:hRule="atLeast"/>
        </w:trPr>
        <w:tc>
          <w:tcPr>
            <w:tcW w:w="8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41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防疫员满意度</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eastAsia="宋体" w:cs="宋体"/>
                <w:color w:val="000000"/>
                <w:sz w:val="18"/>
                <w:szCs w:val="18"/>
              </w:rPr>
              <w:t>≧</w:t>
            </w:r>
            <w:r>
              <w:rPr>
                <w:rFonts w:hint="eastAsia" w:ascii="宋体" w:hAnsi="宋体" w:cs="宋体"/>
                <w:color w:val="000000"/>
                <w:sz w:val="18"/>
                <w:szCs w:val="18"/>
                <w:lang w:val="en-US" w:eastAsia="zh-CN"/>
              </w:rPr>
              <w:t>90%</w:t>
            </w:r>
          </w:p>
        </w:tc>
        <w:tc>
          <w:tcPr>
            <w:tcW w:w="15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自治区、州核定的村级防疫员数量和工资标准</w:t>
            </w:r>
          </w:p>
        </w:tc>
        <w:tc>
          <w:tcPr>
            <w:tcW w:w="1168"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0</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lang w:val="en-US" w:eastAsia="zh-CN"/>
              </w:rPr>
              <w:t>20%</w:t>
            </w:r>
          </w:p>
        </w:tc>
        <w:tc>
          <w:tcPr>
            <w:tcW w:w="77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p>
        </w:tc>
      </w:tr>
    </w:tbl>
    <w:p>
      <w:pPr>
        <w:pStyle w:val="2"/>
        <w:rPr>
          <w:rFonts w:hint="eastAsia" w:ascii="黑体" w:hAnsi="黑体" w:eastAsia="黑体"/>
          <w:kern w:val="0"/>
          <w:sz w:val="32"/>
          <w:szCs w:val="32"/>
          <w:highlight w:val="none"/>
        </w:rPr>
      </w:pPr>
    </w:p>
    <w:tbl>
      <w:tblPr>
        <w:tblStyle w:val="6"/>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357"/>
        <w:gridCol w:w="1545"/>
        <w:gridCol w:w="945"/>
        <w:gridCol w:w="976"/>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1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092" w:type="dxa"/>
            <w:gridSpan w:val="7"/>
            <w:tcBorders>
              <w:top w:val="single" w:color="000000" w:sz="4" w:space="0"/>
              <w:left w:val="single" w:color="000000" w:sz="4" w:space="0"/>
              <w:bottom w:val="single" w:color="000000" w:sz="4" w:space="0"/>
              <w:right w:val="single" w:color="000000" w:sz="4" w:space="0"/>
            </w:tcBorders>
            <w:noWrap w:val="0"/>
            <w:vAlign w:val="center"/>
          </w:tcPr>
          <w:p>
            <w:pPr>
              <w:tabs>
                <w:tab w:val="left" w:pos="1474"/>
              </w:tabs>
              <w:jc w:val="left"/>
              <w:rPr>
                <w:rFonts w:hint="eastAsia" w:ascii="宋体" w:hAnsi="宋体" w:eastAsia="宋体" w:cs="宋体"/>
                <w:i w:val="0"/>
                <w:iCs w:val="0"/>
                <w:color w:val="000000"/>
                <w:sz w:val="18"/>
                <w:szCs w:val="18"/>
                <w:highlight w:val="none"/>
                <w:u w:val="none"/>
                <w:lang w:eastAsia="zh-CN"/>
              </w:rPr>
            </w:pPr>
            <w:r>
              <w:rPr>
                <w:rFonts w:hint="eastAsia"/>
                <w:lang w:eastAsia="zh-CN"/>
              </w:rPr>
              <w:tab/>
            </w:r>
            <w:r>
              <w:rPr>
                <w:rFonts w:hint="eastAsia" w:ascii="宋体" w:hAnsi="宋体" w:eastAsia="宋体" w:cs="宋体"/>
                <w:i w:val="0"/>
                <w:iCs w:val="0"/>
                <w:color w:val="000000"/>
                <w:sz w:val="18"/>
                <w:szCs w:val="18"/>
                <w:highlight w:val="none"/>
                <w:u w:val="none"/>
                <w:lang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1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66"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sz w:val="18"/>
                <w:szCs w:val="18"/>
              </w:rPr>
              <w:t>呼图壁县2024年农村道路公共照明设施建设项目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杨欲峰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1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976"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450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21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092" w:type="dxa"/>
            <w:gridSpan w:val="7"/>
            <w:tcBorders>
              <w:top w:val="single" w:color="000000" w:sz="4" w:space="0"/>
              <w:left w:val="nil"/>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计划在6个乡镇行政村及社区，安装太阳能路灯1700盏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涉及路灯安装乡镇数量（个）</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≧6个</w:t>
            </w: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计划值</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安装路灯数量（盏）</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≥1700盏</w:t>
            </w: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计划值</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项目验收合格率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计划值</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工程完工率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计划值</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4"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资金支付及时率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计划值</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项目总投资</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500万元</w:t>
            </w: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计划值</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ind w:firstLine="326" w:firstLineChars="0"/>
              <w:jc w:val="both"/>
              <w:rPr>
                <w:rFonts w:hint="default" w:ascii="宋体" w:hAnsi="宋体" w:eastAsia="宋体" w:cs="宋体"/>
                <w:i w:val="0"/>
                <w:iCs w:val="0"/>
                <w:color w:val="000000"/>
                <w:sz w:val="18"/>
                <w:szCs w:val="18"/>
                <w:highlight w:val="none"/>
                <w:u w:val="none"/>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4"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0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满足群众生产生活需求，提高夜间出行交通安全，为村民出行提供便利</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提高夜间出行交通安全</w:t>
            </w: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定性值</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5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居民满意度</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97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计划值</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bl>
    <w:tbl>
      <w:tblPr>
        <w:tblStyle w:val="6"/>
        <w:tblpPr w:leftFromText="180" w:rightFromText="180" w:vertAnchor="text" w:horzAnchor="page" w:tblpX="1447" w:tblpY="331"/>
        <w:tblOverlap w:val="never"/>
        <w:tblW w:w="90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93"/>
        <w:gridCol w:w="895"/>
        <w:gridCol w:w="1678"/>
        <w:gridCol w:w="900"/>
        <w:gridCol w:w="870"/>
        <w:gridCol w:w="630"/>
        <w:gridCol w:w="780"/>
        <w:gridCol w:w="1110"/>
        <w:gridCol w:w="13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34" w:hRule="atLeast"/>
        </w:trPr>
        <w:tc>
          <w:tcPr>
            <w:tcW w:w="90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90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29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9"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44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耕地地力保护补贴</w:t>
            </w:r>
          </w:p>
        </w:tc>
        <w:tc>
          <w:tcPr>
            <w:tcW w:w="141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5"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2530.43</w:t>
            </w:r>
          </w:p>
        </w:tc>
        <w:tc>
          <w:tcPr>
            <w:tcW w:w="87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2530.43</w:t>
            </w: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98"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292"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补贴冬小麦面积11万亩，提高粮食综合生产能力，保障农民等生产主体种粮收益，使受益群体达到95%以上。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5" w:hRule="atLeast"/>
        </w:trPr>
        <w:tc>
          <w:tcPr>
            <w:tcW w:w="89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67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0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63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78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1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32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36" w:hRule="atLeast"/>
        </w:trPr>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种植冬小麦耕地地力保护补贴面积</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=11万亩</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1"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耕地地力保护补贴资金兑付率（%）</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1"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耕地地力保护补贴发放时限</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=2024年7月30日前</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1" w:hRule="atLeast"/>
        </w:trPr>
        <w:tc>
          <w:tcPr>
            <w:tcW w:w="8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种植冬小麦耕地地力保护补贴标准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=230元/亩</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5" w:hRule="atLeast"/>
        </w:trPr>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粮食综合生产能力</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明显提升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1"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资金使用重大违规违纪问题</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01" w:hRule="atLeast"/>
        </w:trPr>
        <w:tc>
          <w:tcPr>
            <w:tcW w:w="8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耕地地力保护补贴政策群众满意度（%）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6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p>
    <w:p>
      <w:pPr>
        <w:pStyle w:val="2"/>
        <w:rPr>
          <w:rFonts w:hint="eastAsia" w:ascii="黑体" w:hAnsi="黑体" w:eastAsia="黑体"/>
          <w:kern w:val="0"/>
          <w:sz w:val="32"/>
          <w:szCs w:val="32"/>
          <w:highlight w:val="none"/>
        </w:rPr>
      </w:pPr>
    </w:p>
    <w:tbl>
      <w:tblPr>
        <w:tblStyle w:val="6"/>
        <w:tblpPr w:leftFromText="180" w:rightFromText="180" w:vertAnchor="text" w:horzAnchor="page" w:tblpX="1282" w:tblpY="311"/>
        <w:tblOverlap w:val="never"/>
        <w:tblW w:w="95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43"/>
        <w:gridCol w:w="943"/>
        <w:gridCol w:w="1805"/>
        <w:gridCol w:w="900"/>
        <w:gridCol w:w="840"/>
        <w:gridCol w:w="855"/>
        <w:gridCol w:w="900"/>
        <w:gridCol w:w="930"/>
        <w:gridCol w:w="14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55" w:hRule="atLeast"/>
        </w:trPr>
        <w:tc>
          <w:tcPr>
            <w:tcW w:w="95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9" w:hRule="atLeast"/>
        </w:trPr>
        <w:tc>
          <w:tcPr>
            <w:tcW w:w="958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1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694"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7" w:hRule="atLeast"/>
        </w:trPr>
        <w:tc>
          <w:tcPr>
            <w:tcW w:w="1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5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2024年中央农业生产发展-2024年农机购置与应用补贴项目</w:t>
            </w:r>
          </w:p>
        </w:tc>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3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王忠海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7" w:hRule="atLeast"/>
        </w:trPr>
        <w:tc>
          <w:tcPr>
            <w:tcW w:w="1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1370</w:t>
            </w:r>
          </w:p>
        </w:tc>
        <w:tc>
          <w:tcPr>
            <w:tcW w:w="84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1370</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3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22" w:hRule="atLeast"/>
        </w:trPr>
        <w:tc>
          <w:tcPr>
            <w:tcW w:w="188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694"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落实补贴资金1370万元，资金使用率达95%以上，补贴各类农机具725台（套）以上，农作物耕种收综合机械化水平有效提高。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7" w:hRule="atLeast"/>
        </w:trPr>
        <w:tc>
          <w:tcPr>
            <w:tcW w:w="9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80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0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4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85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0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3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46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7" w:hRule="atLeast"/>
        </w:trPr>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农机购置补贴台数</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&gt;=725台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36" w:hRule="atLeast"/>
        </w:trPr>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农作物耕作收综合机械化率</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&gt;=98.50%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36" w:hRule="atLeast"/>
        </w:trPr>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农机购置补贴年度资金兑付及时率</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36" w:hRule="atLeast"/>
        </w:trPr>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农机购置补贴资金录入及时率</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7" w:hRule="atLeast"/>
        </w:trPr>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项目成本控制率</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7" w:hRule="atLeast"/>
        </w:trPr>
        <w:tc>
          <w:tcPr>
            <w:tcW w:w="9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撬动社会资本投入比</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7" w:hRule="atLeast"/>
        </w:trPr>
        <w:tc>
          <w:tcPr>
            <w:tcW w:w="9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补贴政策知晓率</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9" w:hRule="atLeast"/>
        </w:trPr>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w:t>
            </w: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tbl>
      <w:tblPr>
        <w:tblStyle w:val="6"/>
        <w:tblpPr w:leftFromText="180" w:rightFromText="180" w:vertAnchor="text" w:horzAnchor="page" w:tblpX="1237" w:tblpY="289"/>
        <w:tblOverlap w:val="never"/>
        <w:tblW w:w="97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58"/>
        <w:gridCol w:w="960"/>
        <w:gridCol w:w="960"/>
        <w:gridCol w:w="960"/>
        <w:gridCol w:w="959"/>
        <w:gridCol w:w="960"/>
        <w:gridCol w:w="960"/>
        <w:gridCol w:w="959"/>
        <w:gridCol w:w="20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70" w:hRule="atLeast"/>
        </w:trPr>
        <w:tc>
          <w:tcPr>
            <w:tcW w:w="974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1" w:hRule="atLeast"/>
        </w:trPr>
        <w:tc>
          <w:tcPr>
            <w:tcW w:w="974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3"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82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3"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87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2024年中央农业生产发展-2024年牧区畜牧良种补贴项目</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0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波拉提汗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3"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59"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0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2" w:hRule="atLeast"/>
        </w:trPr>
        <w:tc>
          <w:tcPr>
            <w:tcW w:w="1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822" w:type="dxa"/>
            <w:gridSpan w:val="7"/>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引进种公羊：全年采购种公羊25只。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3" w:hRule="atLeast"/>
        </w:trPr>
        <w:tc>
          <w:tcPr>
            <w:tcW w:w="95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95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96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5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2064"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59"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良种补贴数量（万份牛冻精单位）</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=25只</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3"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种公羊品质</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一级及以上</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3"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项目完成时间（日期）</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2024年12月31日</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59"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严格按照项目支出进行（万元）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=5万元</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3"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59"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资金使用无违纪违规问题</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2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5"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农牧民满意度（%）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20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ascii="黑体" w:hAnsi="黑体" w:eastAsia="黑体"/>
          <w:kern w:val="0"/>
          <w:sz w:val="32"/>
          <w:szCs w:val="32"/>
          <w:highlight w:val="none"/>
        </w:rPr>
      </w:pPr>
    </w:p>
    <w:p>
      <w:pPr>
        <w:pStyle w:val="2"/>
        <w:rPr>
          <w:rFonts w:hint="eastAsia" w:ascii="黑体" w:hAnsi="黑体" w:eastAsia="黑体"/>
          <w:kern w:val="0"/>
          <w:sz w:val="32"/>
          <w:szCs w:val="32"/>
          <w:highlight w:val="none"/>
        </w:rPr>
      </w:pPr>
    </w:p>
    <w:tbl>
      <w:tblPr>
        <w:tblStyle w:val="6"/>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357"/>
        <w:gridCol w:w="1150"/>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1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092" w:type="dxa"/>
            <w:gridSpan w:val="7"/>
            <w:tcBorders>
              <w:top w:val="single" w:color="000000" w:sz="4" w:space="0"/>
              <w:left w:val="single" w:color="000000" w:sz="4" w:space="0"/>
              <w:bottom w:val="single" w:color="000000" w:sz="4" w:space="0"/>
              <w:right w:val="single" w:color="000000" w:sz="4" w:space="0"/>
            </w:tcBorders>
            <w:noWrap w:val="0"/>
            <w:vAlign w:val="center"/>
          </w:tcPr>
          <w:p>
            <w:pPr>
              <w:tabs>
                <w:tab w:val="left" w:pos="1474"/>
              </w:tabs>
              <w:jc w:val="left"/>
              <w:rPr>
                <w:rFonts w:hint="eastAsia" w:ascii="宋体" w:hAnsi="宋体" w:eastAsia="宋体" w:cs="宋体"/>
                <w:i w:val="0"/>
                <w:iCs w:val="0"/>
                <w:color w:val="000000"/>
                <w:sz w:val="18"/>
                <w:szCs w:val="18"/>
                <w:highlight w:val="none"/>
                <w:u w:val="none"/>
                <w:lang w:eastAsia="zh-CN"/>
              </w:rPr>
            </w:pPr>
            <w:r>
              <w:rPr>
                <w:rFonts w:hint="eastAsia"/>
                <w:lang w:eastAsia="zh-CN"/>
              </w:rPr>
              <w:tab/>
            </w:r>
            <w:r>
              <w:rPr>
                <w:rFonts w:hint="eastAsia" w:ascii="宋体" w:hAnsi="宋体" w:eastAsia="宋体" w:cs="宋体"/>
                <w:i w:val="0"/>
                <w:iCs w:val="0"/>
                <w:color w:val="000000"/>
                <w:sz w:val="18"/>
                <w:szCs w:val="18"/>
                <w:highlight w:val="none"/>
                <w:u w:val="none"/>
                <w:lang w:eastAsia="zh-CN"/>
              </w:rPr>
              <w:t>呼图壁县农业农村局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1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66"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sz w:val="18"/>
                <w:szCs w:val="18"/>
              </w:rPr>
              <w:t>呼图壁县2024年县级衔接资金雨露计划项目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杨欲峰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1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8" w:hRule="atLeast"/>
        </w:trPr>
        <w:tc>
          <w:tcPr>
            <w:tcW w:w="216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092" w:type="dxa"/>
            <w:gridSpan w:val="7"/>
            <w:tcBorders>
              <w:top w:val="single" w:color="000000" w:sz="4" w:space="0"/>
              <w:left w:val="nil"/>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eastAsia="zh-CN"/>
              </w:rPr>
              <w:t>对全县接受中等职业教育和高等职业教育的农村监测户在校学生发放补助每人每年</w:t>
            </w:r>
            <w:r>
              <w:rPr>
                <w:rFonts w:hint="eastAsia" w:ascii="宋体" w:hAnsi="宋体" w:cs="宋体"/>
                <w:i w:val="0"/>
                <w:iCs w:val="0"/>
                <w:color w:val="000000"/>
                <w:sz w:val="18"/>
                <w:szCs w:val="18"/>
                <w:highlight w:val="none"/>
                <w:u w:val="none"/>
                <w:lang w:val="en-US" w:eastAsia="zh-CN"/>
              </w:rPr>
              <w:t>3000元。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补助学生人数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5</w:t>
            </w:r>
            <w:r>
              <w:rPr>
                <w:rFonts w:hint="eastAsia" w:ascii="宋体" w:hAnsi="宋体" w:cs="宋体"/>
                <w:i w:val="0"/>
                <w:iCs w:val="0"/>
                <w:color w:val="000000"/>
                <w:sz w:val="18"/>
                <w:szCs w:val="18"/>
                <w:highlight w:val="none"/>
                <w:u w:val="none"/>
                <w:lang w:eastAsia="zh-CN"/>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定量指标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补助资格符合</w:t>
            </w:r>
            <w:r>
              <w:rPr>
                <w:rFonts w:hint="eastAsia" w:ascii="宋体" w:hAnsi="宋体" w:eastAsia="宋体" w:cs="宋体"/>
                <w:i w:val="0"/>
                <w:iCs w:val="0"/>
                <w:color w:val="000000"/>
                <w:sz w:val="18"/>
                <w:szCs w:val="18"/>
                <w:highlight w:val="none"/>
                <w:u w:val="none"/>
              </w:rPr>
              <w:t>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定量指标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补助发放</w:t>
            </w:r>
            <w:r>
              <w:rPr>
                <w:rFonts w:hint="eastAsia" w:ascii="宋体" w:hAnsi="宋体" w:eastAsia="宋体" w:cs="宋体"/>
                <w:i w:val="0"/>
                <w:iCs w:val="0"/>
                <w:color w:val="000000"/>
                <w:sz w:val="18"/>
                <w:szCs w:val="18"/>
                <w:highlight w:val="none"/>
                <w:u w:val="none"/>
              </w:rPr>
              <w:t>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定量指标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4"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补助资金拨付</w:t>
            </w:r>
            <w:r>
              <w:rPr>
                <w:rFonts w:hint="eastAsia" w:ascii="宋体" w:hAnsi="宋体" w:eastAsia="宋体" w:cs="宋体"/>
                <w:i w:val="0"/>
                <w:iCs w:val="0"/>
                <w:color w:val="000000"/>
                <w:sz w:val="18"/>
                <w:szCs w:val="18"/>
                <w:highlight w:val="none"/>
                <w:u w:val="none"/>
              </w:rPr>
              <w:t>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定量指标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每人每年补助金额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3000元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定量指标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ind w:firstLine="326" w:firstLineChars="0"/>
              <w:jc w:val="both"/>
              <w:rPr>
                <w:rFonts w:hint="default" w:ascii="宋体" w:hAnsi="宋体" w:eastAsia="宋体" w:cs="宋体"/>
                <w:i w:val="0"/>
                <w:iCs w:val="0"/>
                <w:color w:val="000000"/>
                <w:sz w:val="18"/>
                <w:szCs w:val="18"/>
                <w:highlight w:val="none"/>
                <w:u w:val="none"/>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4"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有效减少监测户的教育支出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有效减少</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定性指标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居民满意度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定量指标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bl>
    <w:p>
      <w:pPr>
        <w:pStyle w:val="2"/>
        <w:rPr>
          <w:rFonts w:hint="eastAsia" w:ascii="黑体" w:hAnsi="黑体" w:eastAsia="黑体"/>
          <w:kern w:val="0"/>
          <w:sz w:val="32"/>
          <w:szCs w:val="32"/>
          <w:highlight w:val="none"/>
        </w:rPr>
      </w:pPr>
    </w:p>
    <w:p>
      <w:pPr>
        <w:pStyle w:val="2"/>
        <w:rPr>
          <w:rFonts w:hint="eastAsia" w:ascii="黑体" w:hAnsi="黑体" w:eastAsia="黑体"/>
          <w:kern w:val="0"/>
          <w:sz w:val="32"/>
          <w:szCs w:val="32"/>
          <w:highlight w:val="none"/>
        </w:rPr>
      </w:pPr>
    </w:p>
    <w:p>
      <w:pPr>
        <w:pStyle w:val="2"/>
        <w:rPr>
          <w:rFonts w:hint="eastAsia" w:ascii="黑体" w:hAnsi="黑体" w:eastAsia="黑体"/>
          <w:kern w:val="0"/>
          <w:sz w:val="32"/>
          <w:szCs w:val="32"/>
          <w:highlight w:val="none"/>
        </w:rPr>
      </w:pPr>
    </w:p>
    <w:p>
      <w:pPr>
        <w:pStyle w:val="2"/>
        <w:rPr>
          <w:rFonts w:hint="eastAsia" w:ascii="黑体" w:hAnsi="黑体" w:eastAsia="黑体"/>
          <w:kern w:val="0"/>
          <w:sz w:val="32"/>
          <w:szCs w:val="32"/>
          <w:highlight w:val="none"/>
        </w:rPr>
      </w:pPr>
    </w:p>
    <w:p>
      <w:pPr>
        <w:numPr>
          <w:ilvl w:val="0"/>
          <w:numId w:val="2"/>
        </w:numPr>
        <w:bidi w:val="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其他需说明事项</w:t>
      </w:r>
    </w:p>
    <w:p>
      <w:pPr>
        <w:numPr>
          <w:ilvl w:val="0"/>
          <w:numId w:val="3"/>
        </w:numPr>
        <w:bidi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本单位2024年度涉密项目2个，资金总额100万元。</w:t>
      </w:r>
    </w:p>
    <w:p>
      <w:pPr>
        <w:numPr>
          <w:ilvl w:val="0"/>
          <w:numId w:val="3"/>
        </w:numPr>
        <w:bidi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本单位2024年度上级转移支付项目5个，资金总额13735.39万元。</w:t>
      </w:r>
    </w:p>
    <w:p>
      <w:pPr>
        <w:pStyle w:val="2"/>
        <w:rPr>
          <w:rFonts w:hint="default"/>
          <w:lang w:val="en-US" w:eastAsia="zh-CN"/>
        </w:rPr>
      </w:pPr>
      <w:r>
        <w:rPr>
          <w:rFonts w:hint="eastAsia" w:ascii="仿宋" w:hAnsi="仿宋" w:eastAsia="仿宋" w:cs="仿宋"/>
          <w:sz w:val="32"/>
          <w:szCs w:val="32"/>
          <w:lang w:val="en-US" w:eastAsia="zh-CN"/>
        </w:rPr>
        <w:t>3.</w:t>
      </w: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750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bookmarkStart w:id="0" w:name="_GoBack"/>
      <w:bookmarkEnd w:id="0"/>
      <w:r>
        <w:rPr>
          <w:rFonts w:hint="eastAsia" w:ascii="仿宋_GB2312" w:hAnsi="仿宋_GB2312" w:eastAsia="仿宋_GB2312" w:cs="仿宋_GB2312"/>
          <w:color w:val="auto"/>
          <w:kern w:val="0"/>
          <w:sz w:val="32"/>
          <w:szCs w:val="32"/>
          <w:highlight w:val="none"/>
        </w:rPr>
        <w:t>。</w:t>
      </w:r>
    </w:p>
    <w:p>
      <w:pPr>
        <w:pStyle w:val="2"/>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呼图壁县农业农村局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2024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3</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1</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FFE2E6"/>
    <w:multiLevelType w:val="singleLevel"/>
    <w:tmpl w:val="21FFE2E6"/>
    <w:lvl w:ilvl="0" w:tentative="0">
      <w:start w:val="7"/>
      <w:numFmt w:val="chineseCounting"/>
      <w:suff w:val="nothing"/>
      <w:lvlText w:val="%1、"/>
      <w:lvlJc w:val="left"/>
      <w:rPr>
        <w:rFonts w:hint="eastAsia"/>
      </w:rPr>
    </w:lvl>
  </w:abstractNum>
  <w:abstractNum w:abstractNumId="1">
    <w:nsid w:val="564B94A1"/>
    <w:multiLevelType w:val="singleLevel"/>
    <w:tmpl w:val="564B94A1"/>
    <w:lvl w:ilvl="0" w:tentative="0">
      <w:start w:val="1"/>
      <w:numFmt w:val="decimal"/>
      <w:lvlText w:val="%1."/>
      <w:lvlJc w:val="left"/>
      <w:pPr>
        <w:tabs>
          <w:tab w:val="left" w:pos="312"/>
        </w:tabs>
      </w:pPr>
    </w:lvl>
  </w:abstractNum>
  <w:abstractNum w:abstractNumId="2">
    <w:nsid w:val="7185B0CC"/>
    <w:multiLevelType w:val="singleLevel"/>
    <w:tmpl w:val="7185B0CC"/>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C24B27"/>
    <w:rsid w:val="00EE2224"/>
    <w:rsid w:val="04267B2D"/>
    <w:rsid w:val="050E219F"/>
    <w:rsid w:val="05397FD9"/>
    <w:rsid w:val="070E6657"/>
    <w:rsid w:val="08450B28"/>
    <w:rsid w:val="0B247F12"/>
    <w:rsid w:val="0D6E5FD0"/>
    <w:rsid w:val="0E9208E7"/>
    <w:rsid w:val="10587512"/>
    <w:rsid w:val="10916BDA"/>
    <w:rsid w:val="15BE2F94"/>
    <w:rsid w:val="1697741D"/>
    <w:rsid w:val="172D4360"/>
    <w:rsid w:val="1732414C"/>
    <w:rsid w:val="1BEB54C3"/>
    <w:rsid w:val="1C3C6084"/>
    <w:rsid w:val="1CEB6DC6"/>
    <w:rsid w:val="1D3E1AFE"/>
    <w:rsid w:val="1E616475"/>
    <w:rsid w:val="1EB61656"/>
    <w:rsid w:val="20DD55C0"/>
    <w:rsid w:val="22DB78DD"/>
    <w:rsid w:val="23F36BE1"/>
    <w:rsid w:val="244D65B8"/>
    <w:rsid w:val="246D0756"/>
    <w:rsid w:val="2492221D"/>
    <w:rsid w:val="26B4291F"/>
    <w:rsid w:val="26E769FA"/>
    <w:rsid w:val="293B2E83"/>
    <w:rsid w:val="29460880"/>
    <w:rsid w:val="2A012DF7"/>
    <w:rsid w:val="2AFC4894"/>
    <w:rsid w:val="2D480265"/>
    <w:rsid w:val="2D5348E4"/>
    <w:rsid w:val="2D977453"/>
    <w:rsid w:val="2EF22236"/>
    <w:rsid w:val="34BA785C"/>
    <w:rsid w:val="386C1CCF"/>
    <w:rsid w:val="3C363422"/>
    <w:rsid w:val="3EDD5B4A"/>
    <w:rsid w:val="3EF7087F"/>
    <w:rsid w:val="3F9540F4"/>
    <w:rsid w:val="3FDF4D23"/>
    <w:rsid w:val="43C26223"/>
    <w:rsid w:val="43D8307E"/>
    <w:rsid w:val="45CD32B5"/>
    <w:rsid w:val="46CE3131"/>
    <w:rsid w:val="494F7907"/>
    <w:rsid w:val="4C0055E5"/>
    <w:rsid w:val="4C3677AE"/>
    <w:rsid w:val="4C706B3A"/>
    <w:rsid w:val="4F143F8D"/>
    <w:rsid w:val="510644FA"/>
    <w:rsid w:val="51C15CED"/>
    <w:rsid w:val="52285DEB"/>
    <w:rsid w:val="52AD62F0"/>
    <w:rsid w:val="546308FE"/>
    <w:rsid w:val="57C82C35"/>
    <w:rsid w:val="5B637BDC"/>
    <w:rsid w:val="5F2346ED"/>
    <w:rsid w:val="61086613"/>
    <w:rsid w:val="619B3E8E"/>
    <w:rsid w:val="61B61123"/>
    <w:rsid w:val="63705FC5"/>
    <w:rsid w:val="6408782B"/>
    <w:rsid w:val="645C3CBE"/>
    <w:rsid w:val="65322CBF"/>
    <w:rsid w:val="67172011"/>
    <w:rsid w:val="67B92D81"/>
    <w:rsid w:val="68CC52CB"/>
    <w:rsid w:val="68DE4FFE"/>
    <w:rsid w:val="694B58D7"/>
    <w:rsid w:val="69CE4E15"/>
    <w:rsid w:val="6B7F3246"/>
    <w:rsid w:val="6C3C06E3"/>
    <w:rsid w:val="6D2C23C3"/>
    <w:rsid w:val="6D8D61A1"/>
    <w:rsid w:val="6EF07839"/>
    <w:rsid w:val="6F63000B"/>
    <w:rsid w:val="72B56DCF"/>
    <w:rsid w:val="75B570E6"/>
    <w:rsid w:val="780A1873"/>
    <w:rsid w:val="787D11B8"/>
    <w:rsid w:val="792C5912"/>
    <w:rsid w:val="79D352FD"/>
    <w:rsid w:val="7E3308AF"/>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2024-02-28T02:43:00Z</cp:lastPrinted>
  <dcterms:modified xsi:type="dcterms:W3CDTF">2024-07-24T09:03:57Z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