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32"/>
          <w:szCs w:val="32"/>
        </w:rPr>
      </w:pPr>
      <w:r>
        <w:rPr>
          <w:rFonts w:hint="eastAsia" w:ascii="黑体" w:hAnsi="黑体" w:eastAsia="黑体"/>
          <w:sz w:val="32"/>
          <w:szCs w:val="32"/>
        </w:rPr>
        <w:t>附件</w:t>
      </w:r>
      <w:r>
        <w:rPr>
          <w:rFonts w:ascii="黑体" w:hAnsi="黑体" w:eastAsia="黑体"/>
          <w:sz w:val="32"/>
          <w:szCs w:val="32"/>
        </w:rPr>
        <w:t>3</w:t>
      </w:r>
      <w:r>
        <w:rPr>
          <w:rFonts w:hint="eastAsia" w:ascii="黑体" w:hAnsi="黑体" w:eastAsia="黑体"/>
          <w:sz w:val="32"/>
          <w:szCs w:val="32"/>
        </w:rPr>
        <w:t>：</w:t>
      </w: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呼图壁县农牧业技术推广中心</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2024年预算公开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2024年呼图壁县农牧业技术推广中心概况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2024年呼图壁县农牧业技术推广中心预算公开表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一、呼图壁县农牧业技术推广中心收支总体情况表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二、呼图壁县农牧业技术推广中心收入总体情况表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三、呼图壁县农牧业技术推广中心支出总体情况表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2024年呼图壁县农牧业技术推广中心预算情况说明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一、关于呼图壁县农牧业技术推广中心2024年收支预算情况的总体说明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二、关于呼图壁县农牧业技术推广中心2024年收入预算情况说明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三、关于呼图壁县农牧业技术推广中心2024年支出预算情况说明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四、关于呼图壁县农牧业技术推广中心2024年财政拨款收支预算情况的总体说明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关于呼图壁县农牧业技术推广中心2024年一般公共预算当年拨款情况说明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关于呼图壁县农牧业技术推广中心2024年一般公共预算基本支出情况说明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关于呼图壁县农牧业技术推广中心2024年一般公共预算项目支出情况说明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八、关于呼图壁县农牧业技术推广中心2024年政府性基金预算拨款情况说明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九、关于呼图壁县农牧业技术推广中心2024年国有资本经营预算拨款情况说明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十、关于呼图壁县农牧业技术推广中心2024年财政拨款“三公”经费预算情况说明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十一、关于呼图壁县农牧业技术推广中心2024年上年结转结余预算情况说明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2024年呼图壁县农牧业技术推广中心概况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 xml:space="preserve"> 本单位主要工作职能：呼图壁县农业技术推广站主管： 一是推广先进的农作物科学种植技术；二是推广农作物新品种； 三是推广新农药、新肥料，围绕化肥农药使用量零增长，扎实推进“两减”工作。农药减量主要通过使用农药增效剂、无人机飞防、绿色防控和统防统治等技术手段达到农药减量目的。利用大型喷雾机械、无人机及专人驾驶农用飞机进行喷药防治，采用阿立卡、四螨嗪、阿维菌素、苦参碱、杜邦康宽等高效低毒及生物农药交叉防治，降低农药的使用量。对农作物重大病虫监控，根据监测情况及时提出有效的病虫害防治措施。针对大宗作物易发病虫，我站进行定点定时定期监测，及时上报下传，形成了区、州、县、乡上下联动，统防统治运作模式。以农药零增长为抓手， 开展各类作物的病虫害综合防治技术；四是对农民进行培训；五是负责全县的农作物产地和调运检疫工作,确保我县无重大检疫性病虫传入和扩散蔓延。</w:t>
      </w:r>
    </w:p>
    <w:p>
      <w:pPr>
        <w:widowControl/>
        <w:spacing w:line="540" w:lineRule="exact"/>
        <w:ind w:firstLine="643" w:firstLineChars="200"/>
        <w:jc w:val="left"/>
        <w:rPr>
          <w:rFonts w:ascii="仿宋_GB2312" w:hAnsi="黑体" w:eastAsia="仿宋_GB2312" w:cs="宋体"/>
          <w:b/>
          <w:bCs/>
          <w:color w:val="FF0000"/>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呼图壁县农牧业技术推广中心无下属预算单位，下设5个处室，分别是：</w:t>
      </w:r>
      <w:r>
        <w:rPr>
          <w:rFonts w:hint="eastAsia" w:ascii="仿宋_GB2312" w:hAnsi="宋体" w:eastAsia="仿宋_GB2312" w:cs="宋体"/>
          <w:bCs/>
          <w:kern w:val="0"/>
          <w:sz w:val="32"/>
          <w:szCs w:val="32"/>
        </w:rPr>
        <w:t>办公室、栽培组、植保组、土肥组、农机科</w:t>
      </w:r>
      <w:r>
        <w:rPr>
          <w:rFonts w:hint="eastAsia" w:ascii="仿宋_GB2312" w:hAnsi="宋体" w:eastAsia="仿宋_GB2312" w:cs="宋体"/>
          <w:kern w:val="0"/>
          <w:sz w:val="32"/>
          <w:szCs w:val="32"/>
        </w:rPr>
        <w:t>。</w:t>
      </w:r>
    </w:p>
    <w:p>
      <w:pPr>
        <w:widowControl/>
        <w:spacing w:line="54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呼图壁县农牧业技术推广中心编制数24，实有人数62 人，其中：在职33人，增加1人；退休29人，增加1人；离休0人，减少1人。</w:t>
      </w: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2024年</w:t>
      </w:r>
      <w:r>
        <w:rPr>
          <w:rFonts w:hint="eastAsia" w:ascii="黑体" w:hAnsi="黑体" w:eastAsia="黑体"/>
          <w:kern w:val="0"/>
          <w:sz w:val="32"/>
          <w:szCs w:val="32"/>
        </w:rPr>
        <w:t>呼图壁县农牧业技术推广中心预算公开表</w:t>
      </w:r>
    </w:p>
    <w:p>
      <w:pPr>
        <w:widowControl/>
        <w:spacing w:line="240" w:lineRule="exact"/>
        <w:jc w:val="left"/>
        <w:textAlignment w:val="bottom"/>
        <w:rPr>
          <w:rFonts w:ascii="宋体" w:hAnsi="宋体" w:cs="宋体"/>
          <w:kern w:val="0"/>
          <w:sz w:val="20"/>
          <w:szCs w:val="20"/>
        </w:rPr>
      </w:pPr>
      <w:r>
        <w:rPr>
          <w:rFonts w:hint="eastAsia" w:ascii="宋体" w:hAnsi="宋体" w:cs="宋体"/>
          <w:kern w:val="0"/>
          <w:sz w:val="20"/>
          <w:szCs w:val="20"/>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呼图壁县农牧业技术推广中心收支总体情况表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编制单位：呼图壁县农牧业技术推广中心                         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1138.22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783.22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682.22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101.00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251.10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112.22</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355.00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683.78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355.00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25.00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25.00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25.00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116.12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1163.22</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1163.22　</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呼图壁县农牧业技术推广中心收入总体情况表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编制单位：呼图壁县农牧业技术推广中心                            单位：万元</w:t>
      </w:r>
    </w:p>
    <w:tbl>
      <w:tblPr>
        <w:tblStyle w:val="5"/>
        <w:tblW w:w="11340" w:type="dxa"/>
        <w:tblInd w:w="-1026" w:type="dxa"/>
        <w:tblLayout w:type="fixed"/>
        <w:tblCellMar>
          <w:top w:w="0" w:type="dxa"/>
          <w:left w:w="108" w:type="dxa"/>
          <w:bottom w:w="0" w:type="dxa"/>
          <w:right w:w="108" w:type="dxa"/>
        </w:tblCellMar>
      </w:tblPr>
      <w:tblGrid>
        <w:gridCol w:w="567"/>
        <w:gridCol w:w="425"/>
        <w:gridCol w:w="426"/>
        <w:gridCol w:w="1417"/>
        <w:gridCol w:w="993"/>
        <w:gridCol w:w="850"/>
        <w:gridCol w:w="851"/>
        <w:gridCol w:w="850"/>
        <w:gridCol w:w="425"/>
        <w:gridCol w:w="709"/>
        <w:gridCol w:w="425"/>
        <w:gridCol w:w="851"/>
        <w:gridCol w:w="425"/>
        <w:gridCol w:w="851"/>
        <w:gridCol w:w="850"/>
        <w:gridCol w:w="425"/>
      </w:tblGrid>
      <w:tr>
        <w:tblPrEx>
          <w:tblLayout w:type="fixed"/>
          <w:tblCellMar>
            <w:top w:w="0" w:type="dxa"/>
            <w:left w:w="108" w:type="dxa"/>
            <w:bottom w:w="0" w:type="dxa"/>
            <w:right w:w="108" w:type="dxa"/>
          </w:tblCellMar>
        </w:tblPrEx>
        <w:trPr>
          <w:trHeight w:val="140" w:hRule="atLeast"/>
        </w:trPr>
        <w:tc>
          <w:tcPr>
            <w:tcW w:w="141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141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99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961"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42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85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85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42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Layout w:type="fixed"/>
          <w:tblCellMar>
            <w:top w:w="0" w:type="dxa"/>
            <w:left w:w="108" w:type="dxa"/>
            <w:bottom w:w="0" w:type="dxa"/>
            <w:right w:w="108" w:type="dxa"/>
          </w:tblCellMar>
        </w:tblPrEx>
        <w:trPr>
          <w:trHeight w:val="480" w:hRule="atLeast"/>
        </w:trPr>
        <w:tc>
          <w:tcPr>
            <w:tcW w:w="567" w:type="dxa"/>
            <w:tcBorders>
              <w:left w:val="single" w:color="auto" w:sz="4" w:space="0"/>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类</w:t>
            </w:r>
          </w:p>
        </w:tc>
        <w:tc>
          <w:tcPr>
            <w:tcW w:w="425"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款</w:t>
            </w:r>
          </w:p>
        </w:tc>
        <w:tc>
          <w:tcPr>
            <w:tcW w:w="426"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项</w:t>
            </w:r>
          </w:p>
        </w:tc>
        <w:tc>
          <w:tcPr>
            <w:tcW w:w="141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99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5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85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85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42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70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42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85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42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5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5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42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sz w:val="20"/>
                <w:szCs w:val="20"/>
              </w:rPr>
            </w:pPr>
            <w:r>
              <w:rPr>
                <w:rFonts w:hint="eastAsia" w:ascii="宋体" w:hAnsi="宋体" w:cs="宋体"/>
                <w:color w:val="000000"/>
                <w:kern w:val="0"/>
                <w:sz w:val="20"/>
                <w:szCs w:val="20"/>
              </w:rPr>
              <w:t>208</w:t>
            </w:r>
          </w:p>
        </w:tc>
        <w:tc>
          <w:tcPr>
            <w:tcW w:w="425"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sz w:val="20"/>
                <w:szCs w:val="20"/>
              </w:rPr>
            </w:pPr>
          </w:p>
        </w:tc>
        <w:tc>
          <w:tcPr>
            <w:tcW w:w="426" w:type="dxa"/>
            <w:tcBorders>
              <w:top w:val="nil"/>
              <w:left w:val="nil"/>
              <w:bottom w:val="single" w:color="auto" w:sz="4" w:space="0"/>
              <w:right w:val="single" w:color="auto" w:sz="4" w:space="0"/>
            </w:tcBorders>
          </w:tcPr>
          <w:p>
            <w:pPr>
              <w:jc w:val="center"/>
              <w:rPr>
                <w:rFonts w:ascii="仿宋" w:hAnsi="仿宋" w:eastAsia="仿宋" w:cs="宋体"/>
                <w:color w:val="000000"/>
                <w:sz w:val="20"/>
                <w:szCs w:val="20"/>
              </w:rPr>
            </w:pPr>
          </w:p>
        </w:tc>
        <w:tc>
          <w:tcPr>
            <w:tcW w:w="1417"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22"/>
                <w:szCs w:val="22"/>
              </w:rPr>
            </w:pPr>
            <w:r>
              <w:rPr>
                <w:rFonts w:hint="eastAsia" w:ascii="仿宋_GB2312" w:hAnsi="宋体" w:eastAsia="仿宋_GB2312" w:cs="宋体"/>
                <w:color w:val="000000"/>
                <w:sz w:val="20"/>
                <w:szCs w:val="20"/>
              </w:rPr>
              <w:t>社会保障和就业支出</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251.10</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94.10</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94.10</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157.00</w:t>
            </w: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sz w:val="20"/>
                <w:szCs w:val="20"/>
              </w:rPr>
            </w:pPr>
            <w:r>
              <w:rPr>
                <w:rFonts w:hint="eastAsia" w:ascii="宋体" w:hAnsi="宋体" w:cs="宋体"/>
                <w:color w:val="000000"/>
                <w:kern w:val="0"/>
                <w:sz w:val="20"/>
                <w:szCs w:val="20"/>
              </w:rPr>
              <w:t>208</w:t>
            </w:r>
          </w:p>
        </w:tc>
        <w:tc>
          <w:tcPr>
            <w:tcW w:w="425"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sz w:val="20"/>
                <w:szCs w:val="20"/>
              </w:rPr>
            </w:pPr>
            <w:r>
              <w:rPr>
                <w:rFonts w:hint="eastAsia" w:ascii="宋体" w:hAnsi="宋体" w:cs="宋体"/>
                <w:color w:val="000000"/>
                <w:kern w:val="0"/>
                <w:sz w:val="20"/>
                <w:szCs w:val="20"/>
              </w:rPr>
              <w:t>05</w:t>
            </w:r>
          </w:p>
        </w:tc>
        <w:tc>
          <w:tcPr>
            <w:tcW w:w="426" w:type="dxa"/>
            <w:tcBorders>
              <w:top w:val="nil"/>
              <w:left w:val="nil"/>
              <w:bottom w:val="single" w:color="auto" w:sz="4" w:space="0"/>
              <w:right w:val="single" w:color="auto" w:sz="4" w:space="0"/>
            </w:tcBorders>
          </w:tcPr>
          <w:p>
            <w:pPr>
              <w:jc w:val="center"/>
              <w:rPr>
                <w:rFonts w:ascii="仿宋" w:hAnsi="仿宋" w:eastAsia="仿宋" w:cs="宋体"/>
                <w:color w:val="000000"/>
                <w:sz w:val="20"/>
                <w:szCs w:val="20"/>
              </w:rPr>
            </w:pP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行政事业单位养老支出</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251.10</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94.10</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94.10</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157.00</w:t>
            </w: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sz w:val="20"/>
                <w:szCs w:val="20"/>
              </w:rPr>
            </w:pPr>
            <w:r>
              <w:rPr>
                <w:rFonts w:hint="eastAsia" w:ascii="宋体" w:hAnsi="宋体" w:cs="宋体"/>
                <w:color w:val="000000"/>
                <w:kern w:val="0"/>
                <w:sz w:val="20"/>
                <w:szCs w:val="20"/>
              </w:rPr>
              <w:t>208</w:t>
            </w:r>
          </w:p>
        </w:tc>
        <w:tc>
          <w:tcPr>
            <w:tcW w:w="425"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sz w:val="20"/>
                <w:szCs w:val="20"/>
              </w:rPr>
            </w:pPr>
            <w:r>
              <w:rPr>
                <w:rFonts w:hint="eastAsia" w:ascii="宋体" w:hAnsi="宋体" w:cs="宋体"/>
                <w:color w:val="000000"/>
                <w:kern w:val="0"/>
                <w:sz w:val="20"/>
                <w:szCs w:val="20"/>
              </w:rPr>
              <w:t>05</w:t>
            </w:r>
          </w:p>
        </w:tc>
        <w:tc>
          <w:tcPr>
            <w:tcW w:w="426" w:type="dxa"/>
            <w:tcBorders>
              <w:top w:val="nil"/>
              <w:left w:val="nil"/>
              <w:bottom w:val="single" w:color="auto" w:sz="4" w:space="0"/>
              <w:right w:val="single" w:color="auto" w:sz="4" w:space="0"/>
            </w:tcBorders>
            <w:vAlign w:val="center"/>
          </w:tcPr>
          <w:p>
            <w:pPr>
              <w:widowControl/>
              <w:jc w:val="center"/>
              <w:rPr>
                <w:rFonts w:ascii="仿宋" w:hAnsi="仿宋" w:eastAsia="仿宋"/>
                <w:sz w:val="20"/>
                <w:szCs w:val="20"/>
              </w:rPr>
            </w:pPr>
            <w:r>
              <w:rPr>
                <w:rFonts w:hint="eastAsia" w:ascii="宋体" w:hAnsi="宋体" w:cs="宋体"/>
                <w:color w:val="000000"/>
                <w:kern w:val="0"/>
                <w:sz w:val="20"/>
                <w:szCs w:val="20"/>
              </w:rPr>
              <w:t>02</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事业单位离退休</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25.03</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25.03</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25.03</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208</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426"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05　</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机关事业单位基本养老保险缴费支出</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176.06</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69.06</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69.06</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107.00</w:t>
            </w: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208</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05</w:t>
            </w:r>
          </w:p>
        </w:tc>
        <w:tc>
          <w:tcPr>
            <w:tcW w:w="426"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宋体" w:hAnsi="宋体" w:cs="宋体"/>
                <w:color w:val="000000"/>
                <w:kern w:val="0"/>
                <w:sz w:val="20"/>
                <w:szCs w:val="20"/>
              </w:rPr>
              <w:t>06　</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机关事业单位职业年金缴费支出</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50.00</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50.00</w:t>
            </w: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210　</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2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卫生健康支出</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112.22</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44.22</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44.22</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68.00</w:t>
            </w: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210　</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　</w:t>
            </w:r>
          </w:p>
        </w:tc>
        <w:tc>
          <w:tcPr>
            <w:tcW w:w="42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行政事业单位医疗</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112.22</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44.22</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44.22</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68.00</w:t>
            </w: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210　</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　</w:t>
            </w:r>
          </w:p>
        </w:tc>
        <w:tc>
          <w:tcPr>
            <w:tcW w:w="42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　</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事业单位医疗</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79.53</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34.53</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34.53</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45.00</w:t>
            </w: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210　</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　</w:t>
            </w:r>
          </w:p>
        </w:tc>
        <w:tc>
          <w:tcPr>
            <w:tcW w:w="42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03　</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公务员医疗补助</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24.50</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9.50</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9.50</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15.00</w:t>
            </w: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210　</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　</w:t>
            </w:r>
          </w:p>
        </w:tc>
        <w:tc>
          <w:tcPr>
            <w:tcW w:w="42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99　</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其他行政事业单位医疗支出</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8.20</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0.20</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0.20</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8.00</w:t>
            </w: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213</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42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417" w:type="dxa"/>
            <w:tcBorders>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农林水支出</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683.78</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588.78</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588.78</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101.00</w:t>
            </w: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85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70.00</w:t>
            </w: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25.00</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213</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w:t>
            </w:r>
          </w:p>
        </w:tc>
        <w:tc>
          <w:tcPr>
            <w:tcW w:w="42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tc>
        <w:tc>
          <w:tcPr>
            <w:tcW w:w="1417" w:type="dxa"/>
            <w:tcBorders>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农业农村</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683.78</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588.78</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588.78</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101.00</w:t>
            </w: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85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70.00</w:t>
            </w: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25.00</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213</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w:t>
            </w:r>
          </w:p>
        </w:tc>
        <w:tc>
          <w:tcPr>
            <w:tcW w:w="42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04</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事业运行</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557.78</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487.78</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487.78</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85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pPr>
              <w:rPr>
                <w:rFonts w:ascii="Calibri" w:hAnsi="Calibri" w:cs="Calibri"/>
                <w:color w:val="000000"/>
                <w:sz w:val="22"/>
                <w:szCs w:val="22"/>
              </w:rPr>
            </w:pP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70.00</w:t>
            </w: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213</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w:t>
            </w:r>
          </w:p>
        </w:tc>
        <w:tc>
          <w:tcPr>
            <w:tcW w:w="42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24</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农村合作经济</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101.00</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101.00</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101.00</w:t>
            </w: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85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213</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w:t>
            </w:r>
          </w:p>
        </w:tc>
        <w:tc>
          <w:tcPr>
            <w:tcW w:w="42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99</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其他农业农村支出</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25.00</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85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51"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p>
        </w:tc>
        <w:tc>
          <w:tcPr>
            <w:tcW w:w="850" w:type="dxa"/>
            <w:tcBorders>
              <w:top w:val="nil"/>
              <w:left w:val="single" w:color="auto" w:sz="4" w:space="0"/>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25.00</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221　</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2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住房保障支出</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116.12</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56.12</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56.12</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single" w:color="auto" w:sz="4" w:space="0"/>
              <w:bottom w:val="single" w:color="auto" w:sz="4" w:space="0"/>
              <w:right w:val="single" w:color="auto" w:sz="4" w:space="0"/>
            </w:tcBorders>
          </w:tcPr>
          <w:p>
            <w:pPr>
              <w:jc w:val="right"/>
              <w:rPr>
                <w:rFonts w:ascii="Calibri" w:hAnsi="Calibri" w:cs="Calibri"/>
                <w:color w:val="000000"/>
                <w:sz w:val="22"/>
                <w:szCs w:val="22"/>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221　</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　</w:t>
            </w:r>
          </w:p>
        </w:tc>
        <w:tc>
          <w:tcPr>
            <w:tcW w:w="42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住房改革支出</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116.12</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56.12</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56.12</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single" w:color="auto" w:sz="4" w:space="0"/>
              <w:bottom w:val="single" w:color="auto" w:sz="4" w:space="0"/>
              <w:right w:val="single" w:color="auto" w:sz="4" w:space="0"/>
            </w:tcBorders>
          </w:tcPr>
          <w:p>
            <w:pPr>
              <w:jc w:val="right"/>
              <w:rPr>
                <w:rFonts w:ascii="Calibri" w:hAnsi="Calibri" w:cs="Calibri"/>
                <w:color w:val="000000"/>
                <w:sz w:val="22"/>
                <w:szCs w:val="22"/>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221　</w:t>
            </w:r>
          </w:p>
        </w:tc>
        <w:tc>
          <w:tcPr>
            <w:tcW w:w="42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　</w:t>
            </w:r>
          </w:p>
        </w:tc>
        <w:tc>
          <w:tcPr>
            <w:tcW w:w="426"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　</w:t>
            </w:r>
          </w:p>
        </w:tc>
        <w:tc>
          <w:tcPr>
            <w:tcW w:w="1417" w:type="dxa"/>
            <w:tcBorders>
              <w:top w:val="nil"/>
              <w:left w:val="nil"/>
              <w:bottom w:val="single" w:color="auto" w:sz="4" w:space="0"/>
              <w:right w:val="single" w:color="auto" w:sz="4" w:space="0"/>
            </w:tcBorders>
          </w:tcPr>
          <w:p>
            <w:pPr>
              <w:widowControl/>
              <w:spacing w:line="280" w:lineRule="exact"/>
              <w:jc w:val="center"/>
              <w:rPr>
                <w:rFonts w:ascii="仿宋_GB2312" w:hAnsi="宋体" w:eastAsia="仿宋_GB2312" w:cs="宋体"/>
                <w:color w:val="000000"/>
                <w:sz w:val="20"/>
                <w:szCs w:val="20"/>
              </w:rPr>
            </w:pPr>
            <w:r>
              <w:rPr>
                <w:rFonts w:ascii="仿宋_GB2312" w:hAnsi="宋体" w:eastAsia="仿宋_GB2312" w:cs="宋体"/>
                <w:color w:val="000000"/>
                <w:sz w:val="20"/>
                <w:szCs w:val="20"/>
              </w:rPr>
              <w:t>住房公积金</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116.12</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56.12</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56.12</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single" w:color="auto" w:sz="4" w:space="0"/>
              <w:bottom w:val="single" w:color="auto" w:sz="4" w:space="0"/>
              <w:right w:val="single" w:color="auto" w:sz="4" w:space="0"/>
            </w:tcBorders>
          </w:tcPr>
          <w:p>
            <w:pPr>
              <w:jc w:val="right"/>
              <w:rPr>
                <w:rFonts w:ascii="Calibri" w:hAnsi="Calibri" w:cs="Calibri"/>
                <w:color w:val="000000"/>
                <w:sz w:val="22"/>
                <w:szCs w:val="22"/>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93" w:hRule="atLeast"/>
        </w:trPr>
        <w:tc>
          <w:tcPr>
            <w:tcW w:w="56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1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b/>
                <w:bCs/>
                <w:sz w:val="20"/>
                <w:szCs w:val="20"/>
              </w:rPr>
              <w:t>合  计</w:t>
            </w:r>
            <w:r>
              <w:rPr>
                <w:rFonts w:hint="eastAsia" w:ascii="仿宋_GB2312" w:eastAsia="仿宋_GB2312"/>
                <w:sz w:val="20"/>
                <w:szCs w:val="20"/>
              </w:rPr>
              <w:t>　</w:t>
            </w:r>
          </w:p>
        </w:tc>
        <w:tc>
          <w:tcPr>
            <w:tcW w:w="993"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1163.22</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783.22</w:t>
            </w:r>
          </w:p>
        </w:tc>
        <w:tc>
          <w:tcPr>
            <w:tcW w:w="851"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hint="eastAsia" w:ascii="Calibri" w:hAnsi="Calibri" w:cs="Calibri"/>
                <w:color w:val="000000"/>
                <w:sz w:val="22"/>
                <w:szCs w:val="22"/>
                <w:lang w:val="en-US" w:eastAsia="zh-CN"/>
              </w:rPr>
              <w:t>6</w:t>
            </w:r>
            <w:r>
              <w:rPr>
                <w:rFonts w:ascii="Calibri" w:hAnsi="Calibri" w:cs="Calibri"/>
                <w:color w:val="000000"/>
                <w:sz w:val="22"/>
                <w:szCs w:val="22"/>
              </w:rPr>
              <w:t>8</w:t>
            </w:r>
            <w:r>
              <w:rPr>
                <w:rFonts w:hint="eastAsia" w:ascii="Calibri" w:hAnsi="Calibri" w:cs="Calibri"/>
                <w:color w:val="000000"/>
                <w:sz w:val="22"/>
                <w:szCs w:val="22"/>
                <w:lang w:val="en-US" w:eastAsia="zh-CN"/>
              </w:rPr>
              <w:t>2</w:t>
            </w:r>
            <w:r>
              <w:rPr>
                <w:rFonts w:ascii="Calibri" w:hAnsi="Calibri" w:cs="Calibri"/>
                <w:color w:val="000000"/>
                <w:sz w:val="22"/>
                <w:szCs w:val="22"/>
              </w:rPr>
              <w:t>.22</w:t>
            </w:r>
          </w:p>
        </w:tc>
        <w:tc>
          <w:tcPr>
            <w:tcW w:w="850" w:type="dxa"/>
            <w:tcBorders>
              <w:top w:val="nil"/>
              <w:left w:val="nil"/>
              <w:bottom w:val="single" w:color="auto" w:sz="4" w:space="0"/>
              <w:right w:val="single" w:color="auto" w:sz="4" w:space="0"/>
            </w:tcBorders>
            <w:vAlign w:val="center"/>
          </w:tcPr>
          <w:p>
            <w:pPr>
              <w:jc w:val="center"/>
              <w:rPr>
                <w:rFonts w:ascii="Calibri" w:hAnsi="Calibri" w:cs="Calibri"/>
                <w:color w:val="000000"/>
                <w:sz w:val="22"/>
                <w:szCs w:val="22"/>
              </w:rPr>
            </w:pPr>
            <w:r>
              <w:rPr>
                <w:rFonts w:ascii="Calibri" w:hAnsi="Calibri" w:cs="Calibri"/>
                <w:color w:val="000000"/>
                <w:sz w:val="22"/>
                <w:szCs w:val="22"/>
              </w:rPr>
              <w:t>101.00</w:t>
            </w:r>
          </w:p>
        </w:tc>
        <w:tc>
          <w:tcPr>
            <w:tcW w:w="42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p>
        </w:tc>
        <w:tc>
          <w:tcPr>
            <w:tcW w:w="70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p>
        </w:tc>
        <w:tc>
          <w:tcPr>
            <w:tcW w:w="42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p>
        </w:tc>
        <w:tc>
          <w:tcPr>
            <w:tcW w:w="851"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rPr>
            </w:pPr>
            <w:r>
              <w:rPr>
                <w:rFonts w:hint="eastAsia" w:ascii="Calibri" w:hAnsi="Calibri" w:cs="Calibri"/>
                <w:color w:val="000000"/>
                <w:sz w:val="22"/>
                <w:szCs w:val="22"/>
              </w:rPr>
              <w:t>355.00</w:t>
            </w:r>
          </w:p>
        </w:tc>
        <w:tc>
          <w:tcPr>
            <w:tcW w:w="850"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rPr>
            </w:pPr>
            <w:r>
              <w:rPr>
                <w:rFonts w:ascii="Calibri" w:hAnsi="Calibri" w:cs="Calibri"/>
                <w:color w:val="000000"/>
                <w:sz w:val="22"/>
                <w:szCs w:val="22"/>
              </w:rPr>
              <w:t>25.00</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bl>
    <w:p>
      <w:pPr>
        <w:widowControl/>
        <w:spacing w:line="280" w:lineRule="exact"/>
        <w:outlineLvl w:val="1"/>
        <w:rPr>
          <w:rFonts w:ascii="仿宋_GB2312" w:hAnsi="宋体" w:eastAsia="仿宋_GB2312"/>
          <w:b/>
          <w:kern w:val="0"/>
          <w:sz w:val="28"/>
          <w:szCs w:val="32"/>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呼图壁县农牧业技术推广中心支出总体情况表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编制单位：呼图壁县农牧业技术推广中心                            单位：万元</w:t>
      </w:r>
    </w:p>
    <w:tbl>
      <w:tblPr>
        <w:tblStyle w:val="5"/>
        <w:tblW w:w="9420" w:type="dxa"/>
        <w:tblInd w:w="-240" w:type="dxa"/>
        <w:tblLayout w:type="fixed"/>
        <w:tblCellMar>
          <w:top w:w="0" w:type="dxa"/>
          <w:left w:w="108" w:type="dxa"/>
          <w:bottom w:w="0" w:type="dxa"/>
          <w:right w:w="108" w:type="dxa"/>
        </w:tblCellMar>
      </w:tblPr>
      <w:tblGrid>
        <w:gridCol w:w="516"/>
        <w:gridCol w:w="417"/>
        <w:gridCol w:w="417"/>
        <w:gridCol w:w="2547"/>
        <w:gridCol w:w="1825"/>
        <w:gridCol w:w="1826"/>
        <w:gridCol w:w="1872"/>
      </w:tblGrid>
      <w:tr>
        <w:tblPrEx>
          <w:tblLayout w:type="fixed"/>
          <w:tblCellMar>
            <w:top w:w="0" w:type="dxa"/>
            <w:left w:w="108" w:type="dxa"/>
            <w:bottom w:w="0" w:type="dxa"/>
            <w:right w:w="108" w:type="dxa"/>
          </w:tblCellMar>
        </w:tblPrEx>
        <w:trPr>
          <w:trHeight w:val="328" w:hRule="atLeast"/>
        </w:trPr>
        <w:tc>
          <w:tcPr>
            <w:tcW w:w="3897"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23"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Layout w:type="fixed"/>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4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2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2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7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4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2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2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7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tcPr>
          <w:p>
            <w:pPr>
              <w:spacing w:line="280" w:lineRule="exact"/>
              <w:jc w:val="center"/>
              <w:rPr>
                <w:rFonts w:ascii="宋体" w:hAnsi="宋体" w:cs="宋体"/>
                <w:b/>
                <w:bCs/>
                <w:kern w:val="0"/>
                <w:sz w:val="16"/>
                <w:szCs w:val="16"/>
              </w:rPr>
            </w:pP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社会保障和就业支出</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251.10</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251.10</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417" w:type="dxa"/>
            <w:tcBorders>
              <w:top w:val="nil"/>
              <w:left w:val="nil"/>
              <w:bottom w:val="single" w:color="auto" w:sz="4" w:space="0"/>
              <w:right w:val="single" w:color="auto" w:sz="4" w:space="0"/>
            </w:tcBorders>
          </w:tcPr>
          <w:p>
            <w:pPr>
              <w:spacing w:line="280" w:lineRule="exact"/>
              <w:jc w:val="center"/>
              <w:rPr>
                <w:rFonts w:ascii="宋体" w:hAnsi="宋体" w:cs="宋体"/>
                <w:b/>
                <w:bCs/>
                <w:kern w:val="0"/>
                <w:sz w:val="16"/>
                <w:szCs w:val="16"/>
              </w:rPr>
            </w:pP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行政事业单位养老支出</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251.10</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251.10</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事业单位离退休</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25.03</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25.03</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417" w:type="dxa"/>
            <w:tcBorders>
              <w:top w:val="nil"/>
              <w:left w:val="nil"/>
              <w:bottom w:val="single" w:color="auto" w:sz="4" w:space="0"/>
              <w:right w:val="single" w:color="auto" w:sz="4" w:space="0"/>
            </w:tcBorders>
            <w:vAlign w:val="center"/>
          </w:tcPr>
          <w:p>
            <w:pPr>
              <w:spacing w:line="280" w:lineRule="exact"/>
              <w:jc w:val="center"/>
              <w:rPr>
                <w:rFonts w:ascii="宋体" w:hAnsi="宋体" w:cs="宋体"/>
                <w:b/>
                <w:bCs/>
                <w:kern w:val="0"/>
                <w:sz w:val="16"/>
                <w:szCs w:val="16"/>
              </w:rPr>
            </w:pPr>
            <w:r>
              <w:rPr>
                <w:rFonts w:hint="eastAsia" w:ascii="宋体" w:hAnsi="宋体" w:cs="宋体"/>
                <w:b/>
                <w:bCs/>
                <w:kern w:val="0"/>
                <w:sz w:val="16"/>
                <w:szCs w:val="16"/>
              </w:rPr>
              <w:t>05　</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机关事业单位基本养老保险缴费支出</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176.06</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176.06</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417" w:type="dxa"/>
            <w:tcBorders>
              <w:top w:val="nil"/>
              <w:left w:val="nil"/>
              <w:bottom w:val="single" w:color="auto" w:sz="4" w:space="0"/>
              <w:right w:val="single" w:color="auto" w:sz="4" w:space="0"/>
            </w:tcBorders>
            <w:vAlign w:val="center"/>
          </w:tcPr>
          <w:p>
            <w:pPr>
              <w:spacing w:line="280" w:lineRule="exact"/>
              <w:jc w:val="right"/>
              <w:rPr>
                <w:rFonts w:ascii="宋体" w:hAnsi="宋体" w:cs="宋体"/>
                <w:b/>
                <w:bCs/>
                <w:kern w:val="0"/>
                <w:sz w:val="16"/>
                <w:szCs w:val="16"/>
              </w:rPr>
            </w:pPr>
            <w:r>
              <w:rPr>
                <w:rFonts w:hint="eastAsia" w:ascii="宋体" w:hAnsi="宋体" w:cs="宋体"/>
                <w:b/>
                <w:bCs/>
                <w:kern w:val="0"/>
                <w:sz w:val="16"/>
                <w:szCs w:val="16"/>
              </w:rPr>
              <w:t>06　</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机关事业单位职业年金缴费支出</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50.00</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50.00</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卫生健康支出</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112.22</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112.22</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行政事业单位医疗</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112.22</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112.22</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　</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事业单位医疗</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79.53</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79.53</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03　</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公务员医疗补助</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24.50</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24.50</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99　</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其他行政事业单位医疗支出</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8.20</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8.20</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农林水支出</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683.78</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557.78</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126.00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农业农村</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683.78</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557.78</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126.00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04</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事业运行</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557.78</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557.78</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24</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农村合作经济</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101.00</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101.00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99</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其他农业农村支出</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25.00</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25.00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住房保障支出</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116.12</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116.12</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住房改革支出</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116.12</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116.12</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住房公积金</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116.12</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116.12</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2547" w:type="dxa"/>
            <w:tcBorders>
              <w:top w:val="nil"/>
              <w:left w:val="nil"/>
              <w:bottom w:val="single" w:color="auto" w:sz="4" w:space="0"/>
              <w:right w:val="single" w:color="auto" w:sz="4" w:space="0"/>
            </w:tcBorders>
            <w:vAlign w:val="center"/>
          </w:tcPr>
          <w:p/>
        </w:tc>
        <w:tc>
          <w:tcPr>
            <w:tcW w:w="1825" w:type="dxa"/>
            <w:tcBorders>
              <w:top w:val="nil"/>
              <w:left w:val="nil"/>
              <w:bottom w:val="single" w:color="auto" w:sz="4" w:space="0"/>
              <w:right w:val="single" w:color="auto" w:sz="4" w:space="0"/>
            </w:tcBorders>
            <w:vAlign w:val="center"/>
          </w:tcPr>
          <w:p/>
        </w:tc>
        <w:tc>
          <w:tcPr>
            <w:tcW w:w="1826" w:type="dxa"/>
            <w:tcBorders>
              <w:top w:val="nil"/>
              <w:left w:val="nil"/>
              <w:bottom w:val="single" w:color="auto" w:sz="4" w:space="0"/>
              <w:right w:val="single" w:color="auto" w:sz="4" w:space="0"/>
            </w:tcBorders>
            <w:vAlign w:val="center"/>
          </w:tcPr>
          <w:p/>
        </w:tc>
        <w:tc>
          <w:tcPr>
            <w:tcW w:w="1872" w:type="dxa"/>
            <w:tcBorders>
              <w:top w:val="nil"/>
              <w:left w:val="nil"/>
              <w:bottom w:val="single" w:color="auto" w:sz="4" w:space="0"/>
              <w:right w:val="single" w:color="auto" w:sz="4" w:space="0"/>
            </w:tcBorders>
            <w:vAlign w:val="center"/>
          </w:tc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254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2"/>
                <w:szCs w:val="22"/>
              </w:rPr>
            </w:pPr>
            <w:r>
              <w:rPr>
                <w:rFonts w:hint="eastAsia" w:ascii="仿宋_GB2312" w:hAnsi="仿宋_GB2312" w:eastAsia="仿宋_GB2312" w:cs="仿宋_GB2312"/>
                <w:b/>
                <w:bCs/>
                <w:kern w:val="0"/>
                <w:sz w:val="20"/>
                <w:szCs w:val="20"/>
              </w:rPr>
              <w:t>合  计</w:t>
            </w:r>
          </w:p>
        </w:tc>
        <w:tc>
          <w:tcPr>
            <w:tcW w:w="18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1163.22</w:t>
            </w:r>
          </w:p>
        </w:tc>
        <w:tc>
          <w:tcPr>
            <w:tcW w:w="18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1037.22</w:t>
            </w:r>
          </w:p>
        </w:tc>
        <w:tc>
          <w:tcPr>
            <w:tcW w:w="187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ascii="宋体" w:hAnsi="宋体" w:cs="宋体"/>
                <w:b/>
                <w:bCs/>
                <w:kern w:val="0"/>
                <w:sz w:val="22"/>
                <w:szCs w:val="22"/>
              </w:rPr>
              <w:t>126.00</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编制单位：呼图壁县农牧业技术推广中心                            单位：万元</w:t>
      </w:r>
    </w:p>
    <w:tbl>
      <w:tblPr>
        <w:tblStyle w:val="5"/>
        <w:tblW w:w="9449" w:type="dxa"/>
        <w:tblInd w:w="-240" w:type="dxa"/>
        <w:tblLayout w:type="fixed"/>
        <w:tblCellMar>
          <w:top w:w="0" w:type="dxa"/>
          <w:left w:w="108" w:type="dxa"/>
          <w:bottom w:w="0" w:type="dxa"/>
          <w:right w:w="108" w:type="dxa"/>
        </w:tblCellMar>
      </w:tblPr>
      <w:tblGrid>
        <w:gridCol w:w="1929"/>
        <w:gridCol w:w="914"/>
        <w:gridCol w:w="2570"/>
        <w:gridCol w:w="900"/>
        <w:gridCol w:w="876"/>
        <w:gridCol w:w="1130"/>
        <w:gridCol w:w="1130"/>
      </w:tblGrid>
      <w:tr>
        <w:tblPrEx>
          <w:tblLayout w:type="fixed"/>
          <w:tblCellMar>
            <w:top w:w="0" w:type="dxa"/>
            <w:left w:w="108" w:type="dxa"/>
            <w:bottom w:w="0" w:type="dxa"/>
            <w:right w:w="108" w:type="dxa"/>
          </w:tblCellMar>
        </w:tblPrEx>
        <w:trPr>
          <w:trHeight w:val="285" w:hRule="atLeast"/>
        </w:trPr>
        <w:tc>
          <w:tcPr>
            <w:tcW w:w="2843"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606"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Layout w:type="fixed"/>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7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0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87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3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30"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ascii="仿宋_GB2312" w:hAnsi="宋体" w:eastAsia="仿宋_GB2312" w:cs="宋体"/>
                <w:kern w:val="0"/>
                <w:sz w:val="18"/>
                <w:szCs w:val="18"/>
              </w:rPr>
              <w:t>808.22</w:t>
            </w: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ascii="仿宋_GB2312" w:hAnsi="宋体" w:eastAsia="仿宋_GB2312" w:cs="宋体"/>
                <w:kern w:val="0"/>
                <w:sz w:val="18"/>
                <w:szCs w:val="18"/>
              </w:rPr>
              <w:t>808.22</w:t>
            </w: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ascii="宋体" w:hAnsi="宋体" w:cs="宋体"/>
                <w:kern w:val="0"/>
                <w:sz w:val="18"/>
                <w:szCs w:val="18"/>
              </w:rPr>
              <w:t>94.10</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ascii="宋体" w:hAnsi="宋体" w:cs="宋体"/>
                <w:kern w:val="0"/>
                <w:sz w:val="18"/>
                <w:szCs w:val="18"/>
              </w:rPr>
              <w:t>94.10</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ascii="宋体" w:hAnsi="宋体" w:cs="宋体"/>
                <w:kern w:val="0"/>
                <w:sz w:val="18"/>
                <w:szCs w:val="18"/>
              </w:rPr>
              <w:t>44.22</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ascii="宋体" w:hAnsi="宋体" w:cs="宋体"/>
                <w:kern w:val="0"/>
                <w:sz w:val="18"/>
                <w:szCs w:val="18"/>
              </w:rPr>
              <w:t>44.22</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ascii="宋体" w:hAnsi="宋体" w:cs="宋体"/>
                <w:kern w:val="0"/>
                <w:sz w:val="18"/>
                <w:szCs w:val="18"/>
              </w:rPr>
              <w:t>613.78</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ascii="宋体" w:hAnsi="宋体" w:cs="宋体"/>
                <w:kern w:val="0"/>
                <w:sz w:val="18"/>
                <w:szCs w:val="18"/>
              </w:rPr>
              <w:t>613.78</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ascii="宋体" w:hAnsi="宋体" w:cs="宋体"/>
                <w:kern w:val="0"/>
                <w:sz w:val="18"/>
                <w:szCs w:val="18"/>
              </w:rPr>
              <w:t>56.12</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ascii="宋体" w:hAnsi="宋体" w:cs="宋体"/>
                <w:kern w:val="0"/>
                <w:sz w:val="18"/>
                <w:szCs w:val="18"/>
              </w:rPr>
              <w:t>56.12</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ascii="仿宋_GB2312" w:hAnsi="宋体" w:eastAsia="仿宋_GB2312" w:cs="宋体"/>
                <w:b/>
                <w:bCs/>
                <w:kern w:val="0"/>
                <w:sz w:val="20"/>
                <w:szCs w:val="20"/>
              </w:rPr>
              <w:t>808.22</w:t>
            </w:r>
            <w:r>
              <w:rPr>
                <w:rFonts w:hint="eastAsia" w:ascii="仿宋_GB2312" w:hAnsi="宋体" w:eastAsia="仿宋_GB2312" w:cs="宋体"/>
                <w:b/>
                <w:bCs/>
                <w:kern w:val="0"/>
                <w:sz w:val="20"/>
                <w:szCs w:val="20"/>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ascii="宋体" w:hAnsi="宋体" w:cs="宋体"/>
                <w:kern w:val="0"/>
                <w:sz w:val="22"/>
                <w:szCs w:val="22"/>
              </w:rPr>
              <w:t>808.22</w:t>
            </w:r>
            <w:r>
              <w:rPr>
                <w:rFonts w:hint="eastAsia" w:ascii="宋体" w:hAnsi="宋体" w:cs="宋体"/>
                <w:kern w:val="0"/>
                <w:sz w:val="22"/>
                <w:szCs w:val="22"/>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ascii="宋体" w:hAnsi="宋体" w:cs="宋体"/>
                <w:kern w:val="0"/>
                <w:sz w:val="22"/>
                <w:szCs w:val="22"/>
              </w:rPr>
              <w:t>808.22</w:t>
            </w:r>
            <w:r>
              <w:rPr>
                <w:rFonts w:hint="eastAsia" w:ascii="宋体" w:hAnsi="宋体" w:cs="宋体"/>
                <w:kern w:val="0"/>
                <w:sz w:val="22"/>
                <w:szCs w:val="22"/>
              </w:rPr>
              <w:t>　</w:t>
            </w:r>
          </w:p>
        </w:tc>
        <w:tc>
          <w:tcPr>
            <w:tcW w:w="2260"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r>
    </w:tbl>
    <w:p>
      <w:pPr>
        <w:widowControl/>
        <w:spacing w:line="320" w:lineRule="exact"/>
        <w:outlineLvl w:val="1"/>
        <w:rPr>
          <w:rFonts w:ascii="仿宋_GB2312" w:hAnsi="宋体" w:eastAsia="仿宋_GB2312"/>
          <w:b/>
          <w:kern w:val="0"/>
          <w:sz w:val="28"/>
          <w:szCs w:val="32"/>
        </w:rPr>
      </w:pPr>
    </w:p>
    <w:p>
      <w:pPr>
        <w:widowControl/>
        <w:spacing w:line="320" w:lineRule="exact"/>
        <w:outlineLvl w:val="1"/>
        <w:rPr>
          <w:rFonts w:ascii="仿宋_GB2312" w:hAnsi="宋体" w:eastAsia="仿宋_GB2312"/>
          <w:b/>
          <w:kern w:val="0"/>
          <w:sz w:val="28"/>
          <w:szCs w:val="32"/>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表5</w:t>
      </w:r>
    </w:p>
    <w:tbl>
      <w:tblPr>
        <w:tblStyle w:val="5"/>
        <w:tblW w:w="9283" w:type="dxa"/>
        <w:tblInd w:w="-34" w:type="dxa"/>
        <w:tblLayout w:type="fixed"/>
        <w:tblCellMar>
          <w:top w:w="0" w:type="dxa"/>
          <w:left w:w="108" w:type="dxa"/>
          <w:bottom w:w="0" w:type="dxa"/>
          <w:right w:w="108" w:type="dxa"/>
        </w:tblCellMar>
      </w:tblPr>
      <w:tblGrid>
        <w:gridCol w:w="587"/>
        <w:gridCol w:w="497"/>
        <w:gridCol w:w="501"/>
        <w:gridCol w:w="2952"/>
        <w:gridCol w:w="236"/>
        <w:gridCol w:w="940"/>
        <w:gridCol w:w="284"/>
        <w:gridCol w:w="1535"/>
        <w:gridCol w:w="1682"/>
        <w:gridCol w:w="69"/>
      </w:tblGrid>
      <w:tr>
        <w:tblPrEx>
          <w:tblLayout w:type="fixed"/>
          <w:tblCellMar>
            <w:top w:w="0" w:type="dxa"/>
            <w:left w:w="108" w:type="dxa"/>
            <w:bottom w:w="0" w:type="dxa"/>
            <w:right w:w="108" w:type="dxa"/>
          </w:tblCellMar>
        </w:tblPrEx>
        <w:trPr>
          <w:gridAfter w:val="1"/>
          <w:wAfter w:w="69" w:type="dxa"/>
          <w:trHeight w:val="450" w:hRule="atLeast"/>
        </w:trPr>
        <w:tc>
          <w:tcPr>
            <w:tcW w:w="9214" w:type="dxa"/>
            <w:gridSpan w:val="9"/>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Layout w:type="fixed"/>
          <w:tblCellMar>
            <w:top w:w="0" w:type="dxa"/>
            <w:left w:w="108" w:type="dxa"/>
            <w:bottom w:w="0" w:type="dxa"/>
            <w:right w:w="108" w:type="dxa"/>
          </w:tblCellMar>
        </w:tblPrEx>
        <w:trPr>
          <w:trHeight w:val="285" w:hRule="atLeast"/>
        </w:trPr>
        <w:tc>
          <w:tcPr>
            <w:tcW w:w="4537" w:type="dxa"/>
            <w:gridSpan w:val="4"/>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编制单位：呼图壁县农牧业技术推广中心</w:t>
            </w:r>
          </w:p>
        </w:tc>
        <w:tc>
          <w:tcPr>
            <w:tcW w:w="236"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224"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3286" w:type="dxa"/>
            <w:gridSpan w:val="3"/>
            <w:tcBorders>
              <w:top w:val="nil"/>
              <w:left w:val="nil"/>
              <w:bottom w:val="nil"/>
              <w:right w:val="nil"/>
            </w:tcBorders>
            <w:vAlign w:val="center"/>
          </w:tcPr>
          <w:p>
            <w:pPr>
              <w:widowControl/>
              <w:ind w:right="240"/>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Layout w:type="fixed"/>
          <w:tblCellMar>
            <w:top w:w="0" w:type="dxa"/>
            <w:left w:w="108" w:type="dxa"/>
            <w:bottom w:w="0" w:type="dxa"/>
            <w:right w:w="108" w:type="dxa"/>
          </w:tblCellMar>
        </w:tblPrEx>
        <w:trPr>
          <w:gridAfter w:val="1"/>
          <w:wAfter w:w="69" w:type="dxa"/>
          <w:trHeight w:val="405" w:hRule="atLeast"/>
        </w:trPr>
        <w:tc>
          <w:tcPr>
            <w:tcW w:w="453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67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Layout w:type="fixed"/>
          <w:tblCellMar>
            <w:top w:w="0" w:type="dxa"/>
            <w:left w:w="108" w:type="dxa"/>
            <w:bottom w:w="0" w:type="dxa"/>
            <w:right w:w="108" w:type="dxa"/>
          </w:tblCellMar>
        </w:tblPrEx>
        <w:trPr>
          <w:gridAfter w:val="1"/>
          <w:wAfter w:w="69" w:type="dxa"/>
          <w:trHeight w:val="465" w:hRule="atLeast"/>
        </w:trPr>
        <w:tc>
          <w:tcPr>
            <w:tcW w:w="158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95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176"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19"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8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Layout w:type="fixed"/>
          <w:tblCellMar>
            <w:top w:w="0" w:type="dxa"/>
            <w:left w:w="108" w:type="dxa"/>
            <w:bottom w:w="0" w:type="dxa"/>
            <w:right w:w="108" w:type="dxa"/>
          </w:tblCellMar>
        </w:tblPrEx>
        <w:trPr>
          <w:gridAfter w:val="1"/>
          <w:wAfter w:w="69" w:type="dxa"/>
          <w:trHeight w:val="300" w:hRule="atLeast"/>
        </w:trPr>
        <w:tc>
          <w:tcPr>
            <w:tcW w:w="58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95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17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819"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8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208</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1" w:type="dxa"/>
            <w:tcBorders>
              <w:top w:val="nil"/>
              <w:left w:val="nil"/>
              <w:bottom w:val="single" w:color="auto" w:sz="4" w:space="0"/>
              <w:right w:val="single" w:color="auto" w:sz="4" w:space="0"/>
            </w:tcBorders>
          </w:tcPr>
          <w:p>
            <w:pPr>
              <w:jc w:val="left"/>
              <w:rPr>
                <w:rFonts w:ascii="宋体" w:hAnsi="宋体" w:cs="宋体"/>
                <w:kern w:val="0"/>
                <w:sz w:val="20"/>
                <w:szCs w:val="20"/>
              </w:rPr>
            </w:pP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社会保障和就业支出</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94.10</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94.10</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208</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05</w:t>
            </w:r>
          </w:p>
        </w:tc>
        <w:tc>
          <w:tcPr>
            <w:tcW w:w="501" w:type="dxa"/>
            <w:tcBorders>
              <w:top w:val="nil"/>
              <w:left w:val="nil"/>
              <w:bottom w:val="single" w:color="auto" w:sz="4" w:space="0"/>
              <w:right w:val="single" w:color="auto" w:sz="4" w:space="0"/>
            </w:tcBorders>
          </w:tcPr>
          <w:p>
            <w:pPr>
              <w:jc w:val="left"/>
              <w:rPr>
                <w:rFonts w:ascii="宋体" w:hAnsi="宋体" w:cs="宋体"/>
                <w:kern w:val="0"/>
                <w:sz w:val="20"/>
                <w:szCs w:val="20"/>
              </w:rPr>
            </w:pP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行政事业单位养老支出</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94.10</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94.10</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208</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05</w:t>
            </w: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w:t>
            </w: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事业单位离退休</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25.03</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25.03</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208</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05</w:t>
            </w:r>
          </w:p>
        </w:tc>
        <w:tc>
          <w:tcPr>
            <w:tcW w:w="501" w:type="dxa"/>
            <w:tcBorders>
              <w:top w:val="nil"/>
              <w:left w:val="nil"/>
              <w:bottom w:val="single" w:color="auto" w:sz="4" w:space="0"/>
              <w:right w:val="single" w:color="auto" w:sz="4" w:space="0"/>
            </w:tcBorders>
            <w:vAlign w:val="center"/>
          </w:tcPr>
          <w:p>
            <w:pPr>
              <w:jc w:val="left"/>
              <w:rPr>
                <w:rFonts w:ascii="宋体" w:hAnsi="宋体" w:cs="宋体"/>
                <w:kern w:val="0"/>
                <w:sz w:val="20"/>
                <w:szCs w:val="20"/>
              </w:rPr>
            </w:pPr>
            <w:r>
              <w:rPr>
                <w:rFonts w:hint="eastAsia" w:ascii="宋体" w:hAnsi="宋体" w:cs="宋体"/>
                <w:kern w:val="0"/>
                <w:sz w:val="20"/>
                <w:szCs w:val="20"/>
              </w:rPr>
              <w:t>05　</w:t>
            </w: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机关事业单位基本养老保险缴费支出</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69.06</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69.06</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210　</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卫生健康支出</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44.22</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44.22</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210　</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11　</w:t>
            </w: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行政事业单位医疗</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44.22</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44.22</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210　</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11　</w:t>
            </w: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　</w:t>
            </w: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事业单位医疗</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34.53</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34.53</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210　</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11　</w:t>
            </w: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03　</w:t>
            </w: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公务员医疗补助</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9.50</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9.50</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210　</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11　</w:t>
            </w: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99　</w:t>
            </w: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其他行政事业单位医疗支出</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0.20</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0.20</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213</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农林水支出</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613.78</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487.78</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126.00</w:t>
            </w: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213</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农业农村</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613.78</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487.78</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126.00</w:t>
            </w: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213</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04</w:t>
            </w: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事业运行</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487.78</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487.78</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213</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24</w:t>
            </w: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农村合作经济</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101.00</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101.00</w:t>
            </w: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213</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99</w:t>
            </w: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其他农业农村支出</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25.00</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25.00</w:t>
            </w: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221</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住房保障支出</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56.12</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56.12</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221</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w:t>
            </w: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住房改革支出</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56.12</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56.12</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221</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w:t>
            </w:r>
          </w:p>
        </w:tc>
        <w:tc>
          <w:tcPr>
            <w:tcW w:w="5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01</w:t>
            </w: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住房公积金</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56.12</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56.12</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95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gridAfter w:val="1"/>
          <w:wAfter w:w="69" w:type="dxa"/>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952"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176"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808.22</w:t>
            </w:r>
          </w:p>
        </w:tc>
        <w:tc>
          <w:tcPr>
            <w:tcW w:w="181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682.22</w:t>
            </w:r>
          </w:p>
        </w:tc>
        <w:tc>
          <w:tcPr>
            <w:tcW w:w="168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126.00</w:t>
            </w:r>
          </w:p>
        </w:tc>
      </w:tr>
    </w:tbl>
    <w:p>
      <w:pPr>
        <w:widowControl/>
        <w:jc w:val="left"/>
        <w:textAlignment w:val="bottom"/>
        <w:rPr>
          <w:rFonts w:ascii="仿宋_GB2312" w:hAnsi="宋体" w:eastAsia="仿宋_GB2312"/>
          <w:b/>
          <w:kern w:val="0"/>
          <w:sz w:val="28"/>
          <w:szCs w:val="32"/>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表6</w:t>
      </w:r>
    </w:p>
    <w:tbl>
      <w:tblPr>
        <w:tblStyle w:val="5"/>
        <w:tblW w:w="9328" w:type="dxa"/>
        <w:tblInd w:w="-148" w:type="dxa"/>
        <w:tblLayout w:type="fixed"/>
        <w:tblCellMar>
          <w:top w:w="0" w:type="dxa"/>
          <w:left w:w="108" w:type="dxa"/>
          <w:bottom w:w="0" w:type="dxa"/>
          <w:right w:w="108" w:type="dxa"/>
        </w:tblCellMar>
      </w:tblPr>
      <w:tblGrid>
        <w:gridCol w:w="757"/>
        <w:gridCol w:w="577"/>
        <w:gridCol w:w="3175"/>
        <w:gridCol w:w="711"/>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Layout w:type="fixed"/>
          <w:tblCellMar>
            <w:top w:w="0" w:type="dxa"/>
            <w:left w:w="108" w:type="dxa"/>
            <w:bottom w:w="0" w:type="dxa"/>
            <w:right w:w="108" w:type="dxa"/>
          </w:tblCellMar>
        </w:tblPrEx>
        <w:trPr>
          <w:trHeight w:val="405" w:hRule="atLeast"/>
        </w:trPr>
        <w:tc>
          <w:tcPr>
            <w:tcW w:w="4509"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编制单位：呼图壁县农牧业技术推广中心</w:t>
            </w:r>
          </w:p>
        </w:tc>
        <w:tc>
          <w:tcPr>
            <w:tcW w:w="711"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Layout w:type="fixed"/>
          <w:tblCellMar>
            <w:top w:w="0" w:type="dxa"/>
            <w:left w:w="108" w:type="dxa"/>
            <w:bottom w:w="0" w:type="dxa"/>
            <w:right w:w="108" w:type="dxa"/>
          </w:tblCellMar>
        </w:tblPrEx>
        <w:trPr>
          <w:trHeight w:val="374" w:hRule="atLeast"/>
        </w:trPr>
        <w:tc>
          <w:tcPr>
            <w:tcW w:w="4509"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819"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31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417"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3175"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417"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工资福利支出</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640.97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640.97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01</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基本工资</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189.33</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189.33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02</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津贴补贴</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49.50</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49.50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奖金</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124.83</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124.83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07</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绩效工资</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104.02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104.02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机关事业单位基本养老保险缴费</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69.06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69.06</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10</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职工基本医疗保险缴费</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34.53</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34.53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11</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公务员医疗补助缴费</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9.50</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9.50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12</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其他社会保障缴费</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4.08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4.08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13</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住房公积金</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56.12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56.12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商品和服务支出</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16.19</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16.19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01　</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办公费</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3.00</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3.00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05　</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水费</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0.06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0.06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06　</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电费</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0.50</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0.50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　</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邮电费</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0.80</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0.80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11　</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差旅费</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0.92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0.92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17　</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公务接待费</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0.49</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0.49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28　</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工会经费</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8.32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8.32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31　</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公务用车运行维护费</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2.10</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2.10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对个人和家庭的补助</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25.07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25.07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02</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退休费</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23.76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23.76</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09</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奖励金</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1.28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1.28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99</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ascii="宋体" w:hAnsi="宋体" w:cs="宋体"/>
                <w:kern w:val="0"/>
                <w:sz w:val="20"/>
                <w:szCs w:val="20"/>
              </w:rPr>
              <w:t>其他对个人和家庭的补助</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0.04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ascii="宋体" w:hAnsi="宋体" w:cs="宋体"/>
                <w:kern w:val="0"/>
                <w:sz w:val="20"/>
                <w:szCs w:val="20"/>
              </w:rPr>
              <w:t>0.04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417"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682.22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666.04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16.19</w:t>
            </w: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表7</w:t>
      </w:r>
    </w:p>
    <w:tbl>
      <w:tblPr>
        <w:tblStyle w:val="5"/>
        <w:tblW w:w="11199" w:type="dxa"/>
        <w:tblInd w:w="-1026" w:type="dxa"/>
        <w:tblLayout w:type="fixed"/>
        <w:tblCellMar>
          <w:top w:w="0" w:type="dxa"/>
          <w:left w:w="108" w:type="dxa"/>
          <w:bottom w:w="0" w:type="dxa"/>
          <w:right w:w="108" w:type="dxa"/>
        </w:tblCellMar>
      </w:tblPr>
      <w:tblGrid>
        <w:gridCol w:w="567"/>
        <w:gridCol w:w="114"/>
        <w:gridCol w:w="311"/>
        <w:gridCol w:w="568"/>
        <w:gridCol w:w="1134"/>
        <w:gridCol w:w="2126"/>
        <w:gridCol w:w="404"/>
        <w:gridCol w:w="446"/>
        <w:gridCol w:w="426"/>
        <w:gridCol w:w="850"/>
        <w:gridCol w:w="567"/>
        <w:gridCol w:w="189"/>
        <w:gridCol w:w="236"/>
        <w:gridCol w:w="709"/>
        <w:gridCol w:w="425"/>
        <w:gridCol w:w="709"/>
        <w:gridCol w:w="373"/>
        <w:gridCol w:w="52"/>
        <w:gridCol w:w="567"/>
        <w:gridCol w:w="426"/>
      </w:tblGrid>
      <w:tr>
        <w:tblPrEx>
          <w:tblLayout w:type="fixed"/>
          <w:tblCellMar>
            <w:top w:w="0" w:type="dxa"/>
            <w:left w:w="108" w:type="dxa"/>
            <w:bottom w:w="0" w:type="dxa"/>
            <w:right w:w="108" w:type="dxa"/>
          </w:tblCellMar>
        </w:tblPrEx>
        <w:trPr>
          <w:gridBefore w:val="2"/>
          <w:gridAfter w:val="3"/>
          <w:wBefore w:w="681" w:type="dxa"/>
          <w:wAfter w:w="1045" w:type="dxa"/>
          <w:trHeight w:val="375" w:hRule="atLeast"/>
        </w:trPr>
        <w:tc>
          <w:tcPr>
            <w:tcW w:w="9473" w:type="dxa"/>
            <w:gridSpan w:val="15"/>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Layout w:type="fixed"/>
          <w:tblCellMar>
            <w:top w:w="0" w:type="dxa"/>
            <w:left w:w="108" w:type="dxa"/>
            <w:bottom w:w="0" w:type="dxa"/>
            <w:right w:w="108" w:type="dxa"/>
          </w:tblCellMar>
        </w:tblPrEx>
        <w:trPr>
          <w:gridBefore w:val="2"/>
          <w:gridAfter w:val="3"/>
          <w:wBefore w:w="681" w:type="dxa"/>
          <w:wAfter w:w="1045" w:type="dxa"/>
          <w:trHeight w:val="405" w:hRule="atLeast"/>
        </w:trPr>
        <w:tc>
          <w:tcPr>
            <w:tcW w:w="4543" w:type="dxa"/>
            <w:gridSpan w:val="5"/>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cs="宋体"/>
                <w:spacing w:val="1"/>
                <w:w w:val="96"/>
                <w:kern w:val="0"/>
                <w:sz w:val="24"/>
                <w:fitText w:val="3000" w:id="1646799987"/>
              </w:rPr>
              <w:t>呼图壁县农牧业技术推广中心</w:t>
            </w:r>
          </w:p>
        </w:tc>
        <w:tc>
          <w:tcPr>
            <w:tcW w:w="1722" w:type="dxa"/>
            <w:gridSpan w:val="3"/>
            <w:tcBorders>
              <w:top w:val="nil"/>
              <w:left w:val="nil"/>
              <w:bottom w:val="nil"/>
              <w:right w:val="nil"/>
            </w:tcBorders>
            <w:vAlign w:val="center"/>
          </w:tcPr>
          <w:p>
            <w:pPr>
              <w:widowControl/>
              <w:jc w:val="left"/>
              <w:rPr>
                <w:rFonts w:ascii="仿宋_GB2312" w:hAnsi="宋体" w:eastAsia="仿宋_GB2312" w:cs="宋体"/>
                <w:kern w:val="0"/>
                <w:sz w:val="24"/>
              </w:rPr>
            </w:pPr>
          </w:p>
        </w:tc>
        <w:tc>
          <w:tcPr>
            <w:tcW w:w="756"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52" w:type="dxa"/>
            <w:gridSpan w:val="5"/>
            <w:tcBorders>
              <w:top w:val="nil"/>
              <w:left w:val="nil"/>
              <w:bottom w:val="nil"/>
              <w:right w:val="nil"/>
            </w:tcBorders>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560"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1134"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2126"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850"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426"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5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567"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425"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70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2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70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25"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567"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26"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6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25"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568"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1134"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2126"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50"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6"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5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67"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5"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0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0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5"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67"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6"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567" w:type="dxa"/>
            <w:tcBorders>
              <w:bottom w:val="single" w:color="auto" w:sz="4" w:space="0"/>
            </w:tcBorders>
            <w:vAlign w:val="center"/>
          </w:tcPr>
          <w:p>
            <w:pPr>
              <w:widowControl/>
              <w:jc w:val="left"/>
              <w:rPr>
                <w:rFonts w:hint="default" w:ascii="仿宋_GB2312" w:hAnsi="宋体" w:eastAsia="仿宋_GB2312"/>
                <w:b/>
                <w:kern w:val="0"/>
                <w:sz w:val="20"/>
                <w:szCs w:val="20"/>
                <w:lang w:val="en-US" w:eastAsia="zh-CN"/>
              </w:rPr>
            </w:pPr>
            <w:r>
              <w:rPr>
                <w:rFonts w:hint="eastAsia" w:ascii="宋体" w:hAnsi="宋体" w:cs="宋体"/>
                <w:kern w:val="0"/>
                <w:sz w:val="20"/>
                <w:szCs w:val="20"/>
              </w:rPr>
              <w:t>213</w:t>
            </w:r>
          </w:p>
        </w:tc>
        <w:tc>
          <w:tcPr>
            <w:tcW w:w="425" w:type="dxa"/>
            <w:gridSpan w:val="2"/>
            <w:tcBorders>
              <w:bottom w:val="single" w:color="auto" w:sz="4" w:space="0"/>
            </w:tcBorders>
            <w:vAlign w:val="center"/>
          </w:tcPr>
          <w:p>
            <w:pPr>
              <w:widowControl/>
              <w:jc w:val="left"/>
              <w:rPr>
                <w:rFonts w:hint="eastAsia" w:ascii="仿宋_GB2312" w:hAnsi="宋体" w:eastAsia="仿宋_GB2312"/>
                <w:b/>
                <w:kern w:val="0"/>
                <w:sz w:val="20"/>
                <w:szCs w:val="20"/>
              </w:rPr>
            </w:pPr>
          </w:p>
        </w:tc>
        <w:tc>
          <w:tcPr>
            <w:tcW w:w="568" w:type="dxa"/>
            <w:tcBorders>
              <w:bottom w:val="single" w:color="auto" w:sz="4" w:space="0"/>
            </w:tcBorders>
            <w:vAlign w:val="center"/>
          </w:tcPr>
          <w:p>
            <w:pPr>
              <w:widowControl/>
              <w:jc w:val="left"/>
              <w:rPr>
                <w:rFonts w:hint="eastAsia" w:ascii="仿宋_GB2312" w:hAnsi="宋体" w:eastAsia="仿宋_GB2312"/>
                <w:b/>
                <w:kern w:val="0"/>
                <w:sz w:val="20"/>
                <w:szCs w:val="20"/>
              </w:rPr>
            </w:pPr>
          </w:p>
        </w:tc>
        <w:tc>
          <w:tcPr>
            <w:tcW w:w="1134" w:type="dxa"/>
            <w:tcBorders>
              <w:bottom w:val="single" w:color="auto" w:sz="4" w:space="0"/>
            </w:tcBorders>
            <w:vAlign w:val="center"/>
          </w:tcPr>
          <w:p>
            <w:pPr>
              <w:rPr>
                <w:rFonts w:ascii="仿宋_GB2312" w:hAnsi="宋体" w:eastAsia="仿宋_GB2312"/>
                <w:b/>
                <w:kern w:val="0"/>
                <w:sz w:val="20"/>
                <w:szCs w:val="20"/>
              </w:rPr>
            </w:pPr>
            <w:r>
              <w:rPr>
                <w:rFonts w:hint="eastAsia"/>
                <w:sz w:val="22"/>
                <w:szCs w:val="22"/>
              </w:rPr>
              <w:t>农林水支出</w:t>
            </w:r>
          </w:p>
        </w:tc>
        <w:tc>
          <w:tcPr>
            <w:tcW w:w="2126" w:type="dxa"/>
            <w:tcBorders>
              <w:bottom w:val="single" w:color="auto" w:sz="4" w:space="0"/>
            </w:tcBorders>
            <w:vAlign w:val="center"/>
          </w:tcPr>
          <w:p>
            <w:pPr>
              <w:rPr>
                <w:rFonts w:ascii="仿宋_GB2312" w:hAnsi="宋体" w:eastAsia="仿宋_GB2312"/>
                <w:b/>
                <w:kern w:val="0"/>
                <w:sz w:val="20"/>
                <w:szCs w:val="20"/>
              </w:rPr>
            </w:pPr>
          </w:p>
        </w:tc>
        <w:tc>
          <w:tcPr>
            <w:tcW w:w="850" w:type="dxa"/>
            <w:gridSpan w:val="2"/>
            <w:tcBorders>
              <w:bottom w:val="single" w:color="auto" w:sz="4" w:space="0"/>
            </w:tcBorders>
            <w:vAlign w:val="center"/>
          </w:tcPr>
          <w:p>
            <w:pPr>
              <w:jc w:val="center"/>
              <w:rPr>
                <w:rFonts w:ascii="仿宋_GB2312" w:hAnsi="宋体" w:eastAsia="仿宋_GB2312"/>
                <w:b/>
                <w:kern w:val="0"/>
                <w:sz w:val="20"/>
                <w:szCs w:val="20"/>
              </w:rPr>
            </w:pPr>
            <w:r>
              <w:rPr>
                <w:rFonts w:ascii="Calibri" w:hAnsi="Calibri" w:cs="Calibri"/>
                <w:color w:val="000000"/>
                <w:sz w:val="22"/>
                <w:szCs w:val="22"/>
              </w:rPr>
              <w:t>126.00</w:t>
            </w:r>
          </w:p>
        </w:tc>
        <w:tc>
          <w:tcPr>
            <w:tcW w:w="426" w:type="dxa"/>
            <w:tcBorders>
              <w:bottom w:val="single" w:color="auto" w:sz="4" w:space="0"/>
            </w:tcBorders>
            <w:vAlign w:val="center"/>
          </w:tcPr>
          <w:p>
            <w:pPr>
              <w:jc w:val="center"/>
              <w:rPr>
                <w:rFonts w:ascii="仿宋_GB2312" w:hAnsi="宋体" w:eastAsia="仿宋_GB2312"/>
                <w:b/>
                <w:kern w:val="0"/>
                <w:sz w:val="20"/>
                <w:szCs w:val="20"/>
              </w:rPr>
            </w:pPr>
          </w:p>
        </w:tc>
        <w:tc>
          <w:tcPr>
            <w:tcW w:w="850" w:type="dxa"/>
            <w:tcBorders>
              <w:bottom w:val="single" w:color="auto" w:sz="4" w:space="0"/>
            </w:tcBorders>
            <w:vAlign w:val="center"/>
          </w:tcPr>
          <w:p>
            <w:pPr>
              <w:jc w:val="center"/>
              <w:rPr>
                <w:rFonts w:ascii="仿宋_GB2312" w:hAnsi="宋体" w:eastAsia="仿宋_GB2312"/>
                <w:b/>
                <w:kern w:val="0"/>
                <w:sz w:val="20"/>
                <w:szCs w:val="20"/>
              </w:rPr>
            </w:pPr>
            <w:r>
              <w:rPr>
                <w:rFonts w:ascii="Calibri" w:hAnsi="Calibri" w:cs="Calibri"/>
                <w:color w:val="000000"/>
                <w:sz w:val="22"/>
                <w:szCs w:val="22"/>
              </w:rPr>
              <w:t>126.00</w:t>
            </w:r>
          </w:p>
        </w:tc>
        <w:tc>
          <w:tcPr>
            <w:tcW w:w="567" w:type="dxa"/>
            <w:tcBorders>
              <w:bottom w:val="single" w:color="auto" w:sz="4" w:space="0"/>
            </w:tcBorders>
          </w:tcPr>
          <w:p>
            <w:pPr>
              <w:widowControl/>
              <w:jc w:val="left"/>
              <w:outlineLvl w:val="1"/>
              <w:rPr>
                <w:rFonts w:ascii="仿宋_GB2312" w:hAnsi="宋体" w:eastAsia="仿宋_GB2312"/>
                <w:b/>
                <w:kern w:val="0"/>
                <w:sz w:val="20"/>
                <w:szCs w:val="20"/>
              </w:rPr>
            </w:pPr>
          </w:p>
        </w:tc>
        <w:tc>
          <w:tcPr>
            <w:tcW w:w="425" w:type="dxa"/>
            <w:gridSpan w:val="2"/>
            <w:tcBorders>
              <w:bottom w:val="single" w:color="auto" w:sz="4" w:space="0"/>
            </w:tcBorders>
          </w:tcPr>
          <w:p>
            <w:pPr>
              <w:widowControl/>
              <w:jc w:val="left"/>
              <w:outlineLvl w:val="1"/>
              <w:rPr>
                <w:rFonts w:ascii="仿宋_GB2312" w:hAnsi="宋体" w:eastAsia="仿宋_GB2312"/>
                <w:b/>
                <w:kern w:val="0"/>
                <w:sz w:val="20"/>
                <w:szCs w:val="20"/>
              </w:rPr>
            </w:pPr>
          </w:p>
        </w:tc>
        <w:tc>
          <w:tcPr>
            <w:tcW w:w="709" w:type="dxa"/>
            <w:tcBorders>
              <w:bottom w:val="single" w:color="auto" w:sz="4" w:space="0"/>
            </w:tcBorders>
          </w:tcPr>
          <w:p>
            <w:pPr>
              <w:widowControl/>
              <w:jc w:val="left"/>
              <w:outlineLvl w:val="1"/>
              <w:rPr>
                <w:rFonts w:ascii="仿宋_GB2312" w:hAnsi="宋体" w:eastAsia="仿宋_GB2312"/>
                <w:b/>
                <w:kern w:val="0"/>
                <w:sz w:val="20"/>
                <w:szCs w:val="20"/>
              </w:rPr>
            </w:pPr>
          </w:p>
        </w:tc>
        <w:tc>
          <w:tcPr>
            <w:tcW w:w="425" w:type="dxa"/>
            <w:tcBorders>
              <w:bottom w:val="single" w:color="auto" w:sz="4" w:space="0"/>
            </w:tcBorders>
          </w:tcPr>
          <w:p>
            <w:pPr>
              <w:widowControl/>
              <w:jc w:val="left"/>
              <w:outlineLvl w:val="1"/>
              <w:rPr>
                <w:rFonts w:ascii="仿宋_GB2312" w:hAnsi="宋体" w:eastAsia="仿宋_GB2312"/>
                <w:b/>
                <w:kern w:val="0"/>
                <w:sz w:val="20"/>
                <w:szCs w:val="20"/>
              </w:rPr>
            </w:pPr>
          </w:p>
        </w:tc>
        <w:tc>
          <w:tcPr>
            <w:tcW w:w="709" w:type="dxa"/>
            <w:tcBorders>
              <w:bottom w:val="single" w:color="auto" w:sz="4" w:space="0"/>
            </w:tcBorders>
          </w:tcPr>
          <w:p>
            <w:pPr>
              <w:widowControl/>
              <w:jc w:val="left"/>
              <w:outlineLvl w:val="1"/>
              <w:rPr>
                <w:rFonts w:ascii="仿宋_GB2312" w:hAnsi="宋体" w:eastAsia="仿宋_GB2312"/>
                <w:b/>
                <w:kern w:val="0"/>
                <w:sz w:val="20"/>
                <w:szCs w:val="20"/>
              </w:rPr>
            </w:pPr>
          </w:p>
        </w:tc>
        <w:tc>
          <w:tcPr>
            <w:tcW w:w="425" w:type="dxa"/>
            <w:gridSpan w:val="2"/>
            <w:tcBorders>
              <w:bottom w:val="single" w:color="auto" w:sz="4" w:space="0"/>
            </w:tcBorders>
          </w:tcPr>
          <w:p>
            <w:pPr>
              <w:widowControl/>
              <w:jc w:val="left"/>
              <w:outlineLvl w:val="1"/>
              <w:rPr>
                <w:rFonts w:ascii="仿宋_GB2312" w:hAnsi="宋体" w:eastAsia="仿宋_GB2312"/>
                <w:b/>
                <w:kern w:val="0"/>
                <w:sz w:val="20"/>
                <w:szCs w:val="20"/>
              </w:rPr>
            </w:pPr>
          </w:p>
        </w:tc>
        <w:tc>
          <w:tcPr>
            <w:tcW w:w="567" w:type="dxa"/>
            <w:tcBorders>
              <w:bottom w:val="single" w:color="auto" w:sz="4" w:space="0"/>
            </w:tcBorders>
          </w:tcPr>
          <w:p>
            <w:pPr>
              <w:widowControl/>
              <w:jc w:val="left"/>
              <w:outlineLvl w:val="1"/>
              <w:rPr>
                <w:rFonts w:ascii="仿宋_GB2312" w:hAnsi="宋体" w:eastAsia="仿宋_GB2312"/>
                <w:b/>
                <w:kern w:val="0"/>
                <w:sz w:val="20"/>
                <w:szCs w:val="20"/>
              </w:rPr>
            </w:pPr>
          </w:p>
        </w:tc>
        <w:tc>
          <w:tcPr>
            <w:tcW w:w="426" w:type="dxa"/>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7" w:type="dxa"/>
            <w:vAlign w:val="center"/>
          </w:tcPr>
          <w:p>
            <w:pPr>
              <w:widowControl/>
              <w:jc w:val="left"/>
              <w:rPr>
                <w:rFonts w:ascii="宋体" w:hAnsi="宋体" w:cs="宋体"/>
                <w:kern w:val="0"/>
                <w:sz w:val="20"/>
                <w:szCs w:val="20"/>
              </w:rPr>
            </w:pPr>
            <w:r>
              <w:rPr>
                <w:rFonts w:hint="eastAsia" w:ascii="宋体" w:hAnsi="宋体" w:cs="宋体"/>
                <w:kern w:val="0"/>
                <w:sz w:val="20"/>
                <w:szCs w:val="20"/>
              </w:rPr>
              <w:t>213</w:t>
            </w:r>
          </w:p>
        </w:tc>
        <w:tc>
          <w:tcPr>
            <w:tcW w:w="425" w:type="dxa"/>
            <w:gridSpan w:val="2"/>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568" w:type="dxa"/>
            <w:vAlign w:val="center"/>
          </w:tcPr>
          <w:p>
            <w:pPr>
              <w:widowControl/>
              <w:jc w:val="left"/>
              <w:rPr>
                <w:rFonts w:ascii="宋体" w:hAnsi="宋体" w:cs="宋体"/>
                <w:kern w:val="0"/>
                <w:sz w:val="20"/>
                <w:szCs w:val="20"/>
              </w:rPr>
            </w:pPr>
          </w:p>
        </w:tc>
        <w:tc>
          <w:tcPr>
            <w:tcW w:w="1134" w:type="dxa"/>
            <w:vAlign w:val="center"/>
          </w:tcPr>
          <w:p>
            <w:pPr>
              <w:rPr>
                <w:rFonts w:ascii="宋体" w:hAnsi="宋体" w:cs="宋体"/>
                <w:sz w:val="22"/>
                <w:szCs w:val="22"/>
              </w:rPr>
            </w:pPr>
            <w:r>
              <w:rPr>
                <w:rFonts w:hint="eastAsia"/>
                <w:sz w:val="22"/>
                <w:szCs w:val="22"/>
              </w:rPr>
              <w:t>农业农村</w:t>
            </w:r>
          </w:p>
        </w:tc>
        <w:tc>
          <w:tcPr>
            <w:tcW w:w="2126" w:type="dxa"/>
            <w:vAlign w:val="center"/>
          </w:tcPr>
          <w:p>
            <w:pPr>
              <w:rPr>
                <w:rFonts w:ascii="宋体" w:hAnsi="宋体" w:cs="宋体"/>
                <w:sz w:val="22"/>
                <w:szCs w:val="22"/>
              </w:rPr>
            </w:pPr>
          </w:p>
        </w:tc>
        <w:tc>
          <w:tcPr>
            <w:tcW w:w="850" w:type="dxa"/>
            <w:gridSpan w:val="2"/>
            <w:vAlign w:val="center"/>
          </w:tcPr>
          <w:p>
            <w:pPr>
              <w:jc w:val="center"/>
              <w:rPr>
                <w:rFonts w:ascii="Calibri" w:hAnsi="Calibri" w:cs="Calibri"/>
                <w:color w:val="000000"/>
                <w:sz w:val="22"/>
                <w:szCs w:val="22"/>
              </w:rPr>
            </w:pPr>
            <w:r>
              <w:rPr>
                <w:rFonts w:ascii="Calibri" w:hAnsi="Calibri" w:cs="Calibri"/>
                <w:color w:val="000000"/>
                <w:sz w:val="22"/>
                <w:szCs w:val="22"/>
              </w:rPr>
              <w:t>126.00</w:t>
            </w:r>
          </w:p>
        </w:tc>
        <w:tc>
          <w:tcPr>
            <w:tcW w:w="426" w:type="dxa"/>
            <w:vAlign w:val="center"/>
          </w:tcPr>
          <w:p>
            <w:pPr>
              <w:jc w:val="center"/>
              <w:rPr>
                <w:rFonts w:ascii="Calibri" w:hAnsi="Calibri" w:cs="Calibri"/>
                <w:color w:val="000000"/>
                <w:sz w:val="22"/>
                <w:szCs w:val="22"/>
              </w:rPr>
            </w:pPr>
          </w:p>
        </w:tc>
        <w:tc>
          <w:tcPr>
            <w:tcW w:w="850" w:type="dxa"/>
            <w:vAlign w:val="center"/>
          </w:tcPr>
          <w:p>
            <w:pPr>
              <w:jc w:val="center"/>
              <w:rPr>
                <w:rFonts w:ascii="Calibri" w:hAnsi="Calibri" w:cs="Calibri"/>
                <w:color w:val="000000"/>
                <w:sz w:val="22"/>
                <w:szCs w:val="22"/>
              </w:rPr>
            </w:pPr>
            <w:r>
              <w:rPr>
                <w:rFonts w:ascii="Calibri" w:hAnsi="Calibri" w:cs="Calibri"/>
                <w:color w:val="000000"/>
                <w:sz w:val="22"/>
                <w:szCs w:val="22"/>
              </w:rPr>
              <w:t>126.00</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7" w:type="dxa"/>
            <w:vAlign w:val="center"/>
          </w:tcPr>
          <w:p>
            <w:pPr>
              <w:widowControl/>
              <w:jc w:val="left"/>
              <w:rPr>
                <w:rFonts w:ascii="宋体" w:hAnsi="宋体" w:cs="宋体"/>
                <w:kern w:val="0"/>
                <w:sz w:val="20"/>
                <w:szCs w:val="20"/>
              </w:rPr>
            </w:pPr>
            <w:r>
              <w:rPr>
                <w:rFonts w:hint="eastAsia" w:ascii="宋体" w:hAnsi="宋体" w:cs="宋体"/>
                <w:kern w:val="0"/>
                <w:sz w:val="20"/>
                <w:szCs w:val="20"/>
              </w:rPr>
              <w:t>213</w:t>
            </w:r>
          </w:p>
        </w:tc>
        <w:tc>
          <w:tcPr>
            <w:tcW w:w="425" w:type="dxa"/>
            <w:gridSpan w:val="2"/>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568" w:type="dxa"/>
            <w:vAlign w:val="center"/>
          </w:tcPr>
          <w:p>
            <w:pPr>
              <w:widowControl/>
              <w:jc w:val="left"/>
              <w:rPr>
                <w:rFonts w:ascii="宋体" w:hAnsi="宋体" w:cs="宋体"/>
                <w:kern w:val="0"/>
                <w:sz w:val="20"/>
                <w:szCs w:val="20"/>
              </w:rPr>
            </w:pPr>
            <w:r>
              <w:rPr>
                <w:rFonts w:hint="eastAsia" w:ascii="宋体" w:hAnsi="宋体" w:cs="宋体"/>
                <w:kern w:val="0"/>
                <w:sz w:val="20"/>
                <w:szCs w:val="20"/>
              </w:rPr>
              <w:t>04</w:t>
            </w:r>
          </w:p>
        </w:tc>
        <w:tc>
          <w:tcPr>
            <w:tcW w:w="1134" w:type="dxa"/>
            <w:vAlign w:val="center"/>
          </w:tcPr>
          <w:p>
            <w:pPr>
              <w:rPr>
                <w:rFonts w:hint="default" w:ascii="宋体" w:hAnsi="宋体" w:eastAsia="宋体" w:cs="宋体"/>
                <w:sz w:val="22"/>
                <w:szCs w:val="22"/>
                <w:lang w:val="en-US" w:eastAsia="zh-CN"/>
              </w:rPr>
            </w:pPr>
            <w:r>
              <w:rPr>
                <w:rFonts w:hint="eastAsia"/>
                <w:sz w:val="22"/>
                <w:szCs w:val="22"/>
                <w:lang w:val="en-US" w:eastAsia="zh-CN"/>
              </w:rPr>
              <w:t>事业运行</w:t>
            </w:r>
          </w:p>
        </w:tc>
        <w:tc>
          <w:tcPr>
            <w:tcW w:w="2126" w:type="dxa"/>
            <w:vAlign w:val="center"/>
          </w:tcPr>
          <w:p>
            <w:pPr>
              <w:rPr>
                <w:rFonts w:ascii="宋体" w:hAnsi="宋体" w:cs="宋体"/>
                <w:sz w:val="22"/>
                <w:szCs w:val="22"/>
              </w:rPr>
            </w:pPr>
          </w:p>
        </w:tc>
        <w:tc>
          <w:tcPr>
            <w:tcW w:w="850" w:type="dxa"/>
            <w:gridSpan w:val="2"/>
            <w:vAlign w:val="center"/>
          </w:tcPr>
          <w:p>
            <w:pPr>
              <w:jc w:val="center"/>
              <w:rPr>
                <w:rFonts w:ascii="Calibri" w:hAnsi="Calibri" w:cs="Calibri"/>
                <w:color w:val="000000"/>
                <w:sz w:val="22"/>
                <w:szCs w:val="22"/>
              </w:rPr>
            </w:pPr>
            <w:r>
              <w:rPr>
                <w:rFonts w:ascii="Calibri" w:hAnsi="Calibri" w:cs="Calibri"/>
                <w:color w:val="000000"/>
                <w:sz w:val="22"/>
                <w:szCs w:val="22"/>
              </w:rPr>
              <w:t>126.00</w:t>
            </w:r>
          </w:p>
        </w:tc>
        <w:tc>
          <w:tcPr>
            <w:tcW w:w="426" w:type="dxa"/>
            <w:vAlign w:val="center"/>
          </w:tcPr>
          <w:p>
            <w:pPr>
              <w:jc w:val="center"/>
              <w:rPr>
                <w:rFonts w:ascii="Calibri" w:hAnsi="Calibri" w:cs="Calibri"/>
                <w:color w:val="000000"/>
                <w:sz w:val="22"/>
                <w:szCs w:val="22"/>
              </w:rPr>
            </w:pPr>
          </w:p>
        </w:tc>
        <w:tc>
          <w:tcPr>
            <w:tcW w:w="850" w:type="dxa"/>
            <w:vAlign w:val="center"/>
          </w:tcPr>
          <w:p>
            <w:pPr>
              <w:jc w:val="center"/>
              <w:rPr>
                <w:rFonts w:ascii="Calibri" w:hAnsi="Calibri" w:cs="Calibri"/>
                <w:color w:val="000000"/>
                <w:sz w:val="22"/>
                <w:szCs w:val="22"/>
              </w:rPr>
            </w:pPr>
            <w:r>
              <w:rPr>
                <w:rFonts w:ascii="Calibri" w:hAnsi="Calibri" w:cs="Calibri"/>
                <w:color w:val="000000"/>
                <w:sz w:val="22"/>
                <w:szCs w:val="22"/>
              </w:rPr>
              <w:t>126.00</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7" w:type="dxa"/>
            <w:vAlign w:val="center"/>
          </w:tcPr>
          <w:p>
            <w:pPr>
              <w:widowControl/>
              <w:jc w:val="left"/>
              <w:rPr>
                <w:rFonts w:ascii="宋体" w:hAnsi="宋体" w:cs="宋体"/>
                <w:kern w:val="0"/>
                <w:sz w:val="20"/>
                <w:szCs w:val="20"/>
              </w:rPr>
            </w:pPr>
            <w:r>
              <w:rPr>
                <w:rFonts w:hint="eastAsia" w:ascii="宋体" w:hAnsi="宋体" w:cs="宋体"/>
                <w:kern w:val="0"/>
                <w:sz w:val="20"/>
                <w:szCs w:val="20"/>
              </w:rPr>
              <w:t>213</w:t>
            </w:r>
          </w:p>
        </w:tc>
        <w:tc>
          <w:tcPr>
            <w:tcW w:w="425" w:type="dxa"/>
            <w:gridSpan w:val="2"/>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568" w:type="dxa"/>
            <w:vAlign w:val="center"/>
          </w:tcPr>
          <w:p>
            <w:pPr>
              <w:widowControl/>
              <w:jc w:val="left"/>
              <w:rPr>
                <w:rFonts w:ascii="宋体" w:hAnsi="宋体" w:cs="宋体"/>
                <w:kern w:val="0"/>
                <w:sz w:val="20"/>
                <w:szCs w:val="20"/>
              </w:rPr>
            </w:pPr>
            <w:r>
              <w:rPr>
                <w:rFonts w:hint="eastAsia" w:ascii="宋体" w:hAnsi="宋体" w:cs="宋体"/>
                <w:kern w:val="0"/>
                <w:sz w:val="20"/>
                <w:szCs w:val="20"/>
              </w:rPr>
              <w:t>24</w:t>
            </w:r>
          </w:p>
        </w:tc>
        <w:tc>
          <w:tcPr>
            <w:tcW w:w="1134" w:type="dxa"/>
            <w:vAlign w:val="center"/>
          </w:tcPr>
          <w:p>
            <w:pPr>
              <w:rPr>
                <w:rFonts w:ascii="宋体" w:hAnsi="宋体" w:cs="宋体"/>
                <w:sz w:val="22"/>
                <w:szCs w:val="22"/>
              </w:rPr>
            </w:pPr>
            <w:r>
              <w:rPr>
                <w:rFonts w:hint="eastAsia"/>
                <w:sz w:val="22"/>
                <w:szCs w:val="22"/>
              </w:rPr>
              <w:t>农村合作经济</w:t>
            </w:r>
          </w:p>
        </w:tc>
        <w:tc>
          <w:tcPr>
            <w:tcW w:w="2126" w:type="dxa"/>
            <w:vAlign w:val="center"/>
          </w:tcPr>
          <w:p>
            <w:pPr>
              <w:rPr>
                <w:rFonts w:ascii="宋体" w:hAnsi="宋体" w:cs="宋体"/>
                <w:sz w:val="22"/>
                <w:szCs w:val="22"/>
              </w:rPr>
            </w:pPr>
          </w:p>
        </w:tc>
        <w:tc>
          <w:tcPr>
            <w:tcW w:w="850" w:type="dxa"/>
            <w:gridSpan w:val="2"/>
            <w:vAlign w:val="center"/>
          </w:tcPr>
          <w:p>
            <w:pPr>
              <w:jc w:val="center"/>
              <w:rPr>
                <w:rFonts w:ascii="Calibri" w:hAnsi="Calibri" w:cs="Calibri"/>
                <w:color w:val="000000"/>
                <w:sz w:val="22"/>
                <w:szCs w:val="22"/>
              </w:rPr>
            </w:pPr>
            <w:r>
              <w:rPr>
                <w:rFonts w:ascii="Calibri" w:hAnsi="Calibri" w:cs="Calibri"/>
                <w:color w:val="000000"/>
                <w:sz w:val="22"/>
                <w:szCs w:val="22"/>
              </w:rPr>
              <w:t>101.00</w:t>
            </w:r>
          </w:p>
        </w:tc>
        <w:tc>
          <w:tcPr>
            <w:tcW w:w="426" w:type="dxa"/>
            <w:vAlign w:val="center"/>
          </w:tcPr>
          <w:p>
            <w:pPr>
              <w:jc w:val="center"/>
              <w:rPr>
                <w:rFonts w:ascii="Calibri" w:hAnsi="Calibri" w:cs="Calibri"/>
                <w:color w:val="000000"/>
                <w:sz w:val="22"/>
                <w:szCs w:val="22"/>
              </w:rPr>
            </w:pPr>
          </w:p>
        </w:tc>
        <w:tc>
          <w:tcPr>
            <w:tcW w:w="850" w:type="dxa"/>
            <w:vAlign w:val="center"/>
          </w:tcPr>
          <w:p>
            <w:pPr>
              <w:jc w:val="center"/>
              <w:rPr>
                <w:rFonts w:ascii="Calibri" w:hAnsi="Calibri" w:cs="Calibri"/>
                <w:color w:val="000000"/>
                <w:sz w:val="22"/>
                <w:szCs w:val="22"/>
              </w:rPr>
            </w:pPr>
            <w:r>
              <w:rPr>
                <w:rFonts w:ascii="Calibri" w:hAnsi="Calibri" w:cs="Calibri"/>
                <w:color w:val="000000"/>
                <w:sz w:val="22"/>
                <w:szCs w:val="22"/>
              </w:rPr>
              <w:t>101.00</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7" w:type="dxa"/>
            <w:vAlign w:val="center"/>
          </w:tcPr>
          <w:p>
            <w:pPr>
              <w:widowControl/>
              <w:jc w:val="left"/>
              <w:rPr>
                <w:rFonts w:ascii="宋体" w:hAnsi="宋体" w:cs="宋体"/>
                <w:kern w:val="0"/>
                <w:sz w:val="20"/>
                <w:szCs w:val="20"/>
              </w:rPr>
            </w:pPr>
            <w:r>
              <w:rPr>
                <w:rFonts w:hint="eastAsia" w:ascii="宋体" w:hAnsi="宋体" w:cs="宋体"/>
                <w:kern w:val="0"/>
                <w:sz w:val="20"/>
                <w:szCs w:val="20"/>
              </w:rPr>
              <w:t>213</w:t>
            </w:r>
          </w:p>
        </w:tc>
        <w:tc>
          <w:tcPr>
            <w:tcW w:w="425" w:type="dxa"/>
            <w:gridSpan w:val="2"/>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568" w:type="dxa"/>
            <w:vAlign w:val="center"/>
          </w:tcPr>
          <w:p>
            <w:pPr>
              <w:widowControl/>
              <w:jc w:val="left"/>
              <w:rPr>
                <w:rFonts w:ascii="宋体" w:hAnsi="宋体" w:cs="宋体"/>
                <w:kern w:val="0"/>
                <w:sz w:val="20"/>
                <w:szCs w:val="20"/>
              </w:rPr>
            </w:pPr>
            <w:r>
              <w:rPr>
                <w:rFonts w:hint="eastAsia" w:ascii="宋体" w:hAnsi="宋体" w:cs="宋体"/>
                <w:kern w:val="0"/>
                <w:sz w:val="20"/>
                <w:szCs w:val="20"/>
              </w:rPr>
              <w:t>24</w:t>
            </w:r>
          </w:p>
        </w:tc>
        <w:tc>
          <w:tcPr>
            <w:tcW w:w="1134" w:type="dxa"/>
            <w:vAlign w:val="center"/>
          </w:tcPr>
          <w:p>
            <w:pPr>
              <w:rPr>
                <w:rFonts w:ascii="宋体" w:hAnsi="宋体" w:cs="宋体"/>
                <w:sz w:val="22"/>
                <w:szCs w:val="22"/>
              </w:rPr>
            </w:pPr>
            <w:r>
              <w:rPr>
                <w:rFonts w:hint="eastAsia"/>
                <w:sz w:val="22"/>
                <w:szCs w:val="22"/>
              </w:rPr>
              <w:t>农村合作经济</w:t>
            </w:r>
          </w:p>
        </w:tc>
        <w:tc>
          <w:tcPr>
            <w:tcW w:w="2126" w:type="dxa"/>
            <w:vAlign w:val="center"/>
          </w:tcPr>
          <w:p>
            <w:pPr>
              <w:rPr>
                <w:rFonts w:ascii="宋体" w:hAnsi="宋体" w:cs="宋体"/>
                <w:sz w:val="22"/>
                <w:szCs w:val="22"/>
              </w:rPr>
            </w:pPr>
            <w:r>
              <w:rPr>
                <w:rFonts w:hint="eastAsia"/>
                <w:sz w:val="22"/>
                <w:szCs w:val="22"/>
              </w:rPr>
              <w:t>2024年中央农业经营主体能力提升资金-基层农技推广体系改革与建设</w:t>
            </w:r>
          </w:p>
        </w:tc>
        <w:tc>
          <w:tcPr>
            <w:tcW w:w="850" w:type="dxa"/>
            <w:gridSpan w:val="2"/>
            <w:vAlign w:val="center"/>
          </w:tcPr>
          <w:p>
            <w:pPr>
              <w:jc w:val="center"/>
              <w:rPr>
                <w:rFonts w:ascii="Calibri" w:hAnsi="Calibri" w:cs="Calibri"/>
                <w:color w:val="000000"/>
                <w:sz w:val="22"/>
                <w:szCs w:val="22"/>
              </w:rPr>
            </w:pPr>
            <w:r>
              <w:rPr>
                <w:rFonts w:ascii="Calibri" w:hAnsi="Calibri" w:cs="Calibri"/>
                <w:color w:val="000000"/>
                <w:sz w:val="22"/>
                <w:szCs w:val="22"/>
              </w:rPr>
              <w:t>101.00</w:t>
            </w:r>
          </w:p>
        </w:tc>
        <w:tc>
          <w:tcPr>
            <w:tcW w:w="426" w:type="dxa"/>
            <w:vAlign w:val="center"/>
          </w:tcPr>
          <w:p>
            <w:pPr>
              <w:jc w:val="center"/>
              <w:rPr>
                <w:rFonts w:ascii="Calibri" w:hAnsi="Calibri" w:cs="Calibri"/>
                <w:color w:val="000000"/>
                <w:sz w:val="22"/>
                <w:szCs w:val="22"/>
              </w:rPr>
            </w:pPr>
          </w:p>
        </w:tc>
        <w:tc>
          <w:tcPr>
            <w:tcW w:w="850" w:type="dxa"/>
            <w:vAlign w:val="center"/>
          </w:tcPr>
          <w:p>
            <w:pPr>
              <w:jc w:val="center"/>
              <w:rPr>
                <w:rFonts w:ascii="Calibri" w:hAnsi="Calibri" w:cs="Calibri"/>
                <w:color w:val="000000"/>
                <w:sz w:val="22"/>
                <w:szCs w:val="22"/>
              </w:rPr>
            </w:pPr>
            <w:r>
              <w:rPr>
                <w:rFonts w:ascii="Calibri" w:hAnsi="Calibri" w:cs="Calibri"/>
                <w:color w:val="000000"/>
                <w:sz w:val="22"/>
                <w:szCs w:val="22"/>
              </w:rPr>
              <w:t>101.00</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7" w:type="dxa"/>
            <w:vAlign w:val="center"/>
          </w:tcPr>
          <w:p>
            <w:pPr>
              <w:widowControl/>
              <w:jc w:val="left"/>
              <w:rPr>
                <w:rFonts w:ascii="宋体" w:hAnsi="宋体" w:cs="宋体"/>
                <w:kern w:val="0"/>
                <w:sz w:val="20"/>
                <w:szCs w:val="20"/>
              </w:rPr>
            </w:pPr>
            <w:r>
              <w:rPr>
                <w:rFonts w:hint="eastAsia" w:ascii="宋体" w:hAnsi="宋体" w:cs="宋体"/>
                <w:kern w:val="0"/>
                <w:sz w:val="20"/>
                <w:szCs w:val="20"/>
              </w:rPr>
              <w:t>213</w:t>
            </w:r>
          </w:p>
        </w:tc>
        <w:tc>
          <w:tcPr>
            <w:tcW w:w="425" w:type="dxa"/>
            <w:gridSpan w:val="2"/>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568" w:type="dxa"/>
            <w:vAlign w:val="center"/>
          </w:tcPr>
          <w:p>
            <w:pPr>
              <w:widowControl/>
              <w:jc w:val="left"/>
              <w:rPr>
                <w:rFonts w:ascii="宋体" w:hAnsi="宋体" w:cs="宋体"/>
                <w:kern w:val="0"/>
                <w:sz w:val="20"/>
                <w:szCs w:val="20"/>
              </w:rPr>
            </w:pPr>
            <w:r>
              <w:rPr>
                <w:rFonts w:hint="eastAsia" w:ascii="宋体" w:hAnsi="宋体" w:cs="宋体"/>
                <w:kern w:val="0"/>
                <w:sz w:val="20"/>
                <w:szCs w:val="20"/>
              </w:rPr>
              <w:t>99</w:t>
            </w:r>
          </w:p>
        </w:tc>
        <w:tc>
          <w:tcPr>
            <w:tcW w:w="1134" w:type="dxa"/>
            <w:vAlign w:val="center"/>
          </w:tcPr>
          <w:p>
            <w:pPr>
              <w:rPr>
                <w:rFonts w:ascii="宋体" w:hAnsi="宋体" w:cs="宋体"/>
                <w:sz w:val="22"/>
                <w:szCs w:val="22"/>
              </w:rPr>
            </w:pPr>
            <w:r>
              <w:rPr>
                <w:rFonts w:hint="eastAsia"/>
                <w:sz w:val="22"/>
                <w:szCs w:val="22"/>
              </w:rPr>
              <w:t>其他农业农村支出</w:t>
            </w:r>
          </w:p>
        </w:tc>
        <w:tc>
          <w:tcPr>
            <w:tcW w:w="2126" w:type="dxa"/>
            <w:vAlign w:val="center"/>
          </w:tcPr>
          <w:p>
            <w:pPr>
              <w:rPr>
                <w:rFonts w:ascii="宋体" w:hAnsi="宋体" w:cs="宋体"/>
                <w:sz w:val="22"/>
                <w:szCs w:val="22"/>
              </w:rPr>
            </w:pPr>
          </w:p>
        </w:tc>
        <w:tc>
          <w:tcPr>
            <w:tcW w:w="850" w:type="dxa"/>
            <w:gridSpan w:val="2"/>
            <w:vAlign w:val="center"/>
          </w:tcPr>
          <w:p>
            <w:pPr>
              <w:jc w:val="center"/>
              <w:rPr>
                <w:rFonts w:ascii="Calibri" w:hAnsi="Calibri" w:cs="Calibri"/>
                <w:color w:val="000000"/>
                <w:sz w:val="22"/>
                <w:szCs w:val="22"/>
              </w:rPr>
            </w:pPr>
            <w:r>
              <w:rPr>
                <w:rFonts w:ascii="Calibri" w:hAnsi="Calibri" w:cs="Calibri"/>
                <w:color w:val="000000"/>
                <w:sz w:val="22"/>
                <w:szCs w:val="22"/>
              </w:rPr>
              <w:t>25.00</w:t>
            </w:r>
          </w:p>
        </w:tc>
        <w:tc>
          <w:tcPr>
            <w:tcW w:w="426" w:type="dxa"/>
            <w:vAlign w:val="center"/>
          </w:tcPr>
          <w:p>
            <w:pPr>
              <w:jc w:val="center"/>
              <w:rPr>
                <w:rFonts w:ascii="Calibri" w:hAnsi="Calibri" w:cs="Calibri"/>
                <w:color w:val="000000"/>
                <w:sz w:val="22"/>
                <w:szCs w:val="22"/>
              </w:rPr>
            </w:pPr>
          </w:p>
        </w:tc>
        <w:tc>
          <w:tcPr>
            <w:tcW w:w="850" w:type="dxa"/>
            <w:vAlign w:val="center"/>
          </w:tcPr>
          <w:p>
            <w:pPr>
              <w:jc w:val="center"/>
              <w:rPr>
                <w:rFonts w:ascii="Calibri" w:hAnsi="Calibri" w:cs="Calibri"/>
                <w:color w:val="000000"/>
                <w:sz w:val="22"/>
                <w:szCs w:val="22"/>
              </w:rPr>
            </w:pPr>
            <w:r>
              <w:rPr>
                <w:rFonts w:ascii="Calibri" w:hAnsi="Calibri" w:cs="Calibri"/>
                <w:color w:val="000000"/>
                <w:sz w:val="22"/>
                <w:szCs w:val="22"/>
              </w:rPr>
              <w:t>25.00</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7" w:type="dxa"/>
            <w:vAlign w:val="center"/>
          </w:tcPr>
          <w:p>
            <w:pPr>
              <w:widowControl/>
              <w:jc w:val="left"/>
              <w:rPr>
                <w:rFonts w:ascii="宋体" w:hAnsi="宋体" w:cs="宋体"/>
                <w:kern w:val="0"/>
                <w:sz w:val="20"/>
                <w:szCs w:val="20"/>
              </w:rPr>
            </w:pPr>
            <w:r>
              <w:rPr>
                <w:rFonts w:hint="eastAsia" w:ascii="宋体" w:hAnsi="宋体" w:cs="宋体"/>
                <w:kern w:val="0"/>
                <w:sz w:val="20"/>
                <w:szCs w:val="20"/>
              </w:rPr>
              <w:t>213</w:t>
            </w:r>
          </w:p>
        </w:tc>
        <w:tc>
          <w:tcPr>
            <w:tcW w:w="425" w:type="dxa"/>
            <w:gridSpan w:val="2"/>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568" w:type="dxa"/>
            <w:vAlign w:val="center"/>
          </w:tcPr>
          <w:p>
            <w:pPr>
              <w:widowControl/>
              <w:jc w:val="left"/>
              <w:rPr>
                <w:rFonts w:ascii="宋体" w:hAnsi="宋体" w:cs="宋体"/>
                <w:kern w:val="0"/>
                <w:sz w:val="20"/>
                <w:szCs w:val="20"/>
              </w:rPr>
            </w:pPr>
            <w:r>
              <w:rPr>
                <w:rFonts w:hint="eastAsia" w:ascii="宋体" w:hAnsi="宋体" w:cs="宋体"/>
                <w:kern w:val="0"/>
                <w:sz w:val="20"/>
                <w:szCs w:val="20"/>
              </w:rPr>
              <w:t>99</w:t>
            </w:r>
          </w:p>
        </w:tc>
        <w:tc>
          <w:tcPr>
            <w:tcW w:w="1134" w:type="dxa"/>
            <w:vAlign w:val="center"/>
          </w:tcPr>
          <w:p>
            <w:pPr>
              <w:rPr>
                <w:rFonts w:ascii="宋体" w:hAnsi="宋体" w:cs="宋体"/>
                <w:sz w:val="22"/>
                <w:szCs w:val="22"/>
              </w:rPr>
            </w:pPr>
            <w:r>
              <w:rPr>
                <w:rFonts w:hint="eastAsia"/>
                <w:sz w:val="22"/>
                <w:szCs w:val="22"/>
              </w:rPr>
              <w:t>其他农业农村支出</w:t>
            </w:r>
          </w:p>
        </w:tc>
        <w:tc>
          <w:tcPr>
            <w:tcW w:w="2126" w:type="dxa"/>
            <w:vAlign w:val="center"/>
          </w:tcPr>
          <w:p>
            <w:pPr>
              <w:rPr>
                <w:rFonts w:ascii="宋体" w:hAnsi="宋体" w:cs="宋体"/>
                <w:sz w:val="22"/>
                <w:szCs w:val="22"/>
              </w:rPr>
            </w:pPr>
            <w:r>
              <w:rPr>
                <w:rFonts w:hint="eastAsia"/>
                <w:sz w:val="22"/>
                <w:szCs w:val="22"/>
              </w:rPr>
              <w:t>昌州财行【2023】28号-2023年度州级重点人才项目经费</w:t>
            </w:r>
          </w:p>
        </w:tc>
        <w:tc>
          <w:tcPr>
            <w:tcW w:w="850" w:type="dxa"/>
            <w:gridSpan w:val="2"/>
            <w:vAlign w:val="center"/>
          </w:tcPr>
          <w:p>
            <w:pPr>
              <w:jc w:val="center"/>
              <w:rPr>
                <w:rFonts w:ascii="Calibri" w:hAnsi="Calibri" w:cs="Calibri"/>
                <w:color w:val="000000"/>
                <w:sz w:val="22"/>
                <w:szCs w:val="22"/>
              </w:rPr>
            </w:pPr>
            <w:r>
              <w:rPr>
                <w:rFonts w:ascii="Calibri" w:hAnsi="Calibri" w:cs="Calibri"/>
                <w:color w:val="000000"/>
                <w:sz w:val="22"/>
                <w:szCs w:val="22"/>
              </w:rPr>
              <w:t>25.00</w:t>
            </w:r>
          </w:p>
        </w:tc>
        <w:tc>
          <w:tcPr>
            <w:tcW w:w="426" w:type="dxa"/>
            <w:vAlign w:val="center"/>
          </w:tcPr>
          <w:p>
            <w:pPr>
              <w:jc w:val="center"/>
              <w:rPr>
                <w:rFonts w:ascii="Calibri" w:hAnsi="Calibri" w:cs="Calibri"/>
                <w:color w:val="000000"/>
                <w:sz w:val="22"/>
                <w:szCs w:val="22"/>
              </w:rPr>
            </w:pPr>
          </w:p>
        </w:tc>
        <w:tc>
          <w:tcPr>
            <w:tcW w:w="850" w:type="dxa"/>
            <w:vAlign w:val="center"/>
          </w:tcPr>
          <w:p>
            <w:pPr>
              <w:jc w:val="center"/>
              <w:rPr>
                <w:rFonts w:ascii="Calibri" w:hAnsi="Calibri" w:cs="Calibri"/>
                <w:color w:val="000000"/>
                <w:sz w:val="22"/>
                <w:szCs w:val="22"/>
              </w:rPr>
            </w:pPr>
            <w:r>
              <w:rPr>
                <w:rFonts w:ascii="Calibri" w:hAnsi="Calibri" w:cs="Calibri"/>
                <w:color w:val="000000"/>
                <w:sz w:val="22"/>
                <w:szCs w:val="22"/>
              </w:rPr>
              <w:t>25.00</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134"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212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0" w:type="dxa"/>
            <w:gridSpan w:val="2"/>
            <w:vAlign w:val="center"/>
          </w:tcPr>
          <w:p>
            <w:pPr>
              <w:widowControl/>
              <w:jc w:val="center"/>
              <w:outlineLvl w:val="1"/>
              <w:rPr>
                <w:rFonts w:ascii="仿宋_GB2312" w:hAnsi="宋体" w:eastAsia="仿宋_GB2312"/>
                <w:kern w:val="0"/>
                <w:sz w:val="32"/>
                <w:szCs w:val="32"/>
              </w:rPr>
            </w:pPr>
          </w:p>
        </w:tc>
        <w:tc>
          <w:tcPr>
            <w:tcW w:w="426" w:type="dxa"/>
            <w:vAlign w:val="center"/>
          </w:tcPr>
          <w:p>
            <w:pPr>
              <w:widowControl/>
              <w:jc w:val="center"/>
              <w:outlineLvl w:val="1"/>
              <w:rPr>
                <w:rFonts w:ascii="仿宋_GB2312" w:hAnsi="宋体" w:eastAsia="仿宋_GB2312"/>
                <w:kern w:val="0"/>
                <w:sz w:val="32"/>
                <w:szCs w:val="32"/>
              </w:rPr>
            </w:pPr>
          </w:p>
        </w:tc>
        <w:tc>
          <w:tcPr>
            <w:tcW w:w="850" w:type="dxa"/>
            <w:vAlign w:val="center"/>
          </w:tcPr>
          <w:p>
            <w:pPr>
              <w:widowControl/>
              <w:jc w:val="center"/>
              <w:outlineLvl w:val="1"/>
              <w:rPr>
                <w:rFonts w:ascii="仿宋_GB2312" w:hAnsi="宋体" w:eastAsia="仿宋_GB2312"/>
                <w:kern w:val="0"/>
                <w:sz w:val="32"/>
                <w:szCs w:val="32"/>
              </w:rPr>
            </w:pP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134"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212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0" w:type="dxa"/>
            <w:gridSpan w:val="2"/>
            <w:vAlign w:val="center"/>
          </w:tcPr>
          <w:p>
            <w:pPr>
              <w:widowControl/>
              <w:jc w:val="center"/>
              <w:outlineLvl w:val="1"/>
              <w:rPr>
                <w:rFonts w:ascii="仿宋_GB2312" w:hAnsi="宋体" w:eastAsia="仿宋_GB2312"/>
                <w:kern w:val="0"/>
                <w:sz w:val="32"/>
                <w:szCs w:val="32"/>
              </w:rPr>
            </w:pPr>
          </w:p>
        </w:tc>
        <w:tc>
          <w:tcPr>
            <w:tcW w:w="426" w:type="dxa"/>
            <w:vAlign w:val="center"/>
          </w:tcPr>
          <w:p>
            <w:pPr>
              <w:widowControl/>
              <w:jc w:val="center"/>
              <w:outlineLvl w:val="1"/>
              <w:rPr>
                <w:rFonts w:ascii="仿宋_GB2312" w:hAnsi="宋体" w:eastAsia="仿宋_GB2312"/>
                <w:kern w:val="0"/>
                <w:sz w:val="32"/>
                <w:szCs w:val="32"/>
              </w:rPr>
            </w:pPr>
          </w:p>
        </w:tc>
        <w:tc>
          <w:tcPr>
            <w:tcW w:w="850" w:type="dxa"/>
            <w:vAlign w:val="center"/>
          </w:tcPr>
          <w:p>
            <w:pPr>
              <w:widowControl/>
              <w:jc w:val="center"/>
              <w:outlineLvl w:val="1"/>
              <w:rPr>
                <w:rFonts w:ascii="仿宋_GB2312" w:hAnsi="宋体" w:eastAsia="仿宋_GB2312"/>
                <w:kern w:val="0"/>
                <w:sz w:val="32"/>
                <w:szCs w:val="32"/>
              </w:rPr>
            </w:pP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7" w:type="dxa"/>
          </w:tcPr>
          <w:p>
            <w:pPr>
              <w:widowControl/>
              <w:jc w:val="left"/>
              <w:outlineLvl w:val="1"/>
              <w:rPr>
                <w:rFonts w:ascii="仿宋_GB2312" w:hAnsi="宋体" w:eastAsia="仿宋_GB2312"/>
                <w:kern w:val="0"/>
                <w:sz w:val="32"/>
                <w:szCs w:val="32"/>
              </w:rPr>
            </w:pPr>
          </w:p>
        </w:tc>
        <w:tc>
          <w:tcPr>
            <w:tcW w:w="425" w:type="dxa"/>
            <w:gridSpan w:val="2"/>
          </w:tcPr>
          <w:p>
            <w:pPr>
              <w:widowControl/>
              <w:jc w:val="left"/>
              <w:outlineLvl w:val="1"/>
              <w:rPr>
                <w:rFonts w:ascii="仿宋_GB2312" w:hAnsi="宋体" w:eastAsia="仿宋_GB2312"/>
                <w:kern w:val="0"/>
                <w:sz w:val="32"/>
                <w:szCs w:val="32"/>
              </w:rPr>
            </w:pPr>
          </w:p>
        </w:tc>
        <w:tc>
          <w:tcPr>
            <w:tcW w:w="568" w:type="dxa"/>
          </w:tcPr>
          <w:p>
            <w:pPr>
              <w:widowControl/>
              <w:jc w:val="left"/>
              <w:outlineLvl w:val="1"/>
              <w:rPr>
                <w:rFonts w:ascii="仿宋_GB2312" w:hAnsi="宋体" w:eastAsia="仿宋_GB2312"/>
                <w:kern w:val="0"/>
                <w:sz w:val="32"/>
                <w:szCs w:val="32"/>
              </w:rPr>
            </w:pPr>
          </w:p>
        </w:tc>
        <w:tc>
          <w:tcPr>
            <w:tcW w:w="1134" w:type="dxa"/>
          </w:tcPr>
          <w:p>
            <w:pPr>
              <w:widowControl/>
              <w:jc w:val="left"/>
              <w:outlineLvl w:val="1"/>
              <w:rPr>
                <w:rFonts w:ascii="仿宋_GB2312" w:hAnsi="宋体" w:eastAsia="仿宋_GB2312"/>
                <w:kern w:val="0"/>
                <w:sz w:val="32"/>
                <w:szCs w:val="32"/>
              </w:rPr>
            </w:pPr>
          </w:p>
        </w:tc>
        <w:tc>
          <w:tcPr>
            <w:tcW w:w="2126" w:type="dxa"/>
          </w:tcPr>
          <w:p>
            <w:pPr>
              <w:widowControl/>
              <w:jc w:val="left"/>
              <w:outlineLvl w:val="1"/>
              <w:rPr>
                <w:rFonts w:ascii="仿宋_GB2312" w:hAnsi="宋体" w:eastAsia="仿宋_GB2312"/>
                <w:kern w:val="0"/>
                <w:sz w:val="32"/>
                <w:szCs w:val="32"/>
              </w:rPr>
            </w:pPr>
          </w:p>
        </w:tc>
        <w:tc>
          <w:tcPr>
            <w:tcW w:w="850" w:type="dxa"/>
            <w:gridSpan w:val="2"/>
            <w:vAlign w:val="center"/>
          </w:tcPr>
          <w:p>
            <w:pPr>
              <w:widowControl/>
              <w:jc w:val="center"/>
              <w:outlineLvl w:val="1"/>
              <w:rPr>
                <w:rFonts w:ascii="仿宋_GB2312" w:hAnsi="宋体" w:eastAsia="仿宋_GB2312"/>
                <w:kern w:val="0"/>
                <w:sz w:val="32"/>
                <w:szCs w:val="32"/>
              </w:rPr>
            </w:pPr>
          </w:p>
        </w:tc>
        <w:tc>
          <w:tcPr>
            <w:tcW w:w="426" w:type="dxa"/>
            <w:vAlign w:val="center"/>
          </w:tcPr>
          <w:p>
            <w:pPr>
              <w:widowControl/>
              <w:jc w:val="center"/>
              <w:outlineLvl w:val="1"/>
              <w:rPr>
                <w:rFonts w:ascii="仿宋_GB2312" w:hAnsi="宋体" w:eastAsia="仿宋_GB2312"/>
                <w:kern w:val="0"/>
                <w:sz w:val="32"/>
                <w:szCs w:val="32"/>
              </w:rPr>
            </w:pPr>
          </w:p>
        </w:tc>
        <w:tc>
          <w:tcPr>
            <w:tcW w:w="850" w:type="dxa"/>
            <w:vAlign w:val="center"/>
          </w:tcPr>
          <w:p>
            <w:pPr>
              <w:widowControl/>
              <w:jc w:val="center"/>
              <w:outlineLvl w:val="1"/>
              <w:rPr>
                <w:rFonts w:ascii="仿宋_GB2312" w:hAnsi="宋体" w:eastAsia="仿宋_GB2312"/>
                <w:kern w:val="0"/>
                <w:sz w:val="32"/>
                <w:szCs w:val="32"/>
              </w:rPr>
            </w:pPr>
          </w:p>
        </w:tc>
        <w:tc>
          <w:tcPr>
            <w:tcW w:w="567" w:type="dxa"/>
          </w:tcPr>
          <w:p>
            <w:pPr>
              <w:widowControl/>
              <w:jc w:val="left"/>
              <w:outlineLvl w:val="1"/>
              <w:rPr>
                <w:rFonts w:ascii="仿宋_GB2312" w:hAnsi="宋体" w:eastAsia="仿宋_GB2312"/>
                <w:kern w:val="0"/>
                <w:sz w:val="32"/>
                <w:szCs w:val="32"/>
              </w:rPr>
            </w:pPr>
          </w:p>
        </w:tc>
        <w:tc>
          <w:tcPr>
            <w:tcW w:w="425" w:type="dxa"/>
            <w:gridSpan w:val="2"/>
          </w:tcPr>
          <w:p>
            <w:pPr>
              <w:widowControl/>
              <w:jc w:val="left"/>
              <w:outlineLvl w:val="1"/>
              <w:rPr>
                <w:rFonts w:ascii="仿宋_GB2312" w:hAnsi="宋体" w:eastAsia="仿宋_GB2312"/>
                <w:kern w:val="0"/>
                <w:sz w:val="32"/>
                <w:szCs w:val="32"/>
              </w:rPr>
            </w:pPr>
          </w:p>
        </w:tc>
        <w:tc>
          <w:tcPr>
            <w:tcW w:w="709" w:type="dxa"/>
          </w:tcPr>
          <w:p>
            <w:pPr>
              <w:widowControl/>
              <w:jc w:val="left"/>
              <w:outlineLvl w:val="1"/>
              <w:rPr>
                <w:rFonts w:ascii="仿宋_GB2312" w:hAnsi="宋体" w:eastAsia="仿宋_GB2312"/>
                <w:kern w:val="0"/>
                <w:sz w:val="32"/>
                <w:szCs w:val="32"/>
              </w:rPr>
            </w:pPr>
          </w:p>
        </w:tc>
        <w:tc>
          <w:tcPr>
            <w:tcW w:w="425" w:type="dxa"/>
          </w:tcPr>
          <w:p>
            <w:pPr>
              <w:widowControl/>
              <w:jc w:val="left"/>
              <w:outlineLvl w:val="1"/>
              <w:rPr>
                <w:rFonts w:ascii="仿宋_GB2312" w:hAnsi="宋体" w:eastAsia="仿宋_GB2312"/>
                <w:kern w:val="0"/>
                <w:sz w:val="32"/>
                <w:szCs w:val="32"/>
              </w:rPr>
            </w:pPr>
          </w:p>
        </w:tc>
        <w:tc>
          <w:tcPr>
            <w:tcW w:w="709" w:type="dxa"/>
          </w:tcPr>
          <w:p>
            <w:pPr>
              <w:widowControl/>
              <w:jc w:val="left"/>
              <w:outlineLvl w:val="1"/>
              <w:rPr>
                <w:rFonts w:ascii="仿宋_GB2312" w:hAnsi="宋体" w:eastAsia="仿宋_GB2312"/>
                <w:kern w:val="0"/>
                <w:sz w:val="32"/>
                <w:szCs w:val="32"/>
              </w:rPr>
            </w:pPr>
          </w:p>
        </w:tc>
        <w:tc>
          <w:tcPr>
            <w:tcW w:w="425" w:type="dxa"/>
            <w:gridSpan w:val="2"/>
          </w:tcPr>
          <w:p>
            <w:pPr>
              <w:widowControl/>
              <w:jc w:val="left"/>
              <w:outlineLvl w:val="1"/>
              <w:rPr>
                <w:rFonts w:ascii="仿宋_GB2312" w:hAnsi="宋体" w:eastAsia="仿宋_GB2312"/>
                <w:kern w:val="0"/>
                <w:sz w:val="32"/>
                <w:szCs w:val="32"/>
              </w:rPr>
            </w:pPr>
          </w:p>
        </w:tc>
        <w:tc>
          <w:tcPr>
            <w:tcW w:w="567" w:type="dxa"/>
          </w:tcPr>
          <w:p>
            <w:pPr>
              <w:widowControl/>
              <w:jc w:val="left"/>
              <w:outlineLvl w:val="1"/>
              <w:rPr>
                <w:rFonts w:ascii="仿宋_GB2312" w:hAnsi="宋体" w:eastAsia="仿宋_GB2312"/>
                <w:kern w:val="0"/>
                <w:sz w:val="32"/>
                <w:szCs w:val="32"/>
              </w:rPr>
            </w:pPr>
          </w:p>
        </w:tc>
        <w:tc>
          <w:tcPr>
            <w:tcW w:w="426" w:type="dxa"/>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134"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212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0" w:type="dxa"/>
            <w:gridSpan w:val="2"/>
            <w:vAlign w:val="center"/>
          </w:tcPr>
          <w:p>
            <w:pPr>
              <w:widowControl/>
              <w:jc w:val="center"/>
              <w:outlineLvl w:val="1"/>
              <w:rPr>
                <w:rFonts w:ascii="仿宋_GB2312" w:hAnsi="宋体" w:eastAsia="仿宋_GB2312"/>
                <w:kern w:val="0"/>
                <w:sz w:val="32"/>
                <w:szCs w:val="32"/>
              </w:rPr>
            </w:pPr>
          </w:p>
        </w:tc>
        <w:tc>
          <w:tcPr>
            <w:tcW w:w="426" w:type="dxa"/>
            <w:vAlign w:val="center"/>
          </w:tcPr>
          <w:p>
            <w:pPr>
              <w:widowControl/>
              <w:jc w:val="center"/>
              <w:outlineLvl w:val="1"/>
              <w:rPr>
                <w:rFonts w:ascii="仿宋_GB2312" w:hAnsi="宋体" w:eastAsia="仿宋_GB2312"/>
                <w:kern w:val="0"/>
                <w:sz w:val="32"/>
                <w:szCs w:val="32"/>
              </w:rPr>
            </w:pPr>
          </w:p>
        </w:tc>
        <w:tc>
          <w:tcPr>
            <w:tcW w:w="850" w:type="dxa"/>
            <w:vAlign w:val="center"/>
          </w:tcPr>
          <w:p>
            <w:pPr>
              <w:widowControl/>
              <w:jc w:val="center"/>
              <w:outlineLvl w:val="1"/>
              <w:rPr>
                <w:rFonts w:ascii="仿宋_GB2312" w:hAnsi="宋体" w:eastAsia="仿宋_GB2312"/>
                <w:kern w:val="0"/>
                <w:sz w:val="32"/>
                <w:szCs w:val="32"/>
              </w:rPr>
            </w:pP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134"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2126"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850" w:type="dxa"/>
            <w:gridSpan w:val="2"/>
            <w:vAlign w:val="center"/>
          </w:tcPr>
          <w:p>
            <w:pPr>
              <w:jc w:val="center"/>
              <w:rPr>
                <w:rFonts w:ascii="Calibri" w:hAnsi="Calibri" w:cs="Calibri"/>
                <w:color w:val="000000"/>
                <w:sz w:val="22"/>
                <w:szCs w:val="22"/>
              </w:rPr>
            </w:pPr>
            <w:r>
              <w:rPr>
                <w:rFonts w:ascii="Calibri" w:hAnsi="Calibri" w:cs="Calibri"/>
                <w:color w:val="000000"/>
                <w:sz w:val="22"/>
                <w:szCs w:val="22"/>
              </w:rPr>
              <w:t>126.00</w:t>
            </w:r>
          </w:p>
        </w:tc>
        <w:tc>
          <w:tcPr>
            <w:tcW w:w="426" w:type="dxa"/>
            <w:vAlign w:val="center"/>
          </w:tcPr>
          <w:p>
            <w:pPr>
              <w:jc w:val="center"/>
              <w:rPr>
                <w:rFonts w:ascii="Calibri" w:hAnsi="Calibri" w:cs="Calibri"/>
                <w:color w:val="000000"/>
                <w:sz w:val="22"/>
                <w:szCs w:val="22"/>
              </w:rPr>
            </w:pPr>
          </w:p>
        </w:tc>
        <w:tc>
          <w:tcPr>
            <w:tcW w:w="850" w:type="dxa"/>
            <w:vAlign w:val="center"/>
          </w:tcPr>
          <w:p>
            <w:pPr>
              <w:jc w:val="center"/>
              <w:rPr>
                <w:rFonts w:ascii="Calibri" w:hAnsi="Calibri" w:cs="Calibri"/>
                <w:color w:val="000000"/>
                <w:sz w:val="22"/>
                <w:szCs w:val="22"/>
              </w:rPr>
            </w:pPr>
            <w:r>
              <w:rPr>
                <w:rFonts w:ascii="Calibri" w:hAnsi="Calibri" w:cs="Calibri"/>
                <w:color w:val="000000"/>
                <w:sz w:val="22"/>
                <w:szCs w:val="22"/>
              </w:rPr>
              <w:t>126.00</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0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编制单位：呼图壁县农牧业技术推广中心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备注：本单位2024年没有政府性基金支出预算，此表为空表。</w:t>
      </w:r>
    </w:p>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r>
        <w:rPr>
          <w:rFonts w:hint="eastAsia" w:ascii="宋体" w:hAnsi="宋体" w:cs="宋体"/>
          <w:kern w:val="0"/>
          <w:sz w:val="20"/>
          <w:szCs w:val="20"/>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编制单位：呼图壁县农牧业技术推广中心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备注：本单位2024年没有国有资本经营支出预算，此表为空表。</w:t>
      </w:r>
    </w:p>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编制单位：呼图壁县农牧业技术推广中心                         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4530" w:type="dxa"/>
            <w:gridSpan w:val="3"/>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rPr>
            </w:pPr>
          </w:p>
        </w:tc>
        <w:tc>
          <w:tcPr>
            <w:tcW w:w="1215" w:type="dxa"/>
            <w:vMerge w:val="continue"/>
          </w:tcPr>
          <w:p>
            <w:pPr>
              <w:widowControl/>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595"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2.59</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2.59</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0.49</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0.49</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2.10</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2.10</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2.10</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2.10</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bl>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rPr>
          <w:rFonts w:ascii="仿宋" w:hAnsi="仿宋" w:eastAsia="仿宋" w:cs="仿宋_GB2312"/>
          <w:bCs/>
          <w:kern w:val="0"/>
          <w:sz w:val="28"/>
          <w:szCs w:val="28"/>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pPr>
        <w:spacing w:line="600" w:lineRule="exact"/>
        <w:ind w:firstLine="2520" w:firstLineChars="900"/>
        <w:rPr>
          <w:rFonts w:ascii="仿宋" w:hAnsi="仿宋" w:eastAsia="仿宋" w:cs="仿宋_GB2312"/>
          <w:bCs/>
          <w:kern w:val="0"/>
          <w:sz w:val="28"/>
          <w:szCs w:val="28"/>
        </w:rPr>
      </w:pPr>
      <w:r>
        <w:rPr>
          <w:rFonts w:hint="eastAsia" w:ascii="仿宋" w:hAnsi="仿宋" w:eastAsia="仿宋" w:cs="仿宋_GB2312"/>
          <w:bCs/>
          <w:kern w:val="0"/>
          <w:sz w:val="28"/>
          <w:szCs w:val="28"/>
        </w:rPr>
        <w:t>上年结转结余情况明细表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089"/>
        <w:gridCol w:w="993"/>
        <w:gridCol w:w="712"/>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1089"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630"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1089" w:type="dxa"/>
            <w:vMerge w:val="continue"/>
            <w:vAlign w:val="center"/>
          </w:tcPr>
          <w:p>
            <w:pPr>
              <w:spacing w:line="600" w:lineRule="exact"/>
              <w:jc w:val="center"/>
              <w:rPr>
                <w:rFonts w:ascii="仿宋" w:hAnsi="仿宋" w:eastAsia="仿宋" w:cs="仿宋_GB2312"/>
                <w:bCs/>
                <w:kern w:val="0"/>
                <w:sz w:val="28"/>
                <w:szCs w:val="28"/>
              </w:rPr>
            </w:pPr>
          </w:p>
        </w:tc>
        <w:tc>
          <w:tcPr>
            <w:tcW w:w="993"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426"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1089" w:type="dxa"/>
            <w:vMerge w:val="continue"/>
            <w:vAlign w:val="center"/>
          </w:tcPr>
          <w:p>
            <w:pPr>
              <w:spacing w:line="600" w:lineRule="exact"/>
              <w:jc w:val="center"/>
              <w:rPr>
                <w:rFonts w:ascii="仿宋" w:hAnsi="仿宋" w:eastAsia="仿宋" w:cs="仿宋_GB2312"/>
                <w:bCs/>
                <w:kern w:val="0"/>
                <w:sz w:val="28"/>
                <w:szCs w:val="28"/>
              </w:rPr>
            </w:pPr>
          </w:p>
        </w:tc>
        <w:tc>
          <w:tcPr>
            <w:tcW w:w="993" w:type="dxa"/>
            <w:vMerge w:val="continue"/>
            <w:vAlign w:val="center"/>
          </w:tcPr>
          <w:p>
            <w:pPr>
              <w:spacing w:line="600" w:lineRule="exact"/>
              <w:jc w:val="center"/>
              <w:rPr>
                <w:rFonts w:ascii="仿宋" w:hAnsi="仿宋" w:eastAsia="仿宋" w:cs="仿宋_GB2312"/>
                <w:bCs/>
                <w:kern w:val="0"/>
                <w:sz w:val="28"/>
                <w:szCs w:val="28"/>
              </w:rPr>
            </w:pPr>
          </w:p>
        </w:tc>
        <w:tc>
          <w:tcPr>
            <w:tcW w:w="712"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rPr>
                <w:rFonts w:ascii="仿宋" w:hAnsi="仿宋" w:eastAsia="仿宋" w:cs="仿宋_GB2312"/>
                <w:bCs/>
                <w:kern w:val="0"/>
                <w:sz w:val="28"/>
                <w:szCs w:val="28"/>
              </w:rPr>
            </w:pPr>
            <w:r>
              <w:rPr>
                <w:rFonts w:hint="eastAsia"/>
                <w:sz w:val="22"/>
                <w:szCs w:val="22"/>
              </w:rPr>
              <w:t>昌州财行【2023】28号-2023年度州级重点人才项目经费</w:t>
            </w:r>
          </w:p>
        </w:tc>
        <w:tc>
          <w:tcPr>
            <w:tcW w:w="1089"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8"/>
                <w:szCs w:val="28"/>
              </w:rPr>
              <w:t>25.00</w:t>
            </w:r>
          </w:p>
        </w:tc>
        <w:tc>
          <w:tcPr>
            <w:tcW w:w="993"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8"/>
                <w:szCs w:val="28"/>
              </w:rPr>
              <w:t>25.00</w:t>
            </w:r>
          </w:p>
        </w:tc>
        <w:tc>
          <w:tcPr>
            <w:tcW w:w="712"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8"/>
                <w:szCs w:val="28"/>
              </w:rPr>
              <w:t>25.00</w:t>
            </w: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1089" w:type="dxa"/>
            <w:vAlign w:val="center"/>
          </w:tcPr>
          <w:p>
            <w:pPr>
              <w:spacing w:line="600" w:lineRule="exact"/>
              <w:jc w:val="center"/>
              <w:rPr>
                <w:rFonts w:ascii="仿宋" w:hAnsi="仿宋" w:eastAsia="仿宋" w:cs="仿宋_GB2312"/>
                <w:bCs/>
                <w:kern w:val="0"/>
                <w:sz w:val="28"/>
                <w:szCs w:val="28"/>
              </w:rPr>
            </w:pPr>
          </w:p>
        </w:tc>
        <w:tc>
          <w:tcPr>
            <w:tcW w:w="993" w:type="dxa"/>
            <w:vAlign w:val="center"/>
          </w:tcPr>
          <w:p>
            <w:pPr>
              <w:spacing w:line="600" w:lineRule="exact"/>
              <w:jc w:val="center"/>
              <w:rPr>
                <w:rFonts w:ascii="仿宋" w:hAnsi="仿宋" w:eastAsia="仿宋" w:cs="仿宋_GB2312"/>
                <w:bCs/>
                <w:kern w:val="0"/>
                <w:sz w:val="28"/>
                <w:szCs w:val="28"/>
              </w:rPr>
            </w:pPr>
          </w:p>
        </w:tc>
        <w:tc>
          <w:tcPr>
            <w:tcW w:w="712"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1089" w:type="dxa"/>
            <w:vAlign w:val="center"/>
          </w:tcPr>
          <w:p>
            <w:pPr>
              <w:spacing w:line="600" w:lineRule="exact"/>
              <w:jc w:val="center"/>
              <w:rPr>
                <w:rFonts w:ascii="仿宋" w:hAnsi="仿宋" w:eastAsia="仿宋" w:cs="仿宋_GB2312"/>
                <w:bCs/>
                <w:kern w:val="0"/>
                <w:sz w:val="28"/>
                <w:szCs w:val="28"/>
              </w:rPr>
            </w:pPr>
          </w:p>
        </w:tc>
        <w:tc>
          <w:tcPr>
            <w:tcW w:w="993" w:type="dxa"/>
            <w:vAlign w:val="center"/>
          </w:tcPr>
          <w:p>
            <w:pPr>
              <w:spacing w:line="600" w:lineRule="exact"/>
              <w:jc w:val="center"/>
              <w:rPr>
                <w:rFonts w:ascii="仿宋" w:hAnsi="仿宋" w:eastAsia="仿宋" w:cs="仿宋_GB2312"/>
                <w:bCs/>
                <w:kern w:val="0"/>
                <w:sz w:val="28"/>
                <w:szCs w:val="28"/>
              </w:rPr>
            </w:pPr>
          </w:p>
        </w:tc>
        <w:tc>
          <w:tcPr>
            <w:tcW w:w="712"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1089" w:type="dxa"/>
            <w:vAlign w:val="center"/>
          </w:tcPr>
          <w:p>
            <w:pPr>
              <w:spacing w:line="600" w:lineRule="exact"/>
              <w:jc w:val="center"/>
              <w:rPr>
                <w:rFonts w:ascii="仿宋" w:hAnsi="仿宋" w:eastAsia="仿宋" w:cs="仿宋_GB2312"/>
                <w:bCs/>
                <w:kern w:val="0"/>
                <w:sz w:val="28"/>
                <w:szCs w:val="28"/>
              </w:rPr>
            </w:pPr>
          </w:p>
        </w:tc>
        <w:tc>
          <w:tcPr>
            <w:tcW w:w="993" w:type="dxa"/>
            <w:vAlign w:val="center"/>
          </w:tcPr>
          <w:p>
            <w:pPr>
              <w:spacing w:line="600" w:lineRule="exact"/>
              <w:jc w:val="center"/>
              <w:rPr>
                <w:rFonts w:ascii="仿宋" w:hAnsi="仿宋" w:eastAsia="仿宋" w:cs="仿宋_GB2312"/>
                <w:bCs/>
                <w:kern w:val="0"/>
                <w:sz w:val="28"/>
                <w:szCs w:val="28"/>
              </w:rPr>
            </w:pPr>
          </w:p>
        </w:tc>
        <w:tc>
          <w:tcPr>
            <w:tcW w:w="712"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bl>
    <w:p>
      <w:pPr>
        <w:widowControl/>
        <w:spacing w:line="280" w:lineRule="exact"/>
        <w:jc w:val="left"/>
        <w:outlineLvl w:val="1"/>
        <w:rPr>
          <w:rFonts w:ascii="仿宋_GB2312" w:hAnsi="宋体" w:eastAsia="仿宋_GB2312"/>
          <w:kern w:val="0"/>
          <w:sz w:val="32"/>
          <w:szCs w:val="32"/>
        </w:rPr>
      </w:pPr>
    </w:p>
    <w:p>
      <w:pPr>
        <w:widowControl/>
        <w:spacing w:line="280" w:lineRule="exact"/>
        <w:jc w:val="left"/>
        <w:outlineLvl w:val="1"/>
        <w:rPr>
          <w:rFonts w:ascii="仿宋_GB2312" w:hAnsi="宋体" w:eastAsia="仿宋_GB2312"/>
          <w:kern w:val="0"/>
          <w:sz w:val="32"/>
          <w:szCs w:val="32"/>
        </w:rPr>
        <w:sectPr>
          <w:footerReference r:id="rId5" w:type="default"/>
          <w:pgSz w:w="11906" w:h="16838"/>
          <w:pgMar w:top="2098" w:right="1531" w:bottom="1984" w:left="1531" w:header="851" w:footer="992" w:gutter="0"/>
          <w:pgNumType w:fmt="numberInDash" w:start="1"/>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2024年呼图壁县农牧业技术推广中心预算情况说明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一、关于呼图壁县农牧业技术推广中心2024年收支预算情况的总体说明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按照全口径预算的原则，呼图壁县农牧业技术推广中心2024年所有收入和支出均纳入呼图壁县农牧业技术推广中心预算管理。收支总预算1163.22万元。</w:t>
      </w:r>
    </w:p>
    <w:p>
      <w:pPr>
        <w:shd w:val="clea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CN"/>
        </w:rPr>
        <w:t>783.22</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rPr>
        <w:t>、单位资金</w:t>
      </w:r>
      <w:r>
        <w:rPr>
          <w:rFonts w:hint="eastAsia" w:ascii="仿宋_GB2312" w:hAnsi="宋体" w:eastAsia="仿宋_GB2312" w:cs="宋体"/>
          <w:kern w:val="0"/>
          <w:sz w:val="32"/>
          <w:szCs w:val="32"/>
          <w:highlight w:val="none"/>
          <w:lang w:val="en-US" w:eastAsia="zh-CN"/>
        </w:rPr>
        <w:t>355</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rPr>
        <w:t>、财政拨款结转结余</w:t>
      </w:r>
      <w:r>
        <w:rPr>
          <w:rFonts w:hint="eastAsia" w:ascii="仿宋_GB2312" w:hAnsi="宋体" w:eastAsia="仿宋_GB2312" w:cs="宋体"/>
          <w:kern w:val="0"/>
          <w:sz w:val="32"/>
          <w:szCs w:val="32"/>
          <w:highlight w:val="none"/>
          <w:lang w:val="en-US" w:eastAsia="zh-CN"/>
        </w:rPr>
        <w:t>25</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rPr>
        <w:t>。</w:t>
      </w:r>
    </w:p>
    <w:p>
      <w:pPr>
        <w:shd w:val="clear"/>
        <w:spacing w:line="600" w:lineRule="exact"/>
        <w:ind w:firstLine="640" w:firstLineChars="200"/>
        <w:rPr>
          <w:rFonts w:ascii="仿宋_GB2312" w:hAnsi="宋体" w:eastAsia="仿宋_GB2312" w:cs="宋体"/>
          <w:b/>
          <w:color w:val="FF0000"/>
          <w:kern w:val="0"/>
          <w:sz w:val="32"/>
          <w:szCs w:val="32"/>
          <w:highlight w:val="none"/>
        </w:rPr>
      </w:pPr>
      <w:r>
        <w:rPr>
          <w:rFonts w:hint="eastAsia" w:ascii="仿宋_GB2312" w:hAnsi="宋体" w:eastAsia="仿宋_GB2312" w:cs="宋体"/>
          <w:kern w:val="0"/>
          <w:sz w:val="32"/>
          <w:szCs w:val="32"/>
          <w:highlight w:val="none"/>
        </w:rPr>
        <w:t>支出预算包括：社会保障和就业支出</w:t>
      </w:r>
      <w:r>
        <w:rPr>
          <w:rFonts w:hint="eastAsia" w:ascii="仿宋_GB2312" w:hAnsi="宋体" w:eastAsia="仿宋_GB2312" w:cs="宋体"/>
          <w:kern w:val="0"/>
          <w:sz w:val="32"/>
          <w:szCs w:val="32"/>
          <w:highlight w:val="none"/>
          <w:lang w:val="en-US" w:eastAsia="zh-CN"/>
        </w:rPr>
        <w:t>251.1</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val="en-US" w:eastAsia="zh-CN"/>
        </w:rPr>
        <w:t>112.22</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rPr>
        <w:t>、农林水支出</w:t>
      </w:r>
      <w:r>
        <w:rPr>
          <w:rFonts w:hint="eastAsia" w:ascii="仿宋_GB2312" w:hAnsi="宋体" w:eastAsia="仿宋_GB2312" w:cs="宋体"/>
          <w:kern w:val="0"/>
          <w:sz w:val="32"/>
          <w:szCs w:val="32"/>
          <w:highlight w:val="none"/>
          <w:lang w:val="en-US" w:eastAsia="zh-CN"/>
        </w:rPr>
        <w:t>683.78</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rPr>
        <w:t>、住房保障支出</w:t>
      </w:r>
      <w:r>
        <w:rPr>
          <w:rFonts w:hint="eastAsia" w:ascii="仿宋_GB2312" w:hAnsi="宋体" w:eastAsia="仿宋_GB2312" w:cs="宋体"/>
          <w:kern w:val="0"/>
          <w:sz w:val="32"/>
          <w:szCs w:val="32"/>
          <w:highlight w:val="none"/>
          <w:lang w:val="en-US" w:eastAsia="zh-CN"/>
        </w:rPr>
        <w:t>116.12</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二、关于呼图壁县农牧业技术推广中心2024年收入预算情况说明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呼图壁县农牧业技术推广中心收入预算1163.22万元，其中：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一般公共预算783.22万元，占67.33%，比上年预算增加173.19万元，增长28.39%，主要原因是在职人员工资标准调整后工资增加，今年新增一个项目，2024年中央农业经营主体能力提升资金-基层农技推广体系改革与建设101万元；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上级一般公共预算安排的转移支付资金101万元，占8.68%，比上年预算增加101万元，增长100%，主要原因是今年新增一个项目，2024年中央农业经营主体能力提升资金-基层农技推广体系改革与建设101万元；    </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政府性基金预算未安排。    </w:t>
      </w:r>
    </w:p>
    <w:p>
      <w:pPr>
        <w:spacing w:line="60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上级</w:t>
      </w:r>
      <w:r>
        <w:rPr>
          <w:rFonts w:hint="eastAsia" w:ascii="仿宋_GB2312" w:hAnsi="宋体" w:eastAsia="仿宋_GB2312" w:cs="宋体"/>
          <w:kern w:val="0"/>
          <w:sz w:val="32"/>
          <w:szCs w:val="32"/>
        </w:rPr>
        <w:t>政府性基金</w:t>
      </w:r>
      <w:r>
        <w:rPr>
          <w:rFonts w:hint="eastAsia" w:ascii="仿宋_GB2312" w:hAnsi="宋体" w:eastAsia="仿宋_GB2312" w:cs="宋体"/>
          <w:kern w:val="0"/>
          <w:sz w:val="32"/>
          <w:szCs w:val="32"/>
          <w:lang w:val="en-US" w:eastAsia="zh-CN"/>
        </w:rPr>
        <w:t>安排的转移支付资金</w:t>
      </w:r>
      <w:r>
        <w:rPr>
          <w:rFonts w:hint="eastAsia" w:ascii="仿宋_GB2312" w:hAnsi="宋体" w:eastAsia="仿宋_GB2312" w:cs="宋体"/>
          <w:kern w:val="0"/>
          <w:sz w:val="32"/>
          <w:szCs w:val="32"/>
        </w:rPr>
        <w:t>未安排。</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上级</w:t>
      </w:r>
      <w:r>
        <w:rPr>
          <w:rFonts w:hint="eastAsia" w:ascii="仿宋_GB2312" w:hAnsi="宋体" w:eastAsia="仿宋_GB2312" w:cs="宋体"/>
          <w:kern w:val="0"/>
          <w:sz w:val="32"/>
          <w:szCs w:val="32"/>
        </w:rPr>
        <w:t>国有资本经营预算</w:t>
      </w:r>
      <w:r>
        <w:rPr>
          <w:rFonts w:hint="eastAsia" w:ascii="仿宋_GB2312" w:hAnsi="宋体" w:eastAsia="仿宋_GB2312" w:cs="宋体"/>
          <w:kern w:val="0"/>
          <w:sz w:val="32"/>
          <w:szCs w:val="32"/>
          <w:lang w:val="en-US" w:eastAsia="zh-CN"/>
        </w:rPr>
        <w:t>安排的转移支付资金</w:t>
      </w:r>
      <w:r>
        <w:rPr>
          <w:rFonts w:hint="eastAsia" w:ascii="仿宋_GB2312" w:hAnsi="宋体" w:eastAsia="仿宋_GB2312" w:cs="宋体"/>
          <w:kern w:val="0"/>
          <w:sz w:val="32"/>
          <w:szCs w:val="32"/>
        </w:rPr>
        <w:t>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单位资金355万元，占 30.52%，比上年预算增加25.67万元，增长7.79%，主要原因是人员工资增加，社保公积金支出增加；</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财政拨款结转25万元，占2.15%，比上年预算增加25万元，增长100%，主要原因是上年结转结余项目资金，昌州财行【2023】28号-2023年度州级重点人才项目经费25万元。</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三、关于呼图壁县农牧业技术推广中心2024年支出预算情况说明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呼图壁县农牧业技术推广中心2024年支出预算1163.22万元，其中：</w:t>
      </w:r>
    </w:p>
    <w:p>
      <w:pPr>
        <w:spacing w:line="60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基本支出1037.22万元，占89.17%，比上年预算增加427.19万元，增长70.03%，主要原因是今年比上年增加单位资金355万元，上年单位资金在项目支出核算。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项目支出126万元，占10.83%，比上年预算减少203.33万元，下降61.74%，主要原因是上年单位资金在项目支出核算，今年项目资金不包含单位资金。</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四、关于呼图壁县农牧业技术推广中心2024年财政拨款收支预算情况的总体说明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2024年财政拨款收支总预算808.22万元。</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收入预算包括：一般公共预算拨款808.22万元。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w:t>
      </w:r>
      <w:r>
        <w:rPr>
          <w:rFonts w:hint="eastAsia" w:ascii="仿宋_GB2312" w:hAnsi="宋体" w:eastAsia="仿宋_GB2312" w:cs="宋体"/>
          <w:kern w:val="0"/>
          <w:sz w:val="32"/>
          <w:szCs w:val="32"/>
          <w:lang w:val="en-US" w:eastAsia="zh-CN"/>
        </w:rPr>
        <w:t>208-</w:t>
      </w:r>
      <w:r>
        <w:rPr>
          <w:rFonts w:hint="eastAsia" w:ascii="仿宋_GB2312" w:hAnsi="宋体" w:eastAsia="仿宋_GB2312" w:cs="宋体"/>
          <w:kern w:val="0"/>
          <w:sz w:val="32"/>
          <w:szCs w:val="32"/>
          <w:lang w:eastAsia="zh-CN"/>
        </w:rPr>
        <w:t>社会保障和就业支出</w:t>
      </w:r>
      <w:r>
        <w:rPr>
          <w:rFonts w:hint="eastAsia" w:ascii="仿宋_GB2312" w:hAnsi="宋体" w:eastAsia="仿宋_GB2312" w:cs="宋体"/>
          <w:kern w:val="0"/>
          <w:sz w:val="32"/>
          <w:szCs w:val="32"/>
          <w:lang w:val="en-US" w:eastAsia="zh-CN"/>
        </w:rPr>
        <w:t>94.10万元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主要用于缴纳职工养老保险；210-</w:t>
      </w:r>
      <w:r>
        <w:rPr>
          <w:rFonts w:hint="eastAsia" w:ascii="仿宋_GB2312" w:hAnsi="宋体" w:eastAsia="仿宋_GB2312" w:cs="宋体"/>
          <w:kern w:val="0"/>
          <w:sz w:val="32"/>
          <w:szCs w:val="32"/>
          <w:lang w:eastAsia="zh-CN"/>
        </w:rPr>
        <w:t>卫生健康支出</w:t>
      </w:r>
      <w:r>
        <w:rPr>
          <w:rFonts w:hint="eastAsia" w:ascii="仿宋_GB2312" w:hAnsi="宋体" w:eastAsia="仿宋_GB2312" w:cs="宋体"/>
          <w:kern w:val="0"/>
          <w:sz w:val="32"/>
          <w:szCs w:val="32"/>
          <w:lang w:val="en-US" w:eastAsia="zh-CN"/>
        </w:rPr>
        <w:t>44.22万元，主要用于缴纳职工医疗保险；221-住房保障支出56.12万元，</w:t>
      </w:r>
      <w:r>
        <w:rPr>
          <w:rFonts w:hint="eastAsia" w:ascii="仿宋_GB2312" w:hAnsi="宋体" w:eastAsia="仿宋_GB2312" w:cs="宋体"/>
          <w:kern w:val="0"/>
          <w:sz w:val="32"/>
          <w:szCs w:val="32"/>
        </w:rPr>
        <w:t>主要用于</w:t>
      </w:r>
      <w:r>
        <w:rPr>
          <w:rFonts w:hint="eastAsia" w:ascii="仿宋_GB2312" w:hAnsi="仿宋_GB2312" w:eastAsia="仿宋_GB2312" w:cs="仿宋_GB2312"/>
          <w:sz w:val="32"/>
          <w:szCs w:val="32"/>
          <w:lang w:eastAsia="zh-CN"/>
        </w:rPr>
        <w:t>人员</w:t>
      </w:r>
      <w:r>
        <w:rPr>
          <w:rFonts w:hint="eastAsia" w:ascii="仿宋_GB2312" w:hAnsi="仿宋_GB2312" w:eastAsia="仿宋_GB2312" w:cs="仿宋_GB2312"/>
          <w:sz w:val="32"/>
          <w:szCs w:val="32"/>
          <w:lang w:val="en-US" w:eastAsia="zh-CN"/>
        </w:rPr>
        <w:t>住房公积金</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213-</w:t>
      </w:r>
      <w:r>
        <w:rPr>
          <w:rFonts w:hint="eastAsia" w:ascii="仿宋_GB2312" w:hAnsi="仿宋_GB2312" w:eastAsia="仿宋_GB2312" w:cs="仿宋_GB2312"/>
          <w:sz w:val="32"/>
          <w:szCs w:val="32"/>
          <w:lang w:eastAsia="zh-CN"/>
        </w:rPr>
        <w:t>农林水支出</w:t>
      </w:r>
      <w:r>
        <w:rPr>
          <w:rFonts w:hint="eastAsia" w:ascii="仿宋_GB2312" w:hAnsi="仿宋_GB2312" w:eastAsia="仿宋_GB2312" w:cs="仿宋_GB2312"/>
          <w:sz w:val="32"/>
          <w:szCs w:val="32"/>
          <w:lang w:val="en-US" w:eastAsia="zh-CN"/>
        </w:rPr>
        <w:t>613.78</w:t>
      </w:r>
      <w:r>
        <w:rPr>
          <w:rFonts w:hint="eastAsia" w:ascii="仿宋_GB2312" w:hAnsi="仿宋_GB2312" w:eastAsia="仿宋_GB2312" w:cs="仿宋_GB2312"/>
          <w:sz w:val="32"/>
          <w:szCs w:val="32"/>
          <w:lang w:eastAsia="zh-CN"/>
        </w:rPr>
        <w:t>万元，用于人员工资性缴费支出，单位运转经费及项目类支出</w:t>
      </w:r>
      <w:r>
        <w:rPr>
          <w:rFonts w:hint="eastAsia" w:ascii="仿宋_GB2312" w:hAnsi="仿宋_GB2312" w:eastAsia="仿宋_GB2312" w:cs="仿宋_GB2312"/>
          <w:sz w:val="32"/>
          <w:szCs w:val="32"/>
          <w:lang w:val="en-US" w:eastAsia="zh-CN"/>
        </w:rPr>
        <w:t>。</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关于呼图壁县农牧业技术推广中心2024年一般公共预算当年拨款情况说明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rPr>
        <w:t>呼图壁县农牧业技术推广中心2024年一般公共预算拨款合计808.22万元，其中：基本支出68</w:t>
      </w:r>
      <w:r>
        <w:rPr>
          <w:rFonts w:hint="eastAsia" w:ascii="仿宋_GB2312" w:hAnsi="仿宋_GB2312" w:eastAsia="仿宋_GB2312" w:cs="仿宋_GB2312"/>
          <w:kern w:val="0"/>
          <w:sz w:val="32"/>
          <w:szCs w:val="32"/>
          <w:highlight w:val="none"/>
        </w:rPr>
        <w:t>2.22万元，</w:t>
      </w:r>
      <w:r>
        <w:rPr>
          <w:rFonts w:hint="eastAsia" w:ascii="仿宋_GB2312" w:hAnsi="仿宋_GB2312" w:eastAsia="仿宋_GB2312" w:cs="仿宋_GB2312"/>
          <w:kern w:val="0"/>
          <w:sz w:val="32"/>
          <w:szCs w:val="32"/>
          <w:highlight w:val="none"/>
          <w:lang w:eastAsia="zh-CN"/>
        </w:rPr>
        <w:t>占</w:t>
      </w:r>
      <w:r>
        <w:rPr>
          <w:rFonts w:hint="eastAsia" w:ascii="仿宋_GB2312" w:hAnsi="仿宋_GB2312" w:eastAsia="仿宋_GB2312" w:cs="仿宋_GB2312"/>
          <w:kern w:val="0"/>
          <w:sz w:val="32"/>
          <w:szCs w:val="32"/>
          <w:highlight w:val="none"/>
          <w:lang w:val="en-US" w:eastAsia="zh-CN"/>
        </w:rPr>
        <w:t>84.41%，</w:t>
      </w:r>
      <w:r>
        <w:rPr>
          <w:rFonts w:hint="eastAsia" w:ascii="仿宋_GB2312" w:hAnsi="仿宋_GB2312" w:eastAsia="仿宋_GB2312" w:cs="仿宋_GB2312"/>
          <w:kern w:val="0"/>
          <w:sz w:val="32"/>
          <w:szCs w:val="32"/>
          <w:highlight w:val="none"/>
        </w:rPr>
        <w:t>比上年预算增加72.19万元，增长11.83%。主要原因是：</w:t>
      </w:r>
      <w:r>
        <w:rPr>
          <w:rFonts w:hint="eastAsia" w:ascii="仿宋_GB2312" w:hAnsi="宋体" w:eastAsia="仿宋_GB2312" w:cs="宋体"/>
          <w:kern w:val="0"/>
          <w:sz w:val="32"/>
          <w:szCs w:val="32"/>
          <w:highlight w:val="none"/>
        </w:rPr>
        <w:t>在职人员工资标准调整后工资增加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highlight w:val="none"/>
        </w:rPr>
        <w:t>项目支出126万元，</w:t>
      </w:r>
      <w:r>
        <w:rPr>
          <w:rFonts w:hint="eastAsia" w:ascii="仿宋_GB2312" w:hAnsi="仿宋_GB2312" w:eastAsia="仿宋_GB2312" w:cs="仿宋_GB2312"/>
          <w:kern w:val="0"/>
          <w:sz w:val="32"/>
          <w:szCs w:val="32"/>
          <w:highlight w:val="none"/>
          <w:lang w:eastAsia="zh-CN"/>
        </w:rPr>
        <w:t>占</w:t>
      </w:r>
      <w:r>
        <w:rPr>
          <w:rFonts w:hint="eastAsia" w:ascii="仿宋_GB2312" w:hAnsi="仿宋_GB2312" w:eastAsia="仿宋_GB2312" w:cs="仿宋_GB2312"/>
          <w:kern w:val="0"/>
          <w:sz w:val="32"/>
          <w:szCs w:val="32"/>
          <w:highlight w:val="none"/>
          <w:lang w:val="en-US" w:eastAsia="zh-CN"/>
        </w:rPr>
        <w:t>15.59%，</w:t>
      </w:r>
      <w:r>
        <w:rPr>
          <w:rFonts w:hint="eastAsia" w:ascii="仿宋_GB2312" w:hAnsi="仿宋_GB2312" w:eastAsia="仿宋_GB2312" w:cs="仿宋_GB2312"/>
          <w:kern w:val="0"/>
          <w:sz w:val="32"/>
          <w:szCs w:val="32"/>
        </w:rPr>
        <w:t>比上年预算增加126万元，增长100%。主要原因是：</w:t>
      </w:r>
      <w:r>
        <w:rPr>
          <w:rFonts w:hint="eastAsia" w:ascii="仿宋_GB2312" w:hAnsi="宋体" w:eastAsia="仿宋_GB2312" w:cs="宋体"/>
          <w:kern w:val="0"/>
          <w:sz w:val="32"/>
          <w:szCs w:val="32"/>
        </w:rPr>
        <w:t>今年新增一个项目，2024年中央农业经营主体能力提升资金-基层农技推广体系改革与建设101万元，上年没有项目</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1.农林水支出(</w:t>
      </w:r>
      <w:r>
        <w:rPr>
          <w:rFonts w:hint="eastAsia" w:ascii="仿宋_GB2312" w:hAnsi="仿宋_GB2312" w:eastAsia="仿宋_GB2312" w:cs="仿宋_GB2312"/>
          <w:sz w:val="32"/>
          <w:szCs w:val="32"/>
          <w:lang w:val="en-US" w:eastAsia="zh-CN"/>
        </w:rPr>
        <w:t>213</w:t>
      </w:r>
      <w:r>
        <w:rPr>
          <w:rFonts w:hint="eastAsia" w:ascii="仿宋_GB2312" w:hAnsi="仿宋_GB2312" w:eastAsia="仿宋_GB2312" w:cs="仿宋_GB2312"/>
          <w:sz w:val="32"/>
          <w:szCs w:val="32"/>
        </w:rPr>
        <w:t>类)613.78万元，占75.94%。</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w:t>
      </w:r>
      <w:r>
        <w:rPr>
          <w:rFonts w:hint="eastAsia" w:ascii="仿宋_GB2312" w:hAnsi="仿宋_GB2312" w:eastAsia="仿宋_GB2312" w:cs="仿宋_GB2312"/>
          <w:sz w:val="32"/>
          <w:szCs w:val="32"/>
          <w:lang w:val="en-US" w:eastAsia="zh-CN"/>
        </w:rPr>
        <w:t>208</w:t>
      </w:r>
      <w:r>
        <w:rPr>
          <w:rFonts w:hint="eastAsia" w:ascii="仿宋_GB2312" w:hAnsi="仿宋_GB2312" w:eastAsia="仿宋_GB2312" w:cs="仿宋_GB2312"/>
          <w:sz w:val="32"/>
          <w:szCs w:val="32"/>
        </w:rPr>
        <w:t>类)94.10万元，占11.64%。</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3.卫生健康支出（</w:t>
      </w:r>
      <w:r>
        <w:rPr>
          <w:rFonts w:hint="eastAsia" w:ascii="仿宋_GB2312" w:hAnsi="仿宋_GB2312" w:eastAsia="仿宋_GB2312" w:cs="仿宋_GB2312"/>
          <w:sz w:val="32"/>
          <w:szCs w:val="32"/>
          <w:lang w:val="en-US" w:eastAsia="zh-CN"/>
        </w:rPr>
        <w:t>210</w:t>
      </w:r>
      <w:r>
        <w:rPr>
          <w:rFonts w:hint="eastAsia" w:ascii="仿宋_GB2312" w:hAnsi="仿宋_GB2312" w:eastAsia="仿宋_GB2312" w:cs="仿宋_GB2312"/>
          <w:sz w:val="32"/>
          <w:szCs w:val="32"/>
        </w:rPr>
        <w:t>类）44.22万元、占5.47%。</w:t>
      </w:r>
    </w:p>
    <w:p>
      <w:pPr>
        <w:spacing w:line="600" w:lineRule="exact"/>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4.住房保障支出（</w:t>
      </w:r>
      <w:r>
        <w:rPr>
          <w:rFonts w:hint="eastAsia" w:ascii="仿宋_GB2312" w:hAnsi="仿宋_GB2312" w:eastAsia="仿宋_GB2312" w:cs="仿宋_GB2312"/>
          <w:sz w:val="32"/>
          <w:szCs w:val="32"/>
          <w:lang w:val="en-US" w:eastAsia="zh-CN"/>
        </w:rPr>
        <w:t>221</w:t>
      </w:r>
      <w:r>
        <w:rPr>
          <w:rFonts w:hint="eastAsia" w:ascii="仿宋_GB2312" w:hAnsi="仿宋_GB2312" w:eastAsia="仿宋_GB2312" w:cs="仿宋_GB2312"/>
          <w:sz w:val="32"/>
          <w:szCs w:val="32"/>
        </w:rPr>
        <w:t>类）56.12万元，占6.94%。</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 社会保障和就业支出（208</w:t>
      </w:r>
      <w:r>
        <w:rPr>
          <w:rFonts w:hint="eastAsia" w:ascii="仿宋_GB2312" w:hAnsi="仿宋_GB2312" w:eastAsia="仿宋_GB2312" w:cs="仿宋_GB2312"/>
          <w:kern w:val="0"/>
          <w:sz w:val="32"/>
          <w:szCs w:val="32"/>
          <w:lang w:val="en-US" w:eastAsia="zh-CN"/>
        </w:rPr>
        <w:t>类</w:t>
      </w:r>
      <w:r>
        <w:rPr>
          <w:rFonts w:hint="eastAsia" w:ascii="仿宋_GB2312" w:hAnsi="仿宋_GB2312" w:eastAsia="仿宋_GB2312" w:cs="仿宋_GB2312"/>
          <w:kern w:val="0"/>
          <w:sz w:val="32"/>
          <w:szCs w:val="32"/>
        </w:rPr>
        <w:t>）行政事业单位养老支出（05</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）事业单位离退休（02</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rPr>
        <w:t>）：2024 年预算数 25.03万元。比上年预算数增加22.43万元，</w:t>
      </w:r>
      <w:r>
        <w:rPr>
          <w:rFonts w:hint="eastAsia" w:ascii="仿宋_GB2312" w:hAnsi="仿宋_GB2312" w:eastAsia="仿宋_GB2312" w:cs="仿宋_GB2312"/>
          <w:kern w:val="0"/>
          <w:sz w:val="32"/>
          <w:szCs w:val="32"/>
          <w:lang w:eastAsia="zh-CN"/>
        </w:rPr>
        <w:t>增长</w:t>
      </w:r>
      <w:r>
        <w:rPr>
          <w:rFonts w:hint="eastAsia" w:ascii="仿宋_GB2312" w:hAnsi="仿宋_GB2312" w:eastAsia="仿宋_GB2312" w:cs="仿宋_GB2312"/>
          <w:kern w:val="0"/>
          <w:sz w:val="32"/>
          <w:szCs w:val="32"/>
        </w:rPr>
        <w:t>862.69%，主要原因是：本年退休人员社保缴费放入退休费核算，去年在社保缴费核算。</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2.社会保障和就业支出（208</w:t>
      </w:r>
      <w:r>
        <w:rPr>
          <w:rFonts w:hint="eastAsia" w:ascii="仿宋_GB2312" w:hAnsi="仿宋_GB2312" w:eastAsia="仿宋_GB2312" w:cs="仿宋_GB2312"/>
          <w:kern w:val="0"/>
          <w:sz w:val="32"/>
          <w:szCs w:val="32"/>
          <w:lang w:val="en-US" w:eastAsia="zh-CN"/>
        </w:rPr>
        <w:t>类</w:t>
      </w:r>
      <w:r>
        <w:rPr>
          <w:rFonts w:hint="eastAsia" w:ascii="仿宋_GB2312" w:hAnsi="仿宋_GB2312" w:eastAsia="仿宋_GB2312" w:cs="仿宋_GB2312"/>
          <w:kern w:val="0"/>
          <w:sz w:val="32"/>
          <w:szCs w:val="32"/>
        </w:rPr>
        <w:t>）行政事业单位养老支出（05</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）机关事业单位基本养老保险缴费支出（05</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rPr>
        <w:t>）：2024 年预算数69.06万元。比上年预算数</w:t>
      </w:r>
      <w:r>
        <w:rPr>
          <w:rFonts w:hint="eastAsia" w:ascii="仿宋_GB2312" w:hAnsi="仿宋_GB2312" w:eastAsia="仿宋_GB2312" w:cs="仿宋_GB2312"/>
          <w:kern w:val="0"/>
          <w:sz w:val="32"/>
          <w:szCs w:val="32"/>
          <w:lang w:eastAsia="zh-CN"/>
        </w:rPr>
        <w:t>增长</w:t>
      </w:r>
      <w:r>
        <w:rPr>
          <w:rFonts w:hint="eastAsia" w:ascii="仿宋_GB2312" w:hAnsi="仿宋_GB2312" w:eastAsia="仿宋_GB2312" w:cs="仿宋_GB2312"/>
          <w:kern w:val="0"/>
          <w:sz w:val="32"/>
          <w:szCs w:val="32"/>
        </w:rPr>
        <w:t xml:space="preserve"> 7.67万元，</w:t>
      </w:r>
      <w:r>
        <w:rPr>
          <w:rFonts w:hint="eastAsia" w:ascii="仿宋_GB2312" w:hAnsi="仿宋_GB2312" w:eastAsia="仿宋_GB2312" w:cs="仿宋_GB2312"/>
          <w:kern w:val="0"/>
          <w:sz w:val="32"/>
          <w:szCs w:val="32"/>
          <w:lang w:eastAsia="zh-CN"/>
        </w:rPr>
        <w:t>增长</w:t>
      </w:r>
      <w:r>
        <w:rPr>
          <w:rFonts w:hint="eastAsia" w:ascii="仿宋_GB2312" w:hAnsi="仿宋_GB2312" w:eastAsia="仿宋_GB2312" w:cs="仿宋_GB2312"/>
          <w:kern w:val="0"/>
          <w:sz w:val="32"/>
          <w:szCs w:val="32"/>
        </w:rPr>
        <w:t>12.49%，主要原因是：社保基数调整后社保费增加。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 卫生健康支出（210</w:t>
      </w:r>
      <w:r>
        <w:rPr>
          <w:rFonts w:hint="eastAsia" w:ascii="仿宋_GB2312" w:hAnsi="仿宋_GB2312" w:eastAsia="仿宋_GB2312" w:cs="仿宋_GB2312"/>
          <w:kern w:val="0"/>
          <w:sz w:val="32"/>
          <w:szCs w:val="32"/>
          <w:lang w:val="en-US" w:eastAsia="zh-CN"/>
        </w:rPr>
        <w:t>类</w:t>
      </w:r>
      <w:r>
        <w:rPr>
          <w:rFonts w:hint="eastAsia" w:ascii="仿宋_GB2312" w:hAnsi="仿宋_GB2312" w:eastAsia="仿宋_GB2312" w:cs="仿宋_GB2312"/>
          <w:kern w:val="0"/>
          <w:sz w:val="32"/>
          <w:szCs w:val="32"/>
        </w:rPr>
        <w:t>）行政事业单位医疗（11</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 事业单位医疗（02</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rPr>
        <w:t>）：2024年预算数34.53万元，比上年预算数增加34.53万元，</w:t>
      </w:r>
      <w:r>
        <w:rPr>
          <w:rFonts w:hint="eastAsia" w:ascii="仿宋_GB2312" w:hAnsi="仿宋_GB2312" w:eastAsia="仿宋_GB2312" w:cs="仿宋_GB2312"/>
          <w:kern w:val="0"/>
          <w:sz w:val="32"/>
          <w:szCs w:val="32"/>
          <w:lang w:eastAsia="zh-CN"/>
        </w:rPr>
        <w:t>增长</w:t>
      </w:r>
      <w:r>
        <w:rPr>
          <w:rFonts w:hint="eastAsia" w:ascii="仿宋_GB2312" w:hAnsi="仿宋_GB2312" w:eastAsia="仿宋_GB2312" w:cs="仿宋_GB2312"/>
          <w:kern w:val="0"/>
          <w:sz w:val="32"/>
          <w:szCs w:val="32"/>
        </w:rPr>
        <w:t>100%。主要原因是上年未安排该款项。</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4.卫生健康支出（210</w:t>
      </w:r>
      <w:r>
        <w:rPr>
          <w:rFonts w:hint="eastAsia" w:ascii="仿宋_GB2312" w:hAnsi="仿宋_GB2312" w:eastAsia="仿宋_GB2312" w:cs="仿宋_GB2312"/>
          <w:kern w:val="0"/>
          <w:sz w:val="32"/>
          <w:szCs w:val="32"/>
          <w:lang w:val="en-US" w:eastAsia="zh-CN"/>
        </w:rPr>
        <w:t>类</w:t>
      </w:r>
      <w:r>
        <w:rPr>
          <w:rFonts w:hint="eastAsia" w:ascii="仿宋_GB2312" w:hAnsi="仿宋_GB2312" w:eastAsia="仿宋_GB2312" w:cs="仿宋_GB2312"/>
          <w:kern w:val="0"/>
          <w:sz w:val="32"/>
          <w:szCs w:val="32"/>
        </w:rPr>
        <w:t>）行政事业单位医疗（11</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 公务员医疗补助（03</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rPr>
        <w:t>）：2024年预算数 9.50万元，比上年预算数减少3.65万元，下降27.76%。主要原因是：退休人员公务员医疗放入退休费核算。</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.卫生健康支出（210</w:t>
      </w:r>
      <w:r>
        <w:rPr>
          <w:rFonts w:hint="eastAsia" w:ascii="仿宋_GB2312" w:hAnsi="仿宋_GB2312" w:eastAsia="仿宋_GB2312" w:cs="仿宋_GB2312"/>
          <w:kern w:val="0"/>
          <w:sz w:val="32"/>
          <w:szCs w:val="32"/>
          <w:lang w:val="en-US" w:eastAsia="zh-CN"/>
        </w:rPr>
        <w:t>类</w:t>
      </w:r>
      <w:r>
        <w:rPr>
          <w:rFonts w:hint="eastAsia" w:ascii="仿宋_GB2312" w:hAnsi="仿宋_GB2312" w:eastAsia="仿宋_GB2312" w:cs="仿宋_GB2312"/>
          <w:kern w:val="0"/>
          <w:sz w:val="32"/>
          <w:szCs w:val="32"/>
        </w:rPr>
        <w:t>）行政事业单位医疗（11</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 其他行政事业单位医疗支出（</w:t>
      </w:r>
      <w:r>
        <w:rPr>
          <w:rFonts w:hint="eastAsia" w:ascii="仿宋_GB2312" w:hAnsi="仿宋_GB2312" w:eastAsia="仿宋_GB2312" w:cs="仿宋_GB2312"/>
          <w:kern w:val="0"/>
          <w:sz w:val="32"/>
          <w:szCs w:val="32"/>
          <w:lang w:val="en-US" w:eastAsia="zh-CN"/>
        </w:rPr>
        <w:t>99项</w:t>
      </w:r>
      <w:r>
        <w:rPr>
          <w:rFonts w:hint="eastAsia" w:ascii="仿宋_GB2312" w:hAnsi="仿宋_GB2312" w:eastAsia="仿宋_GB2312" w:cs="仿宋_GB2312"/>
          <w:kern w:val="0"/>
          <w:sz w:val="32"/>
          <w:szCs w:val="32"/>
        </w:rPr>
        <w:t xml:space="preserve">）：2024年预算数 </w:t>
      </w:r>
      <w:r>
        <w:rPr>
          <w:rFonts w:hint="eastAsia" w:ascii="仿宋_GB2312" w:hAnsi="仿宋_GB2312" w:eastAsia="仿宋_GB2312" w:cs="仿宋_GB2312"/>
          <w:kern w:val="0"/>
          <w:sz w:val="32"/>
          <w:szCs w:val="32"/>
          <w:lang w:val="en-US" w:eastAsia="zh-CN"/>
        </w:rPr>
        <w:t>0.2</w:t>
      </w:r>
      <w:r>
        <w:rPr>
          <w:rFonts w:hint="eastAsia" w:ascii="仿宋_GB2312" w:hAnsi="仿宋_GB2312" w:eastAsia="仿宋_GB2312" w:cs="仿宋_GB2312"/>
          <w:kern w:val="0"/>
          <w:sz w:val="32"/>
          <w:szCs w:val="32"/>
        </w:rPr>
        <w:t>0万元，比上年预算数</w:t>
      </w:r>
      <w:r>
        <w:rPr>
          <w:rFonts w:hint="eastAsia" w:ascii="仿宋_GB2312" w:hAnsi="仿宋_GB2312" w:eastAsia="仿宋_GB2312" w:cs="仿宋_GB2312"/>
          <w:kern w:val="0"/>
          <w:sz w:val="32"/>
          <w:szCs w:val="32"/>
          <w:lang w:val="en-US" w:eastAsia="zh-CN"/>
        </w:rPr>
        <w:t>增加0.20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失业保险和工伤保险上年在主款科目核算，今年转入此科目</w:t>
      </w:r>
      <w:r>
        <w:rPr>
          <w:rFonts w:hint="eastAsia" w:ascii="仿宋_GB2312" w:hAnsi="仿宋_GB2312" w:eastAsia="仿宋_GB2312" w:cs="仿宋_GB2312"/>
          <w:kern w:val="0"/>
          <w:sz w:val="32"/>
          <w:szCs w:val="32"/>
        </w:rPr>
        <w:t>核算。</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.农林水支出（213</w:t>
      </w:r>
      <w:r>
        <w:rPr>
          <w:rFonts w:hint="eastAsia" w:ascii="仿宋_GB2312" w:hAnsi="仿宋_GB2312" w:eastAsia="仿宋_GB2312" w:cs="仿宋_GB2312"/>
          <w:kern w:val="0"/>
          <w:sz w:val="32"/>
          <w:szCs w:val="32"/>
          <w:lang w:val="en-US" w:eastAsia="zh-CN"/>
        </w:rPr>
        <w:t>类</w:t>
      </w:r>
      <w:r>
        <w:rPr>
          <w:rFonts w:hint="eastAsia" w:ascii="仿宋_GB2312" w:hAnsi="仿宋_GB2312" w:eastAsia="仿宋_GB2312" w:cs="仿宋_GB2312"/>
          <w:kern w:val="0"/>
          <w:sz w:val="32"/>
          <w:szCs w:val="32"/>
        </w:rPr>
        <w:t>）农业农村（01</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）事业运行（04</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rPr>
        <w:t>）：2024年预算数</w:t>
      </w:r>
      <w:r>
        <w:rPr>
          <w:rFonts w:hint="eastAsia" w:ascii="仿宋_GB2312" w:hAnsi="仿宋_GB2312" w:eastAsia="仿宋_GB2312" w:cs="仿宋_GB2312"/>
          <w:sz w:val="32"/>
          <w:szCs w:val="32"/>
        </w:rPr>
        <w:t>487.78</w:t>
      </w:r>
      <w:r>
        <w:rPr>
          <w:rFonts w:hint="eastAsia" w:ascii="仿宋_GB2312" w:hAnsi="仿宋_GB2312" w:eastAsia="仿宋_GB2312" w:cs="仿宋_GB2312"/>
          <w:kern w:val="0"/>
          <w:sz w:val="32"/>
          <w:szCs w:val="32"/>
        </w:rPr>
        <w:t>万元。比上年预算数增加51.79万元，增长11.88%，主要原因是：</w:t>
      </w:r>
      <w:r>
        <w:rPr>
          <w:rFonts w:hint="eastAsia" w:ascii="仿宋_GB2312" w:hAnsi="宋体" w:eastAsia="仿宋_GB2312" w:cs="宋体"/>
          <w:kern w:val="0"/>
          <w:sz w:val="32"/>
          <w:szCs w:val="32"/>
        </w:rPr>
        <w:t>在职人员工资标准调整后工资增加</w:t>
      </w:r>
      <w:r>
        <w:rPr>
          <w:rFonts w:hint="eastAsia" w:ascii="仿宋_GB2312" w:hAnsi="仿宋_GB2312" w:eastAsia="仿宋_GB2312" w:cs="仿宋_GB2312"/>
          <w:kern w:val="0"/>
          <w:sz w:val="32"/>
          <w:szCs w:val="32"/>
        </w:rPr>
        <w:t>。</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.农林水支出（213</w:t>
      </w:r>
      <w:r>
        <w:rPr>
          <w:rFonts w:hint="eastAsia" w:ascii="仿宋_GB2312" w:hAnsi="仿宋_GB2312" w:eastAsia="仿宋_GB2312" w:cs="仿宋_GB2312"/>
          <w:kern w:val="0"/>
          <w:sz w:val="32"/>
          <w:szCs w:val="32"/>
          <w:lang w:val="en-US" w:eastAsia="zh-CN"/>
        </w:rPr>
        <w:t>类</w:t>
      </w:r>
      <w:r>
        <w:rPr>
          <w:rFonts w:hint="eastAsia" w:ascii="仿宋_GB2312" w:hAnsi="仿宋_GB2312" w:eastAsia="仿宋_GB2312" w:cs="仿宋_GB2312"/>
          <w:kern w:val="0"/>
          <w:sz w:val="32"/>
          <w:szCs w:val="32"/>
        </w:rPr>
        <w:t>）农业农村（01</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）农村合作经济（</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rPr>
        <w:t>）：2024年预算数</w:t>
      </w:r>
      <w:r>
        <w:rPr>
          <w:rFonts w:hint="eastAsia" w:ascii="仿宋_GB2312" w:hAnsi="仿宋_GB2312" w:eastAsia="仿宋_GB2312" w:cs="仿宋_GB2312"/>
          <w:sz w:val="32"/>
          <w:szCs w:val="32"/>
          <w:lang w:val="en-US" w:eastAsia="zh-CN"/>
        </w:rPr>
        <w:t>101</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101</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101万为</w:t>
      </w:r>
      <w:r>
        <w:rPr>
          <w:rFonts w:hint="eastAsia" w:ascii="仿宋_GB2312" w:hAnsi="宋体" w:eastAsia="仿宋_GB2312" w:cs="宋体"/>
          <w:kern w:val="0"/>
          <w:sz w:val="32"/>
          <w:szCs w:val="32"/>
        </w:rPr>
        <w:t>2024年中央农业经营主体能力提升资金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基层农技推广体系改革与建设</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新增项目资金列入年初预算</w:t>
      </w:r>
      <w:r>
        <w:rPr>
          <w:rFonts w:hint="eastAsia" w:ascii="仿宋_GB2312" w:hAnsi="仿宋_GB2312" w:eastAsia="仿宋_GB2312" w:cs="仿宋_GB2312"/>
          <w:kern w:val="0"/>
          <w:sz w:val="32"/>
          <w:szCs w:val="32"/>
        </w:rPr>
        <w:t>。</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.农林水支出（213</w:t>
      </w:r>
      <w:r>
        <w:rPr>
          <w:rFonts w:hint="eastAsia" w:ascii="仿宋_GB2312" w:hAnsi="仿宋_GB2312" w:eastAsia="仿宋_GB2312" w:cs="仿宋_GB2312"/>
          <w:kern w:val="0"/>
          <w:sz w:val="32"/>
          <w:szCs w:val="32"/>
          <w:lang w:val="en-US" w:eastAsia="zh-CN"/>
        </w:rPr>
        <w:t>类</w:t>
      </w:r>
      <w:r>
        <w:rPr>
          <w:rFonts w:hint="eastAsia" w:ascii="仿宋_GB2312" w:hAnsi="仿宋_GB2312" w:eastAsia="仿宋_GB2312" w:cs="仿宋_GB2312"/>
          <w:kern w:val="0"/>
          <w:sz w:val="32"/>
          <w:szCs w:val="32"/>
        </w:rPr>
        <w:t>）农业农村（01</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）其他农业农村支出（</w:t>
      </w:r>
      <w:r>
        <w:rPr>
          <w:rFonts w:hint="eastAsia" w:ascii="仿宋_GB2312" w:hAnsi="仿宋_GB2312" w:eastAsia="仿宋_GB2312" w:cs="仿宋_GB2312"/>
          <w:kern w:val="0"/>
          <w:sz w:val="32"/>
          <w:szCs w:val="32"/>
          <w:lang w:val="en-US" w:eastAsia="zh-CN"/>
        </w:rPr>
        <w:t>99项</w:t>
      </w:r>
      <w:r>
        <w:rPr>
          <w:rFonts w:hint="eastAsia" w:ascii="仿宋_GB2312" w:hAnsi="仿宋_GB2312" w:eastAsia="仿宋_GB2312" w:cs="仿宋_GB2312"/>
          <w:kern w:val="0"/>
          <w:sz w:val="32"/>
          <w:szCs w:val="32"/>
        </w:rPr>
        <w:t>）：2024年预算数</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25</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25万为2023年下发的</w:t>
      </w:r>
      <w:r>
        <w:rPr>
          <w:rFonts w:hint="eastAsia" w:ascii="仿宋_GB2312" w:hAnsi="宋体" w:eastAsia="仿宋_GB2312" w:cs="宋体"/>
          <w:kern w:val="0"/>
          <w:sz w:val="32"/>
          <w:szCs w:val="32"/>
        </w:rPr>
        <w:t>2023年度州级重点人才项目经费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23年未能及时支付因此列入24年年初预算</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b/>
          <w:color w:val="FF0000"/>
          <w:kern w:val="0"/>
          <w:sz w:val="32"/>
          <w:szCs w:val="32"/>
        </w:rPr>
      </w:pP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.住房保障支出（221</w:t>
      </w:r>
      <w:r>
        <w:rPr>
          <w:rFonts w:hint="eastAsia" w:ascii="仿宋_GB2312" w:hAnsi="仿宋_GB2312" w:eastAsia="仿宋_GB2312" w:cs="仿宋_GB2312"/>
          <w:kern w:val="0"/>
          <w:sz w:val="32"/>
          <w:szCs w:val="32"/>
          <w:lang w:val="en-US" w:eastAsia="zh-CN"/>
        </w:rPr>
        <w:t>类</w:t>
      </w:r>
      <w:r>
        <w:rPr>
          <w:rFonts w:hint="eastAsia" w:ascii="仿宋_GB2312" w:hAnsi="仿宋_GB2312" w:eastAsia="仿宋_GB2312" w:cs="仿宋_GB2312"/>
          <w:kern w:val="0"/>
          <w:sz w:val="32"/>
          <w:szCs w:val="32"/>
        </w:rPr>
        <w:t>）住房改革支出（02</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）住房公积金（01</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rPr>
        <w:t>）：2024年预算数 56.12万元，比上年预算数增加7.23万元，</w:t>
      </w:r>
      <w:r>
        <w:rPr>
          <w:rFonts w:hint="eastAsia" w:ascii="仿宋_GB2312" w:hAnsi="仿宋_GB2312" w:eastAsia="仿宋_GB2312" w:cs="仿宋_GB2312"/>
          <w:kern w:val="0"/>
          <w:sz w:val="32"/>
          <w:szCs w:val="32"/>
          <w:lang w:eastAsia="zh-CN"/>
        </w:rPr>
        <w:t>增长</w:t>
      </w:r>
      <w:r>
        <w:rPr>
          <w:rFonts w:hint="eastAsia" w:ascii="仿宋_GB2312" w:hAnsi="仿宋_GB2312" w:eastAsia="仿宋_GB2312" w:cs="仿宋_GB2312"/>
          <w:kern w:val="0"/>
          <w:sz w:val="32"/>
          <w:szCs w:val="32"/>
        </w:rPr>
        <w:t>14.79%</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主要原因是：工资增加后住房公积金增加。</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关于呼图壁县农牧业技术推广中心2024年一般公共预算基本支出情况说明</w:t>
      </w:r>
    </w:p>
    <w:p>
      <w:pPr>
        <w:spacing w:line="60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呼图壁县农牧业技术推广中心</w:t>
      </w:r>
      <w:r>
        <w:rPr>
          <w:rFonts w:hint="eastAsia" w:ascii="仿宋_GB2312" w:hAnsi="宋体" w:eastAsia="仿宋_GB2312" w:cs="宋体"/>
          <w:spacing w:val="-6"/>
          <w:kern w:val="0"/>
          <w:sz w:val="32"/>
          <w:szCs w:val="32"/>
        </w:rPr>
        <w:t>2024年一般公共预算基本支出682.22万元， 其中：</w:t>
      </w:r>
    </w:p>
    <w:p>
      <w:pPr>
        <w:pStyle w:val="4"/>
        <w:widowControl/>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人员经费666.04万元，主要包括：基本工资</w:t>
      </w:r>
      <w:r>
        <w:rPr>
          <w:rFonts w:hint="eastAsia" w:ascii="仿宋_GB2312" w:hAnsi="宋体" w:eastAsia="仿宋_GB2312" w:cs="宋体"/>
          <w:sz w:val="32"/>
          <w:szCs w:val="32"/>
          <w:lang w:val="en-US" w:eastAsia="zh-CN"/>
        </w:rPr>
        <w:t>189.33万元</w:t>
      </w:r>
      <w:r>
        <w:rPr>
          <w:rFonts w:hint="eastAsia" w:ascii="仿宋_GB2312" w:hAnsi="宋体" w:eastAsia="仿宋_GB2312" w:cs="宋体"/>
          <w:sz w:val="32"/>
          <w:szCs w:val="32"/>
        </w:rPr>
        <w:t>、津贴补贴</w:t>
      </w:r>
      <w:r>
        <w:rPr>
          <w:rFonts w:hint="eastAsia" w:ascii="仿宋_GB2312" w:hAnsi="宋体" w:eastAsia="仿宋_GB2312" w:cs="宋体"/>
          <w:sz w:val="32"/>
          <w:szCs w:val="32"/>
          <w:lang w:val="en-US" w:eastAsia="zh-CN"/>
        </w:rPr>
        <w:t>49.5万元</w:t>
      </w:r>
      <w:r>
        <w:rPr>
          <w:rFonts w:hint="eastAsia" w:ascii="仿宋_GB2312" w:hAnsi="宋体" w:eastAsia="仿宋_GB2312" w:cs="宋体"/>
          <w:sz w:val="32"/>
          <w:szCs w:val="32"/>
        </w:rPr>
        <w:t>、奖金</w:t>
      </w:r>
      <w:r>
        <w:rPr>
          <w:rFonts w:hint="eastAsia" w:ascii="仿宋_GB2312" w:hAnsi="宋体" w:eastAsia="仿宋_GB2312" w:cs="宋体"/>
          <w:sz w:val="32"/>
          <w:szCs w:val="32"/>
          <w:lang w:val="en-US" w:eastAsia="zh-CN"/>
        </w:rPr>
        <w:t>124.83万元</w:t>
      </w:r>
      <w:r>
        <w:rPr>
          <w:rFonts w:hint="eastAsia" w:ascii="仿宋_GB2312" w:hAnsi="宋体" w:eastAsia="仿宋_GB2312" w:cs="宋体"/>
          <w:sz w:val="32"/>
          <w:szCs w:val="32"/>
        </w:rPr>
        <w:t>、绩效工资</w:t>
      </w:r>
      <w:r>
        <w:rPr>
          <w:rFonts w:hint="eastAsia" w:ascii="仿宋_GB2312" w:hAnsi="宋体" w:eastAsia="仿宋_GB2312" w:cs="宋体"/>
          <w:sz w:val="32"/>
          <w:szCs w:val="32"/>
          <w:lang w:val="en-US" w:eastAsia="zh-CN"/>
        </w:rPr>
        <w:t>104.02万元</w:t>
      </w:r>
      <w:r>
        <w:rPr>
          <w:rFonts w:hint="eastAsia" w:ascii="仿宋_GB2312" w:hAnsi="宋体" w:eastAsia="仿宋_GB2312" w:cs="宋体"/>
          <w:sz w:val="32"/>
          <w:szCs w:val="32"/>
        </w:rPr>
        <w:t>、机关事业单位基本养老保险缴费</w:t>
      </w:r>
      <w:r>
        <w:rPr>
          <w:rFonts w:hint="eastAsia" w:ascii="仿宋_GB2312" w:hAnsi="宋体" w:eastAsia="仿宋_GB2312" w:cs="宋体"/>
          <w:sz w:val="32"/>
          <w:szCs w:val="32"/>
          <w:lang w:val="en-US" w:eastAsia="zh-CN"/>
        </w:rPr>
        <w:t>69.06万元</w:t>
      </w:r>
      <w:r>
        <w:rPr>
          <w:rFonts w:hint="eastAsia" w:ascii="仿宋_GB2312" w:hAnsi="宋体" w:eastAsia="仿宋_GB2312" w:cs="宋体"/>
          <w:sz w:val="32"/>
          <w:szCs w:val="32"/>
        </w:rPr>
        <w:t>、职工基本医疗保险缴费</w:t>
      </w:r>
      <w:r>
        <w:rPr>
          <w:rFonts w:hint="eastAsia" w:ascii="仿宋_GB2312" w:hAnsi="宋体" w:eastAsia="仿宋_GB2312" w:cs="宋体"/>
          <w:sz w:val="32"/>
          <w:szCs w:val="32"/>
          <w:lang w:val="en-US" w:eastAsia="zh-CN"/>
        </w:rPr>
        <w:t>34.53万元</w:t>
      </w:r>
      <w:r>
        <w:rPr>
          <w:rFonts w:hint="eastAsia" w:ascii="仿宋_GB2312" w:hAnsi="宋体" w:eastAsia="仿宋_GB2312" w:cs="宋体"/>
          <w:sz w:val="32"/>
          <w:szCs w:val="32"/>
        </w:rPr>
        <w:t>、公务员医疗补助缴费</w:t>
      </w:r>
      <w:r>
        <w:rPr>
          <w:rFonts w:hint="eastAsia" w:ascii="仿宋_GB2312" w:hAnsi="宋体" w:eastAsia="仿宋_GB2312" w:cs="宋体"/>
          <w:sz w:val="32"/>
          <w:szCs w:val="32"/>
          <w:lang w:val="en-US" w:eastAsia="zh-CN"/>
        </w:rPr>
        <w:t>9.5万元</w:t>
      </w:r>
      <w:r>
        <w:rPr>
          <w:rFonts w:hint="eastAsia" w:ascii="仿宋_GB2312" w:hAnsi="宋体" w:eastAsia="仿宋_GB2312" w:cs="宋体"/>
          <w:sz w:val="32"/>
          <w:szCs w:val="32"/>
        </w:rPr>
        <w:t>、其他社会保障缴费</w:t>
      </w:r>
      <w:r>
        <w:rPr>
          <w:rFonts w:hint="eastAsia" w:ascii="仿宋_GB2312" w:hAnsi="宋体" w:eastAsia="仿宋_GB2312" w:cs="宋体"/>
          <w:sz w:val="32"/>
          <w:szCs w:val="32"/>
          <w:lang w:val="en-US" w:eastAsia="zh-CN"/>
        </w:rPr>
        <w:t>4.08万元</w:t>
      </w:r>
      <w:r>
        <w:rPr>
          <w:rFonts w:hint="eastAsia" w:ascii="仿宋_GB2312" w:hAnsi="宋体" w:eastAsia="仿宋_GB2312" w:cs="宋体"/>
          <w:sz w:val="32"/>
          <w:szCs w:val="32"/>
        </w:rPr>
        <w:t>、住房公积金</w:t>
      </w:r>
      <w:r>
        <w:rPr>
          <w:rFonts w:hint="eastAsia" w:ascii="仿宋_GB2312" w:hAnsi="宋体" w:eastAsia="仿宋_GB2312" w:cs="宋体"/>
          <w:sz w:val="32"/>
          <w:szCs w:val="32"/>
          <w:lang w:val="en-US" w:eastAsia="zh-CN"/>
        </w:rPr>
        <w:t>56.12万元</w:t>
      </w:r>
      <w:r>
        <w:rPr>
          <w:rFonts w:hint="eastAsia" w:ascii="仿宋_GB2312" w:hAnsi="宋体" w:eastAsia="仿宋_GB2312" w:cs="宋体"/>
          <w:sz w:val="32"/>
          <w:szCs w:val="32"/>
        </w:rPr>
        <w:t>、退休费</w:t>
      </w:r>
      <w:r>
        <w:rPr>
          <w:rFonts w:hint="eastAsia" w:ascii="仿宋_GB2312" w:hAnsi="宋体" w:eastAsia="仿宋_GB2312" w:cs="宋体"/>
          <w:sz w:val="32"/>
          <w:szCs w:val="32"/>
          <w:lang w:val="en-US" w:eastAsia="zh-CN"/>
        </w:rPr>
        <w:t>23.76</w:t>
      </w:r>
      <w:r>
        <w:rPr>
          <w:rFonts w:hint="eastAsia" w:ascii="仿宋_GB2312" w:hAnsi="宋体" w:eastAsia="仿宋_GB2312" w:cs="宋体"/>
          <w:sz w:val="32"/>
          <w:szCs w:val="32"/>
        </w:rPr>
        <w:t>、奖励金</w:t>
      </w:r>
      <w:r>
        <w:rPr>
          <w:rFonts w:hint="eastAsia" w:ascii="仿宋_GB2312" w:hAnsi="宋体" w:eastAsia="仿宋_GB2312" w:cs="宋体"/>
          <w:sz w:val="32"/>
          <w:szCs w:val="32"/>
          <w:lang w:val="en-US" w:eastAsia="zh-CN"/>
        </w:rPr>
        <w:t>1.28万元</w:t>
      </w:r>
      <w:r>
        <w:rPr>
          <w:rFonts w:hint="eastAsia" w:ascii="仿宋_GB2312" w:hAnsi="宋体" w:eastAsia="仿宋_GB2312" w:cs="宋体"/>
          <w:sz w:val="32"/>
          <w:szCs w:val="32"/>
        </w:rPr>
        <w:t>、其他对个人和家庭的补助</w:t>
      </w:r>
      <w:r>
        <w:rPr>
          <w:rFonts w:hint="eastAsia" w:ascii="仿宋_GB2312" w:hAnsi="宋体" w:eastAsia="仿宋_GB2312" w:cs="宋体"/>
          <w:sz w:val="32"/>
          <w:szCs w:val="32"/>
          <w:lang w:val="en-US" w:eastAsia="zh-CN"/>
        </w:rPr>
        <w:t>0.04万元</w:t>
      </w:r>
      <w:r>
        <w:rPr>
          <w:rFonts w:hint="eastAsia" w:ascii="仿宋_GB2312" w:hAnsi="宋体" w:eastAsia="仿宋_GB2312" w:cs="宋体"/>
          <w:sz w:val="32"/>
          <w:szCs w:val="32"/>
        </w:rPr>
        <w:t>等。</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公用经费16.19万元，主要包括：办公费</w:t>
      </w:r>
      <w:r>
        <w:rPr>
          <w:rFonts w:hint="eastAsia" w:ascii="仿宋_GB2312" w:hAnsi="宋体" w:eastAsia="仿宋_GB2312" w:cs="宋体"/>
          <w:kern w:val="0"/>
          <w:sz w:val="32"/>
          <w:szCs w:val="32"/>
          <w:lang w:val="en-US" w:eastAsia="zh-CN"/>
        </w:rPr>
        <w:t>3万元</w:t>
      </w:r>
      <w:r>
        <w:rPr>
          <w:rFonts w:hint="eastAsia" w:ascii="仿宋_GB2312" w:hAnsi="宋体" w:eastAsia="仿宋_GB2312" w:cs="宋体"/>
          <w:kern w:val="0"/>
          <w:sz w:val="32"/>
          <w:szCs w:val="32"/>
        </w:rPr>
        <w:t>、水费</w:t>
      </w:r>
      <w:r>
        <w:rPr>
          <w:rFonts w:hint="eastAsia" w:ascii="仿宋_GB2312" w:hAnsi="宋体" w:eastAsia="仿宋_GB2312" w:cs="宋体"/>
          <w:kern w:val="0"/>
          <w:sz w:val="32"/>
          <w:szCs w:val="32"/>
          <w:lang w:val="en-US" w:eastAsia="zh-CN"/>
        </w:rPr>
        <w:t>0.06万元</w:t>
      </w:r>
      <w:r>
        <w:rPr>
          <w:rFonts w:hint="eastAsia" w:ascii="仿宋_GB2312" w:hAnsi="宋体" w:eastAsia="仿宋_GB2312" w:cs="宋体"/>
          <w:kern w:val="0"/>
          <w:sz w:val="32"/>
          <w:szCs w:val="32"/>
        </w:rPr>
        <w:t>、电费</w:t>
      </w:r>
      <w:r>
        <w:rPr>
          <w:rFonts w:hint="eastAsia" w:ascii="仿宋_GB2312" w:hAnsi="宋体" w:eastAsia="仿宋_GB2312" w:cs="宋体"/>
          <w:kern w:val="0"/>
          <w:sz w:val="32"/>
          <w:szCs w:val="32"/>
          <w:lang w:val="en-US" w:eastAsia="zh-CN"/>
        </w:rPr>
        <w:t>0.5万元</w:t>
      </w:r>
      <w:r>
        <w:rPr>
          <w:rFonts w:hint="eastAsia" w:ascii="仿宋_GB2312" w:hAnsi="宋体" w:eastAsia="仿宋_GB2312" w:cs="宋体"/>
          <w:kern w:val="0"/>
          <w:sz w:val="32"/>
          <w:szCs w:val="32"/>
        </w:rPr>
        <w:t>、邮电费</w:t>
      </w:r>
      <w:r>
        <w:rPr>
          <w:rFonts w:hint="eastAsia" w:ascii="仿宋_GB2312" w:hAnsi="宋体" w:eastAsia="仿宋_GB2312" w:cs="宋体"/>
          <w:kern w:val="0"/>
          <w:sz w:val="32"/>
          <w:szCs w:val="32"/>
          <w:lang w:val="en-US" w:eastAsia="zh-CN"/>
        </w:rPr>
        <w:t>0.8万元</w:t>
      </w:r>
      <w:r>
        <w:rPr>
          <w:rFonts w:hint="eastAsia" w:ascii="仿宋_GB2312" w:hAnsi="宋体" w:eastAsia="仿宋_GB2312" w:cs="宋体"/>
          <w:kern w:val="0"/>
          <w:sz w:val="32"/>
          <w:szCs w:val="32"/>
        </w:rPr>
        <w:t>、差旅费</w:t>
      </w:r>
      <w:r>
        <w:rPr>
          <w:rFonts w:hint="eastAsia" w:ascii="仿宋_GB2312" w:hAnsi="宋体" w:eastAsia="仿宋_GB2312" w:cs="宋体"/>
          <w:kern w:val="0"/>
          <w:sz w:val="32"/>
          <w:szCs w:val="32"/>
          <w:lang w:val="en-US" w:eastAsia="zh-CN"/>
        </w:rPr>
        <w:t>0.92万元</w:t>
      </w:r>
      <w:r>
        <w:rPr>
          <w:rFonts w:hint="eastAsia" w:ascii="仿宋_GB2312" w:hAnsi="宋体" w:eastAsia="仿宋_GB2312" w:cs="宋体"/>
          <w:kern w:val="0"/>
          <w:sz w:val="32"/>
          <w:szCs w:val="32"/>
        </w:rPr>
        <w:t>、公务接待费</w:t>
      </w:r>
      <w:r>
        <w:rPr>
          <w:rFonts w:hint="eastAsia" w:ascii="仿宋_GB2312" w:hAnsi="宋体" w:eastAsia="仿宋_GB2312" w:cs="宋体"/>
          <w:kern w:val="0"/>
          <w:sz w:val="32"/>
          <w:szCs w:val="32"/>
          <w:lang w:val="en-US" w:eastAsia="zh-CN"/>
        </w:rPr>
        <w:t>0.49万元</w:t>
      </w:r>
      <w:r>
        <w:rPr>
          <w:rFonts w:hint="eastAsia" w:ascii="仿宋_GB2312" w:hAnsi="宋体" w:eastAsia="仿宋_GB2312" w:cs="宋体"/>
          <w:kern w:val="0"/>
          <w:sz w:val="32"/>
          <w:szCs w:val="32"/>
        </w:rPr>
        <w:t>、工会经费</w:t>
      </w:r>
      <w:r>
        <w:rPr>
          <w:rFonts w:hint="eastAsia" w:ascii="仿宋_GB2312" w:hAnsi="宋体" w:eastAsia="仿宋_GB2312" w:cs="宋体"/>
          <w:kern w:val="0"/>
          <w:sz w:val="32"/>
          <w:szCs w:val="32"/>
          <w:lang w:val="en-US" w:eastAsia="zh-CN"/>
        </w:rPr>
        <w:t>8.32万元</w:t>
      </w:r>
      <w:r>
        <w:rPr>
          <w:rFonts w:hint="eastAsia" w:ascii="仿宋_GB2312" w:hAnsi="宋体" w:eastAsia="仿宋_GB2312" w:cs="宋体"/>
          <w:kern w:val="0"/>
          <w:sz w:val="32"/>
          <w:szCs w:val="32"/>
        </w:rPr>
        <w:t>、公务用车运行维护费</w:t>
      </w:r>
      <w:r>
        <w:rPr>
          <w:rFonts w:hint="eastAsia" w:ascii="仿宋_GB2312" w:hAnsi="宋体" w:eastAsia="仿宋_GB2312" w:cs="宋体"/>
          <w:kern w:val="0"/>
          <w:sz w:val="32"/>
          <w:szCs w:val="32"/>
          <w:lang w:val="en-US" w:eastAsia="zh-CN"/>
        </w:rPr>
        <w:t>2.1万元</w:t>
      </w:r>
      <w:r>
        <w:rPr>
          <w:rFonts w:hint="eastAsia" w:ascii="仿宋_GB2312" w:hAnsi="宋体" w:eastAsia="仿宋_GB2312" w:cs="宋体"/>
          <w:kern w:val="0"/>
          <w:sz w:val="32"/>
          <w:szCs w:val="32"/>
        </w:rPr>
        <w:t>等。</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关于呼图壁县农牧业技术推广中心2024年一般公共预算项目支出情况说明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 xml:space="preserve"> 2023年度州级重点人才项目经费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昌州财行【2023】28号</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25万元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：呼图壁县农牧业技术推广中心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专用材料20.8万元，交通费用3万元，宣传费用1.2万元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2024年1月1日-2024年12月31日</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2024年中央农业经营主体能力提升资金-基层农技推广体系改革与建设</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昌州财农【2023】52号</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101万元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：呼图壁县农牧业技术推广中心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专用材料50万元，业务委托费42万元，培训费6万元，宣传费用3万元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2024年1月1日-2024年12月31日</w:t>
      </w:r>
    </w:p>
    <w:p>
      <w:pPr>
        <w:spacing w:line="600" w:lineRule="exact"/>
        <w:ind w:firstLine="640" w:firstLineChars="200"/>
        <w:rPr>
          <w:rFonts w:ascii="仿宋_GB2312" w:hAnsi="宋体" w:eastAsia="仿宋_GB2312" w:cs="宋体"/>
          <w:kern w:val="0"/>
          <w:sz w:val="32"/>
          <w:szCs w:val="32"/>
        </w:rPr>
      </w:pP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八、关于呼图壁县农牧业技术推广中心2024年政府性基金预算拨款情况说明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呼图壁县农牧业技术推广中心2024年没有使用政府性基金预算拨款安排的支出，政府性基金预算支出情况表为空表。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九、关于呼图壁县农牧业技术推广中心2024年国有资本经营预算拨款情况说明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呼图壁县农牧业技术推广中心2024年没有使用国有资本经营预算拨款安排的支出，国有资本经营预算支出情况表为空表。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十、关于呼图壁县农牧业技术推广中心2024年财政拨款“三公”经费预算情况说明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呼图壁县农牧业技术推广中心2024年财政拨款“三公”经费数为2.59万元，其中：因公出国（境）费 0万元，公务用车购置费0万元，公务用车运行费2.10万元，公务接待费0.49万元。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2024年财政拨款“三公”经费比上年预算增加0.</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highlight w:val="none"/>
          <w:lang w:val="en-US" w:eastAsia="zh-CN"/>
        </w:rPr>
        <w:t>61.88</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rPr>
        <w:t>其中：因公出国（境）费增加0万元，增长 0 %，主要原因是无变化；公务用车购置费增加 0万元，增长0%，主要原因是无变化；公务用车运行费增加0.5 万元，增长31.25 %，主要原因是公务用车运行费增加；公务接待费增加</w:t>
      </w:r>
      <w:r>
        <w:rPr>
          <w:rFonts w:hint="eastAsia" w:ascii="仿宋_GB2312" w:hAnsi="宋体" w:eastAsia="仿宋_GB2312" w:cs="宋体"/>
          <w:kern w:val="0"/>
          <w:sz w:val="32"/>
          <w:szCs w:val="32"/>
          <w:highlight w:val="none"/>
          <w:lang w:val="en-US" w:eastAsia="zh-CN"/>
        </w:rPr>
        <w:t>0.49</w:t>
      </w:r>
      <w:r>
        <w:rPr>
          <w:rFonts w:hint="eastAsia" w:ascii="仿宋_GB2312" w:hAnsi="宋体" w:eastAsia="仿宋_GB2312" w:cs="宋体"/>
          <w:kern w:val="0"/>
          <w:sz w:val="32"/>
          <w:szCs w:val="32"/>
          <w:highlight w:val="none"/>
        </w:rPr>
        <w:t>万</w:t>
      </w:r>
      <w:r>
        <w:rPr>
          <w:rFonts w:hint="eastAsia" w:ascii="仿宋_GB2312" w:hAnsi="宋体" w:eastAsia="仿宋_GB2312" w:cs="宋体"/>
          <w:kern w:val="0"/>
          <w:sz w:val="32"/>
          <w:szCs w:val="32"/>
        </w:rPr>
        <w:t>元，增长100%，主要原因是2023年没有安排公务接待费。</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十一、关于呼图壁县农牧业技术推广中心2024年上年结转结余预算情况说明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呼图壁县农牧业技术推广中心2024年上年结转结余25万元，包括：财政拨款25万元，非财政拨款0万元，其中：</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宋体" w:hAnsi="宋体" w:cs="宋体"/>
          <w:color w:val="000000"/>
          <w:sz w:val="18"/>
          <w:szCs w:val="18"/>
        </w:rPr>
        <w:t xml:space="preserve"> </w:t>
      </w:r>
      <w:r>
        <w:rPr>
          <w:rFonts w:hint="eastAsia" w:ascii="仿宋_GB2312" w:hAnsi="仿宋_GB2312" w:eastAsia="仿宋_GB2312" w:cs="仿宋_GB2312"/>
          <w:kern w:val="0"/>
          <w:sz w:val="32"/>
          <w:szCs w:val="32"/>
        </w:rPr>
        <w:t>昌州财行【2023】28号-2023年度州级重点人才项目经费25万元，主要用于：业务广告宣传费用及农业专用器械。</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呼图壁县农牧业技术推广中心2024年的事业单位运行经费财政拨款预算16.19万元，比上年预算增加4.83万元，增长42.52%。主要原因是今年比上年增加工会经费。</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2024年，呼图壁县农牧业技术推广中心政府采购预算   79.6万元，其中：政府采购货物预算73.8万元，政府采购工程预算0万元，政府采购服务预算5.8万元。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2024年，呼图壁县农牧业技术推广中心</w:t>
      </w:r>
      <w:r>
        <w:rPr>
          <w:rFonts w:hint="eastAsia" w:ascii="仿宋_GB2312" w:hAnsi="仿宋_GB2312" w:eastAsia="仿宋_GB2312" w:cs="仿宋_GB2312"/>
          <w:sz w:val="32"/>
        </w:rPr>
        <w:t>面向中小企业预留政府采购项目预算金额79.6万元，小微企业预留政府采购项目预算金额79.6万元。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年底，呼图壁县农牧业技术推广中心及下属各预算单位占用使用国有资产总体情况为：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1.房屋0平方米，价值0万元。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2.车辆4辆，价值40.01万元；其中：一般公务用车4辆，价值40.01万元；执法执勤用车0辆，价值0万元；其他车辆0辆，价值0万元。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3.办公家具价值9.83万元。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4.其他资产价值108.23万元。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呼图壁县农牧业技术推广中心价值50万元以上大型设备0台（套），呼图壁县农牧业技术推广中心价值100万元以上大型设备0台（套）。</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2024年呼图壁县农牧业技术推广中心预算未安排购置车辆经费，安排购置50万元以上大型设备0台（套），单位价值100万元以上大型设备0台（套）。</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（四）预算绩效情况</w:t>
      </w:r>
    </w:p>
    <w:p>
      <w:pPr>
        <w:spacing w:line="600" w:lineRule="exact"/>
        <w:ind w:firstLine="640" w:firstLineChars="200"/>
        <w:rPr>
          <w:rFonts w:ascii="仿宋_GB2312" w:hAnsi="仿宋_GB2312" w:eastAsia="仿宋_GB2312" w:cs="仿宋_GB2312"/>
          <w:color w:val="FF0000"/>
          <w:kern w:val="0"/>
          <w:sz w:val="32"/>
          <w:szCs w:val="32"/>
        </w:rPr>
      </w:pPr>
      <w:r>
        <w:rPr>
          <w:rFonts w:hint="eastAsia" w:ascii="仿宋_GB2312" w:hAnsi="仿宋_GB2312" w:eastAsia="仿宋_GB2312" w:cs="仿宋_GB2312"/>
          <w:kern w:val="0"/>
          <w:sz w:val="32"/>
          <w:szCs w:val="32"/>
        </w:rPr>
        <w:t>2024年，本部门预算绩效管理整体预算绩效目标1个，涉及金额</w:t>
      </w:r>
      <w:r>
        <w:rPr>
          <w:rFonts w:ascii="仿宋_GB2312" w:hAnsi="仿宋_GB2312" w:eastAsia="仿宋_GB2312" w:cs="仿宋_GB2312"/>
          <w:kern w:val="0"/>
          <w:sz w:val="32"/>
          <w:szCs w:val="32"/>
        </w:rPr>
        <w:t>808.22</w:t>
      </w:r>
      <w:r>
        <w:rPr>
          <w:rFonts w:hint="eastAsia" w:ascii="仿宋_GB2312" w:hAnsi="仿宋_GB2312" w:eastAsia="仿宋_GB2312" w:cs="仿宋_GB2312"/>
          <w:kern w:val="0"/>
          <w:sz w:val="32"/>
          <w:szCs w:val="32"/>
        </w:rPr>
        <w:t>万元；当年财政拨款项目2个，涉及预算金额126万元；当年非财政拨款项目0个，涉及预算金额0万元。</w:t>
      </w:r>
    </w:p>
    <w:tbl>
      <w:tblPr>
        <w:tblStyle w:val="5"/>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1122"/>
        <w:gridCol w:w="1367"/>
        <w:gridCol w:w="1657"/>
        <w:gridCol w:w="1271"/>
        <w:gridCol w:w="2114"/>
        <w:gridCol w:w="1809"/>
      </w:tblGrid>
      <w:tr>
        <w:tblPrEx>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32"/>
                <w:szCs w:val="32"/>
              </w:rPr>
              <w:t>呼图壁县农牧业技术推广中心整体绩效目标表</w:t>
            </w:r>
          </w:p>
        </w:tc>
      </w:tr>
      <w:tr>
        <w:tblPrEx>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宋体" w:hAnsi="宋体" w:cs="宋体"/>
                <w:color w:val="000000"/>
                <w:sz w:val="24"/>
              </w:rPr>
              <w:t>（2024年）</w:t>
            </w:r>
          </w:p>
        </w:tc>
      </w:tr>
      <w:tr>
        <w:tblPrEx>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b/>
                <w:color w:val="000000"/>
                <w:sz w:val="20"/>
                <w:szCs w:val="20"/>
              </w:rPr>
              <w:t>呼图壁县农牧业技术推广中心</w:t>
            </w:r>
          </w:p>
        </w:tc>
      </w:tr>
      <w:tr>
        <w:tblPrEx>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宋阳</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ascii="宋体" w:hAnsi="宋体" w:cs="宋体"/>
                <w:color w:val="000000"/>
                <w:sz w:val="20"/>
                <w:szCs w:val="20"/>
              </w:rPr>
              <w:t>18299529195</w:t>
            </w:r>
          </w:p>
        </w:tc>
      </w:tr>
      <w:tr>
        <w:tblPrEx>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做好全县农村经济统计工作以及国家在农村实施的惠农政策进行宣传并提供保障；2、提升农业经营主体自身管理能力和服务带动能力；3、强化综合管理，提升运营效率；4、全面实施预算绩效管理。</w:t>
            </w:r>
          </w:p>
        </w:tc>
      </w:tr>
      <w:tr>
        <w:tblPrEx>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资金总额（万元）</w:t>
            </w:r>
          </w:p>
        </w:tc>
      </w:tr>
      <w:tr>
        <w:tblPrEx>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808</w:t>
            </w:r>
            <w:r>
              <w:rPr>
                <w:rFonts w:ascii="宋体" w:hAnsi="宋体" w:cs="宋体"/>
                <w:color w:val="000000"/>
                <w:sz w:val="20"/>
                <w:szCs w:val="20"/>
              </w:rPr>
              <w:t>.22</w:t>
            </w:r>
          </w:p>
        </w:tc>
      </w:tr>
      <w:tr>
        <w:tblPrEx>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分值权重</w:t>
            </w: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履职效能</w:t>
            </w:r>
          </w:p>
        </w:tc>
        <w:tc>
          <w:tcPr>
            <w:tcW w:w="1367" w:type="dxa"/>
            <w:vMerge w:val="restart"/>
            <w:tcBorders>
              <w:top w:val="single" w:color="000000" w:sz="4" w:space="0"/>
              <w:left w:val="single" w:color="000000" w:sz="4" w:space="0"/>
              <w:right w:val="single" w:color="000000" w:sz="4" w:space="0"/>
            </w:tcBorders>
            <w:vAlign w:val="center"/>
          </w:tcPr>
          <w:p>
            <w:pPr>
              <w:jc w:val="left"/>
              <w:textAlignment w:val="center"/>
              <w:rPr>
                <w:rFonts w:ascii="宋体" w:hAns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保障人员人数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ascii="宋体" w:hAnsi="宋体" w:cs="宋体"/>
                <w:color w:val="000000"/>
                <w:sz w:val="20"/>
                <w:szCs w:val="20"/>
              </w:rPr>
              <w:t>&gt;=33</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2024年工作计划标准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ascii="宋体" w:hAnsi="宋体" w:cs="宋体"/>
                <w:color w:val="000000"/>
                <w:sz w:val="24"/>
              </w:rPr>
              <w:t>20</w:t>
            </w:r>
          </w:p>
        </w:tc>
      </w:tr>
      <w:tr>
        <w:tblPrEx>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jc w:val="center"/>
              <w:textAlignment w:val="center"/>
              <w:rPr>
                <w:rFonts w:ascii="宋体" w:hAnsi="宋体" w:cs="宋体"/>
                <w:color w:val="000000"/>
                <w:kern w:val="0"/>
                <w:sz w:val="20"/>
                <w:szCs w:val="20"/>
              </w:rPr>
            </w:pPr>
          </w:p>
        </w:tc>
        <w:tc>
          <w:tcPr>
            <w:tcW w:w="1367" w:type="dxa"/>
            <w:vMerge w:val="continue"/>
            <w:tcBorders>
              <w:left w:val="single" w:color="000000" w:sz="4" w:space="0"/>
              <w:right w:val="single" w:color="000000" w:sz="4" w:space="0"/>
            </w:tcBorders>
            <w:vAlign w:val="center"/>
          </w:tcPr>
          <w:p>
            <w:pPr>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公务保障用车数量</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=2</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2024年工作计划标准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10</w:t>
            </w:r>
          </w:p>
        </w:tc>
      </w:tr>
      <w:tr>
        <w:tblPrEx>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p>
        </w:tc>
        <w:tc>
          <w:tcPr>
            <w:tcW w:w="1367" w:type="dxa"/>
            <w:vMerge w:val="continue"/>
            <w:tcBorders>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保障安全生产检查次数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&lt;=12</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2024年工作计划标准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20</w:t>
            </w:r>
          </w:p>
        </w:tc>
      </w:tr>
      <w:tr>
        <w:tblPrEx>
          <w:tblLayout w:type="fixed"/>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7" w:type="dxa"/>
            <w:vMerge w:val="restart"/>
            <w:tcBorders>
              <w:top w:val="single" w:color="000000" w:sz="4" w:space="0"/>
              <w:left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保障政府采购率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&lt;=80%</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2024年工作计划标准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20</w:t>
            </w:r>
          </w:p>
        </w:tc>
      </w:tr>
      <w:tr>
        <w:tblPrEx>
          <w:tblLayout w:type="fixed"/>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7" w:type="dxa"/>
            <w:vMerge w:val="continue"/>
            <w:tcBorders>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人员考核合格率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2024年工作计划标准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20</w:t>
            </w: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bl>
    <w:p>
      <w:pPr>
        <w:spacing w:line="600" w:lineRule="exact"/>
        <w:rPr>
          <w:rFonts w:ascii="仿宋_GB2312" w:hAnsi="仿宋_GB2312" w:eastAsia="仿宋_GB2312" w:cs="仿宋_GB2312"/>
          <w:b/>
          <w:kern w:val="0"/>
          <w:sz w:val="32"/>
          <w:szCs w:val="32"/>
        </w:rPr>
      </w:pPr>
    </w:p>
    <w:tbl>
      <w:tblPr>
        <w:tblStyle w:val="5"/>
        <w:tblpPr w:leftFromText="180" w:rightFromText="180" w:vertAnchor="text" w:horzAnchor="page" w:tblpX="1112" w:tblpY="200"/>
        <w:tblOverlap w:val="never"/>
        <w:tblW w:w="9260" w:type="dxa"/>
        <w:tblInd w:w="0" w:type="dxa"/>
        <w:tblLayout w:type="fixed"/>
        <w:tblCellMar>
          <w:top w:w="0" w:type="dxa"/>
          <w:left w:w="108" w:type="dxa"/>
          <w:bottom w:w="0" w:type="dxa"/>
          <w:right w:w="108" w:type="dxa"/>
        </w:tblCellMar>
      </w:tblPr>
      <w:tblGrid>
        <w:gridCol w:w="811"/>
        <w:gridCol w:w="1200"/>
        <w:gridCol w:w="1307"/>
        <w:gridCol w:w="861"/>
        <w:gridCol w:w="1174"/>
        <w:gridCol w:w="281"/>
        <w:gridCol w:w="570"/>
        <w:gridCol w:w="511"/>
        <w:gridCol w:w="339"/>
        <w:gridCol w:w="578"/>
        <w:gridCol w:w="714"/>
        <w:gridCol w:w="914"/>
      </w:tblGrid>
      <w:tr>
        <w:tblPrEx>
          <w:tblLayout w:type="fixed"/>
          <w:tblCellMar>
            <w:top w:w="0" w:type="dxa"/>
            <w:left w:w="108" w:type="dxa"/>
            <w:bottom w:w="0" w:type="dxa"/>
            <w:right w:w="108" w:type="dxa"/>
          </w:tblCellMar>
        </w:tblPrEx>
        <w:trPr>
          <w:trHeight w:val="631" w:hRule="atLeast"/>
        </w:trPr>
        <w:tc>
          <w:tcPr>
            <w:tcW w:w="9260" w:type="dxa"/>
            <w:gridSpan w:val="12"/>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12"/>
            <w:tcBorders>
              <w:top w:val="nil"/>
              <w:left w:val="nil"/>
              <w:bottom w:val="nil"/>
              <w:right w:val="nil"/>
            </w:tcBorders>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4年）</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249" w:type="dxa"/>
            <w:gridSpan w:val="10"/>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b/>
                <w:color w:val="000000"/>
                <w:sz w:val="20"/>
                <w:szCs w:val="20"/>
              </w:rPr>
              <w:t>呼图壁县农牧业技术推广中心</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62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昌州财行【2023】28号-2023年度州级重点人才项目经费</w:t>
            </w:r>
          </w:p>
        </w:tc>
        <w:tc>
          <w:tcPr>
            <w:tcW w:w="1998"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李文霞</w:t>
            </w:r>
          </w:p>
        </w:tc>
      </w:tr>
      <w:tr>
        <w:tblPrEx>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ascii="宋体" w:hAnsi="宋体" w:cs="宋体"/>
                <w:color w:val="000000"/>
                <w:sz w:val="18"/>
                <w:szCs w:val="18"/>
              </w:rPr>
              <w:t>25</w:t>
            </w:r>
          </w:p>
        </w:tc>
        <w:tc>
          <w:tcPr>
            <w:tcW w:w="1455" w:type="dxa"/>
            <w:gridSpan w:val="2"/>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ascii="宋体" w:hAnsi="宋体" w:cs="宋体"/>
                <w:color w:val="000000"/>
                <w:sz w:val="18"/>
                <w:szCs w:val="18"/>
              </w:rPr>
              <w:t>25</w:t>
            </w:r>
          </w:p>
        </w:tc>
        <w:tc>
          <w:tcPr>
            <w:tcW w:w="91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249" w:type="dxa"/>
            <w:gridSpan w:val="10"/>
            <w:tcBorders>
              <w:top w:val="single" w:color="000000" w:sz="4" w:space="0"/>
              <w:left w:val="nil"/>
              <w:bottom w:val="single" w:color="000000" w:sz="4" w:space="0"/>
              <w:right w:val="single" w:color="000000" w:sz="4" w:space="0"/>
            </w:tcBorders>
          </w:tcPr>
          <w:p>
            <w:pPr>
              <w:jc w:val="center"/>
              <w:rPr>
                <w:rFonts w:ascii="宋体" w:hAnsi="宋体" w:cs="宋体"/>
                <w:color w:val="000000"/>
                <w:sz w:val="18"/>
                <w:szCs w:val="18"/>
              </w:rPr>
            </w:pPr>
            <w:r>
              <w:rPr>
                <w:rFonts w:hint="eastAsia" w:ascii="宋体" w:hAnsi="宋体" w:cs="宋体"/>
                <w:color w:val="000000"/>
                <w:sz w:val="18"/>
                <w:szCs w:val="18"/>
              </w:rPr>
              <w:t>25名下乡培养人员每年在生产一线服务时间不少于70天。服务对象满意度达到90%以上，当地农业技术水平得到良好提升。</w:t>
            </w:r>
          </w:p>
        </w:tc>
      </w:tr>
      <w:tr>
        <w:tblPrEx>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117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29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200" w:type="dxa"/>
            <w:vMerge w:val="restart"/>
            <w:tcBorders>
              <w:top w:val="single" w:color="000000" w:sz="4" w:space="0"/>
              <w:left w:val="single" w:color="000000" w:sz="4" w:space="0"/>
              <w:right w:val="single" w:color="000000" w:sz="4" w:space="0"/>
            </w:tcBorders>
            <w:vAlign w:val="center"/>
          </w:tcPr>
          <w:p>
            <w:pPr>
              <w:jc w:val="center"/>
              <w:rPr>
                <w:rFonts w:ascii="宋体" w:hAnsi="宋体" w:cs="宋体"/>
                <w:sz w:val="20"/>
                <w:szCs w:val="20"/>
              </w:rPr>
            </w:pPr>
            <w:r>
              <w:rPr>
                <w:rFonts w:hint="eastAsia"/>
                <w:sz w:val="20"/>
                <w:szCs w:val="20"/>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培养人数</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&gt;=25</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计划标准</w:t>
            </w: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　</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20</w:t>
            </w:r>
          </w:p>
        </w:tc>
        <w:tc>
          <w:tcPr>
            <w:tcW w:w="12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vMerge w:val="continue"/>
            <w:tcBorders>
              <w:left w:val="single" w:color="000000" w:sz="4" w:space="0"/>
              <w:bottom w:val="nil"/>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sz w:val="20"/>
                <w:szCs w:val="20"/>
              </w:rPr>
              <w:t>服务平均天数</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sz w:val="20"/>
                <w:szCs w:val="20"/>
              </w:rPr>
              <w:t>&gt;=65</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sz w:val="20"/>
                <w:szCs w:val="20"/>
              </w:rPr>
              <w:t>计划标准</w:t>
            </w: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sz w:val="20"/>
                <w:szCs w:val="20"/>
              </w:rPr>
              <w:t>　</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sz w:val="20"/>
                <w:szCs w:val="20"/>
              </w:rPr>
              <w:t>10</w:t>
            </w:r>
          </w:p>
        </w:tc>
        <w:tc>
          <w:tcPr>
            <w:tcW w:w="12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sz w:val="20"/>
                <w:szCs w:val="20"/>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sz w:val="20"/>
                <w:szCs w:val="20"/>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服务合格率（%）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&gt;=90%</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计划标准</w:t>
            </w: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　</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15</w:t>
            </w:r>
          </w:p>
        </w:tc>
        <w:tc>
          <w:tcPr>
            <w:tcW w:w="12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下乡服务及时率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&gt;=90%</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计划标准</w:t>
            </w: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　</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10</w:t>
            </w:r>
          </w:p>
        </w:tc>
        <w:tc>
          <w:tcPr>
            <w:tcW w:w="12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工作资料</w:t>
            </w: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&lt;=90%</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计划标准</w:t>
            </w: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　</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10</w:t>
            </w:r>
          </w:p>
        </w:tc>
        <w:tc>
          <w:tcPr>
            <w:tcW w:w="12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18"/>
                <w:szCs w:val="18"/>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提升基层技术水平</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良好</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计划标准</w:t>
            </w: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　</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15</w:t>
            </w:r>
          </w:p>
        </w:tc>
        <w:tc>
          <w:tcPr>
            <w:tcW w:w="12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按评判等级赋分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工作资料</w:t>
            </w:r>
          </w:p>
        </w:tc>
      </w:tr>
      <w:tr>
        <w:tblPrEx>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服务对象满意度（%）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&gt;=90%</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计划标准</w:t>
            </w: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　</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10</w:t>
            </w:r>
          </w:p>
        </w:tc>
        <w:tc>
          <w:tcPr>
            <w:tcW w:w="12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满意度赋分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工作资料</w:t>
            </w:r>
          </w:p>
        </w:tc>
      </w:tr>
    </w:tbl>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tbl>
      <w:tblPr>
        <w:tblStyle w:val="5"/>
        <w:tblpPr w:leftFromText="180" w:rightFromText="180" w:vertAnchor="text" w:horzAnchor="page" w:tblpX="1112" w:tblpY="200"/>
        <w:tblOverlap w:val="never"/>
        <w:tblW w:w="9260" w:type="dxa"/>
        <w:tblInd w:w="0" w:type="dxa"/>
        <w:tblLayout w:type="fixed"/>
        <w:tblCellMar>
          <w:top w:w="0" w:type="dxa"/>
          <w:left w:w="108" w:type="dxa"/>
          <w:bottom w:w="0" w:type="dxa"/>
          <w:right w:w="108" w:type="dxa"/>
        </w:tblCellMar>
      </w:tblPr>
      <w:tblGrid>
        <w:gridCol w:w="811"/>
        <w:gridCol w:w="1200"/>
        <w:gridCol w:w="1307"/>
        <w:gridCol w:w="861"/>
        <w:gridCol w:w="1174"/>
        <w:gridCol w:w="281"/>
        <w:gridCol w:w="486"/>
        <w:gridCol w:w="595"/>
        <w:gridCol w:w="197"/>
        <w:gridCol w:w="720"/>
        <w:gridCol w:w="714"/>
        <w:gridCol w:w="914"/>
      </w:tblGrid>
      <w:tr>
        <w:tblPrEx>
          <w:tblLayout w:type="fixed"/>
          <w:tblCellMar>
            <w:top w:w="0" w:type="dxa"/>
            <w:left w:w="108" w:type="dxa"/>
            <w:bottom w:w="0" w:type="dxa"/>
            <w:right w:w="108" w:type="dxa"/>
          </w:tblCellMar>
        </w:tblPrEx>
        <w:trPr>
          <w:trHeight w:val="631" w:hRule="atLeast"/>
        </w:trPr>
        <w:tc>
          <w:tcPr>
            <w:tcW w:w="9260" w:type="dxa"/>
            <w:gridSpan w:val="12"/>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12"/>
            <w:tcBorders>
              <w:top w:val="nil"/>
              <w:left w:val="nil"/>
              <w:bottom w:val="nil"/>
              <w:right w:val="nil"/>
            </w:tcBorders>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4年）</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249" w:type="dxa"/>
            <w:gridSpan w:val="10"/>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b/>
                <w:color w:val="000000"/>
                <w:sz w:val="20"/>
                <w:szCs w:val="20"/>
              </w:rPr>
              <w:t>呼图壁县农牧业技术推广中心</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62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2024年中央农业经营主体能力提升资金-基层农技推广体系改革与建设</w:t>
            </w:r>
          </w:p>
        </w:tc>
        <w:tc>
          <w:tcPr>
            <w:tcW w:w="1998"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买力开</w:t>
            </w:r>
          </w:p>
        </w:tc>
      </w:tr>
      <w:tr>
        <w:tblPrEx>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ascii="宋体" w:hAnsi="宋体" w:cs="宋体"/>
                <w:color w:val="000000"/>
                <w:sz w:val="18"/>
                <w:szCs w:val="18"/>
              </w:rPr>
              <w:t>101</w:t>
            </w:r>
          </w:p>
        </w:tc>
        <w:tc>
          <w:tcPr>
            <w:tcW w:w="1455" w:type="dxa"/>
            <w:gridSpan w:val="2"/>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108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ascii="宋体" w:hAnsi="宋体" w:cs="宋体"/>
                <w:color w:val="000000"/>
                <w:sz w:val="18"/>
                <w:szCs w:val="18"/>
              </w:rPr>
              <w:t>101</w:t>
            </w:r>
          </w:p>
        </w:tc>
        <w:tc>
          <w:tcPr>
            <w:tcW w:w="91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700"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249" w:type="dxa"/>
            <w:gridSpan w:val="10"/>
            <w:tcBorders>
              <w:top w:val="single" w:color="000000" w:sz="4" w:space="0"/>
              <w:left w:val="nil"/>
              <w:bottom w:val="single" w:color="000000" w:sz="4" w:space="0"/>
              <w:right w:val="single" w:color="000000" w:sz="4" w:space="0"/>
            </w:tcBorders>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117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76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79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43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20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特聘农技人员数量（人）</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&gt;=34</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计划标准</w:t>
            </w:r>
          </w:p>
        </w:tc>
        <w:tc>
          <w:tcPr>
            <w:tcW w:w="767"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　</w:t>
            </w:r>
          </w:p>
        </w:tc>
        <w:tc>
          <w:tcPr>
            <w:tcW w:w="7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15</w:t>
            </w:r>
          </w:p>
        </w:tc>
        <w:tc>
          <w:tcPr>
            <w:tcW w:w="1434"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vMerge w:val="continue"/>
            <w:tcBorders>
              <w:left w:val="single" w:color="000000" w:sz="4" w:space="0"/>
              <w:bottom w:val="nil"/>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培训次数（次）</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&gt;=3次</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计划标准</w:t>
            </w:r>
          </w:p>
        </w:tc>
        <w:tc>
          <w:tcPr>
            <w:tcW w:w="767"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　</w:t>
            </w:r>
          </w:p>
        </w:tc>
        <w:tc>
          <w:tcPr>
            <w:tcW w:w="7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15</w:t>
            </w:r>
          </w:p>
        </w:tc>
        <w:tc>
          <w:tcPr>
            <w:tcW w:w="1434"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vMerge w:val="restart"/>
            <w:tcBorders>
              <w:top w:val="single" w:color="000000" w:sz="4" w:space="0"/>
              <w:left w:val="single" w:color="000000" w:sz="4" w:space="0"/>
              <w:right w:val="single" w:color="000000" w:sz="4" w:space="0"/>
            </w:tcBorders>
            <w:vAlign w:val="center"/>
          </w:tcPr>
          <w:p>
            <w:pPr>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农业科技示范展示基地数量（个）</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=2</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计划标准</w:t>
            </w:r>
          </w:p>
        </w:tc>
        <w:tc>
          <w:tcPr>
            <w:tcW w:w="767"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　</w:t>
            </w:r>
          </w:p>
        </w:tc>
        <w:tc>
          <w:tcPr>
            <w:tcW w:w="7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15</w:t>
            </w:r>
          </w:p>
        </w:tc>
        <w:tc>
          <w:tcPr>
            <w:tcW w:w="1434"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vMerge w:val="continue"/>
            <w:tcBorders>
              <w:left w:val="single" w:color="000000" w:sz="4" w:space="0"/>
              <w:bottom w:val="nil"/>
              <w:right w:val="single" w:color="000000" w:sz="4" w:space="0"/>
            </w:tcBorders>
            <w:vAlign w:val="center"/>
          </w:tcPr>
          <w:p>
            <w:pPr>
              <w:widowControl/>
              <w:jc w:val="center"/>
              <w:textAlignment w:val="center"/>
              <w:rPr>
                <w:rFonts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农业主推技术到位率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&gt;=95%</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计划标准</w:t>
            </w:r>
          </w:p>
        </w:tc>
        <w:tc>
          <w:tcPr>
            <w:tcW w:w="767"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　</w:t>
            </w:r>
          </w:p>
        </w:tc>
        <w:tc>
          <w:tcPr>
            <w:tcW w:w="7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15</w:t>
            </w:r>
          </w:p>
        </w:tc>
        <w:tc>
          <w:tcPr>
            <w:tcW w:w="1434"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67"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34"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&lt;=90%</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计划标准</w:t>
            </w:r>
          </w:p>
        </w:tc>
        <w:tc>
          <w:tcPr>
            <w:tcW w:w="767"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　</w:t>
            </w:r>
          </w:p>
        </w:tc>
        <w:tc>
          <w:tcPr>
            <w:tcW w:w="7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10</w:t>
            </w:r>
          </w:p>
        </w:tc>
        <w:tc>
          <w:tcPr>
            <w:tcW w:w="1434"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67"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34"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67"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34"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18"/>
                <w:szCs w:val="18"/>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新技术推广应用率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良好</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计划标准</w:t>
            </w:r>
          </w:p>
        </w:tc>
        <w:tc>
          <w:tcPr>
            <w:tcW w:w="767"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　</w:t>
            </w:r>
          </w:p>
        </w:tc>
        <w:tc>
          <w:tcPr>
            <w:tcW w:w="7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10</w:t>
            </w:r>
          </w:p>
        </w:tc>
        <w:tc>
          <w:tcPr>
            <w:tcW w:w="1434"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按评判等级赋分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67"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34"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67"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34"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 w:val="20"/>
                <w:szCs w:val="20"/>
              </w:rPr>
            </w:pPr>
            <w:r>
              <w:rPr>
                <w:rFonts w:hint="eastAsia"/>
                <w:sz w:val="20"/>
                <w:szCs w:val="20"/>
              </w:rPr>
              <w:t>满意度指标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服务群众满意度（%）</w:t>
            </w:r>
          </w:p>
        </w:tc>
        <w:tc>
          <w:tcPr>
            <w:tcW w:w="117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&gt;=90%</w:t>
            </w:r>
          </w:p>
        </w:tc>
        <w:tc>
          <w:tcPr>
            <w:tcW w:w="767"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计划标准</w:t>
            </w:r>
          </w:p>
        </w:tc>
        <w:tc>
          <w:tcPr>
            <w:tcW w:w="792"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　</w:t>
            </w:r>
          </w:p>
        </w:tc>
        <w:tc>
          <w:tcPr>
            <w:tcW w:w="1434"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10</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0"/>
                <w:szCs w:val="20"/>
              </w:rPr>
            </w:pPr>
            <w:r>
              <w:rPr>
                <w:rFonts w:hint="eastAsia"/>
                <w:sz w:val="20"/>
                <w:szCs w:val="20"/>
              </w:rPr>
              <w:t>满意度赋分</w:t>
            </w:r>
          </w:p>
        </w:tc>
      </w:tr>
    </w:tbl>
    <w:p>
      <w:pPr>
        <w:spacing w:line="600" w:lineRule="exact"/>
        <w:rPr>
          <w:rFonts w:ascii="仿宋_GB2312" w:hAnsi="仿宋_GB2312" w:eastAsia="仿宋_GB2312" w:cs="仿宋_GB2312"/>
          <w:b/>
          <w:kern w:val="0"/>
          <w:sz w:val="32"/>
          <w:szCs w:val="32"/>
        </w:rPr>
      </w:pPr>
    </w:p>
    <w:p>
      <w:pPr>
        <w:numPr>
          <w:ilvl w:val="0"/>
          <w:numId w:val="1"/>
        </w:num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其他需说明的事项</w:t>
      </w:r>
    </w:p>
    <w:p>
      <w:pPr>
        <w:spacing w:line="600" w:lineRule="exact"/>
        <w:ind w:firstLine="640" w:firstLineChars="200"/>
        <w:rPr>
          <w:rFonts w:ascii="仿宋_GB2312" w:hAnsi="仿宋_GB2312" w:eastAsia="仿宋_GB2312" w:cs="仿宋_GB2312"/>
          <w:color w:val="FF0000"/>
          <w:kern w:val="0"/>
          <w:sz w:val="32"/>
          <w:szCs w:val="32"/>
        </w:rPr>
      </w:pPr>
      <w:r>
        <w:rPr>
          <w:rFonts w:hint="eastAsia" w:ascii="仿宋_GB2312" w:hAnsi="仿宋_GB2312" w:eastAsia="仿宋_GB2312" w:cs="仿宋_GB2312"/>
          <w:kern w:val="0"/>
          <w:sz w:val="32"/>
          <w:szCs w:val="32"/>
        </w:rPr>
        <w:t>当年非财政拨款项目0个，涉及预算金额0万元。</w:t>
      </w:r>
    </w:p>
    <w:p>
      <w:pPr>
        <w:spacing w:line="600" w:lineRule="exact"/>
        <w:rPr>
          <w:rFonts w:ascii="楷体_GB2312" w:hAnsi="宋体" w:eastAsia="楷体_GB2312" w:cs="宋体"/>
          <w:b/>
          <w:kern w:val="0"/>
          <w:sz w:val="32"/>
          <w:szCs w:val="32"/>
        </w:rPr>
      </w:pPr>
      <w:bookmarkStart w:id="0" w:name="_GoBack"/>
      <w:bookmarkEnd w:id="0"/>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呼图壁县农牧业技术推广中心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2024 </w:t>
      </w:r>
      <w:r>
        <w:rPr>
          <w:rFonts w:ascii="仿宋_GB2312" w:hAnsi="宋体" w:eastAsia="仿宋_GB2312" w:cs="宋体"/>
          <w:kern w:val="0"/>
          <w:sz w:val="32"/>
          <w:szCs w:val="32"/>
        </w:rPr>
        <w:t>年</w:t>
      </w:r>
      <w:r>
        <w:rPr>
          <w:rFonts w:hint="eastAsia" w:ascii="仿宋_GB2312" w:hAnsi="宋体" w:eastAsia="仿宋_GB2312" w:cs="宋体"/>
          <w:kern w:val="0"/>
          <w:sz w:val="32"/>
          <w:szCs w:val="32"/>
        </w:rPr>
        <w:t>3</w:t>
      </w:r>
      <w:r>
        <w:rPr>
          <w:rFonts w:ascii="仿宋_GB2312" w:hAnsi="宋体" w:eastAsia="仿宋_GB2312" w:cs="宋体"/>
          <w:kern w:val="0"/>
          <w:sz w:val="32"/>
          <w:szCs w:val="32"/>
        </w:rPr>
        <w:t>月</w:t>
      </w:r>
      <w:r>
        <w:rPr>
          <w:rFonts w:hint="eastAsia" w:ascii="仿宋_GB2312" w:hAnsi="宋体" w:eastAsia="仿宋_GB2312" w:cs="宋体"/>
          <w:kern w:val="0"/>
          <w:sz w:val="32"/>
          <w:szCs w:val="32"/>
        </w:rPr>
        <w:t>1</w:t>
      </w:r>
      <w:r>
        <w:rPr>
          <w:rFonts w:ascii="仿宋_GB2312" w:hAnsi="宋体" w:eastAsia="仿宋_GB2312" w:cs="宋体"/>
          <w:kern w:val="0"/>
          <w:sz w:val="32"/>
          <w:szCs w:val="32"/>
        </w:rPr>
        <w:t>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16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fldChar w:fldCharType="begin"/>
                          </w:r>
                          <w:r>
                            <w:instrText xml:space="preserve"> PAGE  \* MERGEFORMAT </w:instrText>
                          </w:r>
                          <w:r>
                            <w:fldChar w:fldCharType="separate"/>
                          </w:r>
                          <w: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- 4 -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aePyQxoCAAAhBAAADgAA&#10;AAAAAAABACAAAAAfAQAAZHJzL2Uyb0RvYy54bWxQSwUGAAAAAAYABgBZAQAAq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26</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wMDM2Mzc1YjA5MzhjZDYzMTJiMjliNTU4YmQ2OWEifQ=="/>
  </w:docVars>
  <w:rsids>
    <w:rsidRoot w:val="10587512"/>
    <w:rsid w:val="000824C2"/>
    <w:rsid w:val="000B0409"/>
    <w:rsid w:val="000E1577"/>
    <w:rsid w:val="00164E29"/>
    <w:rsid w:val="00184E5D"/>
    <w:rsid w:val="001A70AD"/>
    <w:rsid w:val="002C7C77"/>
    <w:rsid w:val="002D57E2"/>
    <w:rsid w:val="002F1254"/>
    <w:rsid w:val="00363431"/>
    <w:rsid w:val="003B76D4"/>
    <w:rsid w:val="003E0688"/>
    <w:rsid w:val="00436311"/>
    <w:rsid w:val="004C1A6F"/>
    <w:rsid w:val="004E3517"/>
    <w:rsid w:val="005579D4"/>
    <w:rsid w:val="00584719"/>
    <w:rsid w:val="0059452F"/>
    <w:rsid w:val="0059574C"/>
    <w:rsid w:val="00693D68"/>
    <w:rsid w:val="00743B85"/>
    <w:rsid w:val="007705F0"/>
    <w:rsid w:val="007F3F04"/>
    <w:rsid w:val="00822485"/>
    <w:rsid w:val="0084167A"/>
    <w:rsid w:val="00847EFF"/>
    <w:rsid w:val="0088256F"/>
    <w:rsid w:val="008978D3"/>
    <w:rsid w:val="008C60D7"/>
    <w:rsid w:val="009131E5"/>
    <w:rsid w:val="00964441"/>
    <w:rsid w:val="009E2EDB"/>
    <w:rsid w:val="009E5A97"/>
    <w:rsid w:val="009E6408"/>
    <w:rsid w:val="00A1028F"/>
    <w:rsid w:val="00A1407A"/>
    <w:rsid w:val="00A1604C"/>
    <w:rsid w:val="00A3432F"/>
    <w:rsid w:val="00A3769A"/>
    <w:rsid w:val="00A42100"/>
    <w:rsid w:val="00A92832"/>
    <w:rsid w:val="00AB22D9"/>
    <w:rsid w:val="00B035B0"/>
    <w:rsid w:val="00BD1015"/>
    <w:rsid w:val="00C50204"/>
    <w:rsid w:val="00CA67F3"/>
    <w:rsid w:val="00CD13A8"/>
    <w:rsid w:val="00CD30B4"/>
    <w:rsid w:val="00CE7B9B"/>
    <w:rsid w:val="00D16635"/>
    <w:rsid w:val="00D41EE7"/>
    <w:rsid w:val="00D55B42"/>
    <w:rsid w:val="00D55F32"/>
    <w:rsid w:val="00DB1AC4"/>
    <w:rsid w:val="00DC72A1"/>
    <w:rsid w:val="00E23DDE"/>
    <w:rsid w:val="00E30229"/>
    <w:rsid w:val="00EE2224"/>
    <w:rsid w:val="00F01F09"/>
    <w:rsid w:val="00F46902"/>
    <w:rsid w:val="00F84FAF"/>
    <w:rsid w:val="00F91089"/>
    <w:rsid w:val="00FA60C8"/>
    <w:rsid w:val="00FC62FC"/>
    <w:rsid w:val="00FD7191"/>
    <w:rsid w:val="04267B2D"/>
    <w:rsid w:val="05397FD9"/>
    <w:rsid w:val="06D30152"/>
    <w:rsid w:val="070E6657"/>
    <w:rsid w:val="08450B28"/>
    <w:rsid w:val="09CD5EB7"/>
    <w:rsid w:val="0B247F12"/>
    <w:rsid w:val="0D6E5FD0"/>
    <w:rsid w:val="0E9208E7"/>
    <w:rsid w:val="0F214909"/>
    <w:rsid w:val="10587512"/>
    <w:rsid w:val="10916BDA"/>
    <w:rsid w:val="1697741D"/>
    <w:rsid w:val="1732414C"/>
    <w:rsid w:val="182136CC"/>
    <w:rsid w:val="1BEB54C3"/>
    <w:rsid w:val="1C3C6084"/>
    <w:rsid w:val="1CEB6DC6"/>
    <w:rsid w:val="1D3E1AFE"/>
    <w:rsid w:val="1DAD59FA"/>
    <w:rsid w:val="1EB61656"/>
    <w:rsid w:val="20DD55C0"/>
    <w:rsid w:val="210670D2"/>
    <w:rsid w:val="22DB78DD"/>
    <w:rsid w:val="244D65B8"/>
    <w:rsid w:val="2492221D"/>
    <w:rsid w:val="25485BE2"/>
    <w:rsid w:val="26B4291F"/>
    <w:rsid w:val="26E769FA"/>
    <w:rsid w:val="293B2E83"/>
    <w:rsid w:val="2A012DF7"/>
    <w:rsid w:val="2A994305"/>
    <w:rsid w:val="2AFC4894"/>
    <w:rsid w:val="2D480265"/>
    <w:rsid w:val="2D977453"/>
    <w:rsid w:val="2EF22236"/>
    <w:rsid w:val="373F3924"/>
    <w:rsid w:val="3E162CA6"/>
    <w:rsid w:val="3E72445E"/>
    <w:rsid w:val="3FDF4D23"/>
    <w:rsid w:val="43C26223"/>
    <w:rsid w:val="43D8307E"/>
    <w:rsid w:val="43E837B0"/>
    <w:rsid w:val="46CE3131"/>
    <w:rsid w:val="494F7907"/>
    <w:rsid w:val="4C0055E5"/>
    <w:rsid w:val="4C3677AE"/>
    <w:rsid w:val="4C706B3A"/>
    <w:rsid w:val="4E4B7280"/>
    <w:rsid w:val="50E04A65"/>
    <w:rsid w:val="51C15CED"/>
    <w:rsid w:val="52285DEB"/>
    <w:rsid w:val="52AD62F0"/>
    <w:rsid w:val="546308FE"/>
    <w:rsid w:val="57F45F4E"/>
    <w:rsid w:val="59EC6C82"/>
    <w:rsid w:val="5D2E002E"/>
    <w:rsid w:val="5F2346ED"/>
    <w:rsid w:val="61086613"/>
    <w:rsid w:val="6408782B"/>
    <w:rsid w:val="65322CBF"/>
    <w:rsid w:val="68CC52CB"/>
    <w:rsid w:val="68DE4FFE"/>
    <w:rsid w:val="694B58D7"/>
    <w:rsid w:val="69CE4E15"/>
    <w:rsid w:val="6B114552"/>
    <w:rsid w:val="6B7F3246"/>
    <w:rsid w:val="6EF07839"/>
    <w:rsid w:val="6F63000B"/>
    <w:rsid w:val="6FB27A37"/>
    <w:rsid w:val="72B56DCF"/>
    <w:rsid w:val="75B570E6"/>
    <w:rsid w:val="780A1873"/>
    <w:rsid w:val="787D11B8"/>
    <w:rsid w:val="792C5912"/>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ra</Company>
  <Pages>31</Pages>
  <Words>9504</Words>
  <Characters>11929</Characters>
  <Lines>51</Lines>
  <Paragraphs>31</Paragraphs>
  <TotalTime>0</TotalTime>
  <ScaleCrop>false</ScaleCrop>
  <LinksUpToDate>false</LinksUpToDate>
  <CharactersWithSpaces>13091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2024-03-01T05:59:00Z</dcterms:created>
  <dc:creator>Administrator</dc:creator>
  <cp:lastModifiedBy>Administrator</cp:lastModifiedBy>
  <dcterms:modified xsi:type="dcterms:W3CDTF">2024-07-25T04:15:31Z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5A12109F38224BD89BB4DD9F98CC6939_13</vt:lpwstr>
  </property>
</Properties>
</file>