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eastAsia="zh-CN"/>
        </w:rPr>
        <w:t>呼图壁县人工影响天气办公室</w:t>
      </w:r>
      <w:r>
        <w:rPr>
          <w:rFonts w:hint="eastAsia" w:ascii="方正小标宋_GBK" w:hAnsi="宋体" w:eastAsia="方正小标宋_GBK"/>
          <w:color w:val="auto"/>
          <w:kern w:val="0"/>
          <w:sz w:val="44"/>
          <w:szCs w:val="44"/>
          <w:highlight w:val="none"/>
          <w:lang w:val="en-US" w:eastAsia="zh-CN"/>
        </w:rPr>
        <w:t>2024年</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2024年呼图壁县人工影响天气办公室</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2024年呼图壁县人工影响天气办公室预算公开表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2024年呼图壁县人工影响天气办公室</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呼图壁县人工影响天气办公室</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呼图壁县人工影响天气办公室隶属于呼图壁县人民政府办公室，属于地方政府机构，办公地点设在气象局，由呼图壁县气象局指导具体业务工作。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呼图壁县人工影响天气办公室主要负责呼图壁县人工影响天气作业计划的制定和实施工作，为呼图壁县建设和呼图壁县居民提供人工影响天气服务。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个处室</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编制单位：呼图壁县人工影响天气办公室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25.99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23.66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23.66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2.28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1.01</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2.33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2.33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20.49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25.99</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25.99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编制单位：呼图壁县人工影响天气办公室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851" w:type="dxa"/>
        <w:tblInd w:w="-450" w:type="dxa"/>
        <w:tblLayout w:type="fixed"/>
        <w:tblCellMar>
          <w:top w:w="0" w:type="dxa"/>
          <w:left w:w="108" w:type="dxa"/>
          <w:bottom w:w="0" w:type="dxa"/>
          <w:right w:w="108" w:type="dxa"/>
        </w:tblCellMar>
      </w:tblPr>
      <w:tblGrid>
        <w:gridCol w:w="626"/>
        <w:gridCol w:w="450"/>
        <w:gridCol w:w="465"/>
        <w:gridCol w:w="1080"/>
        <w:gridCol w:w="825"/>
        <w:gridCol w:w="765"/>
        <w:gridCol w:w="780"/>
        <w:gridCol w:w="705"/>
        <w:gridCol w:w="390"/>
        <w:gridCol w:w="660"/>
        <w:gridCol w:w="420"/>
        <w:gridCol w:w="840"/>
        <w:gridCol w:w="390"/>
        <w:gridCol w:w="630"/>
        <w:gridCol w:w="375"/>
        <w:gridCol w:w="450"/>
      </w:tblGrid>
      <w:tr>
        <w:tblPrEx>
          <w:tblLayout w:type="fixed"/>
          <w:tblCellMar>
            <w:top w:w="0" w:type="dxa"/>
            <w:left w:w="108" w:type="dxa"/>
            <w:bottom w:w="0" w:type="dxa"/>
            <w:right w:w="108" w:type="dxa"/>
          </w:tblCellMar>
        </w:tblPrEx>
        <w:trPr>
          <w:trHeight w:val="697" w:hRule="atLeast"/>
        </w:trPr>
        <w:tc>
          <w:tcPr>
            <w:tcW w:w="154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6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9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5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626"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65"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8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6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9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2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4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90"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30"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75"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50"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w:t>
            </w:r>
          </w:p>
        </w:tc>
        <w:tc>
          <w:tcPr>
            <w:tcW w:w="45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社会保障和就业支出</w:t>
            </w:r>
          </w:p>
        </w:tc>
        <w:tc>
          <w:tcPr>
            <w:tcW w:w="82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2.28</w:t>
            </w:r>
          </w:p>
        </w:tc>
        <w:tc>
          <w:tcPr>
            <w:tcW w:w="76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1.30</w:t>
            </w:r>
          </w:p>
        </w:tc>
        <w:tc>
          <w:tcPr>
            <w:tcW w:w="7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1.30</w:t>
            </w:r>
          </w:p>
        </w:tc>
        <w:tc>
          <w:tcPr>
            <w:tcW w:w="70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0.98</w:t>
            </w:r>
          </w:p>
        </w:tc>
        <w:tc>
          <w:tcPr>
            <w:tcW w:w="37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1.95</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1.30</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1.30</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0.98</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108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1.95</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1.30</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1.30</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0.65</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p>
        </w:tc>
        <w:tc>
          <w:tcPr>
            <w:tcW w:w="108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　</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0.33</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0.33</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1.01</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0.83</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0.83</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0.17</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行政事业单位医疗</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1.01</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0.83</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0.83</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0.17</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1080" w:type="dxa"/>
            <w:tcBorders>
              <w:top w:val="nil"/>
              <w:left w:val="nil"/>
              <w:bottom w:val="single" w:color="auto" w:sz="4" w:space="0"/>
              <w:right w:val="single" w:color="auto" w:sz="4" w:space="0"/>
            </w:tcBorders>
            <w:vAlign w:val="center"/>
          </w:tcPr>
          <w:p>
            <w:pPr>
              <w:jc w:val="lef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事业单位医疗</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0.81</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0.65</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0.16</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108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　</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0.19</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0.18</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0.18</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0.01</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w:t>
            </w:r>
          </w:p>
        </w:tc>
        <w:tc>
          <w:tcPr>
            <w:tcW w:w="450" w:type="dxa"/>
            <w:tcBorders>
              <w:top w:val="nil"/>
              <w:left w:val="nil"/>
              <w:bottom w:val="single" w:color="auto" w:sz="4" w:space="0"/>
              <w:right w:val="single" w:color="auto" w:sz="4" w:space="0"/>
            </w:tcBorders>
            <w:vAlign w:val="center"/>
          </w:tcPr>
          <w:p>
            <w:pPr>
              <w:tabs>
                <w:tab w:val="center" w:pos="117"/>
                <w:tab w:val="right" w:pos="554"/>
              </w:tabs>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1080"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其他行政事业单位医疗支出</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0.01</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0.01</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0.01</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220</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自然资源海洋气象等支出</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20.49</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20.42</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0.07</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220</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气象事务</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20.49</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20.42</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0.07</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220</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气象事业机构</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20.49</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20.42</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20.42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0.07</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住房保障支出</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1.11</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1.11</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1.11</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住房改革支出</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2.21</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1.11</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1.11</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1.11</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50"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65"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80"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82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76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1.11</w:t>
            </w:r>
          </w:p>
        </w:tc>
        <w:tc>
          <w:tcPr>
            <w:tcW w:w="78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1.11</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2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tabs>
                <w:tab w:val="left" w:pos="276"/>
              </w:tabs>
              <w:jc w:val="center"/>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1.11</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25.99</w:t>
            </w:r>
          </w:p>
        </w:tc>
        <w:tc>
          <w:tcPr>
            <w:tcW w:w="76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23.66</w:t>
            </w:r>
          </w:p>
        </w:tc>
        <w:tc>
          <w:tcPr>
            <w:tcW w:w="78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23.66</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2.33</w:t>
            </w:r>
          </w:p>
        </w:tc>
        <w:tc>
          <w:tcPr>
            <w:tcW w:w="37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编制单位：呼图壁县人工影响天气办公室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716"/>
        <w:gridCol w:w="495"/>
        <w:gridCol w:w="480"/>
        <w:gridCol w:w="2325"/>
        <w:gridCol w:w="1666"/>
        <w:gridCol w:w="1845"/>
        <w:gridCol w:w="1893"/>
      </w:tblGrid>
      <w:tr>
        <w:tblPrEx>
          <w:tblLayout w:type="fixed"/>
          <w:tblCellMar>
            <w:top w:w="0" w:type="dxa"/>
            <w:left w:w="108" w:type="dxa"/>
            <w:bottom w:w="0" w:type="dxa"/>
            <w:right w:w="108" w:type="dxa"/>
          </w:tblCellMar>
        </w:tblPrEx>
        <w:trPr>
          <w:trHeight w:val="328" w:hRule="atLeast"/>
        </w:trPr>
        <w:tc>
          <w:tcPr>
            <w:tcW w:w="401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04"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69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6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6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208</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社会保障和就业支出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2.28</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208</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05</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行政事业单位养老支出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2.28</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208</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05</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05</w:t>
            </w: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机关事业单位基本养老保险缴费支出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1.95</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1.95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208</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05</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val="en-US" w:eastAsia="zh-CN"/>
              </w:rPr>
              <w:t>06</w:t>
            </w: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机关事业单位职业年金缴费支出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0.33</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0.33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210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卫生健康支出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1.01</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1.01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210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11</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行政事业单位医疗</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1.01</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1.01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210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11</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02</w:t>
            </w: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事业单位医疗</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0.81</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0.81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210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11</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03</w:t>
            </w: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公务员医疗补助</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0.19</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0.19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210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11</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99</w:t>
            </w: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其他行政事业单位医疗支出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0.01</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0.01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自然资源海洋气象等支出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20.49</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20.49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05</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气象事务</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20.49</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20.49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220</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05</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04</w:t>
            </w: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气象事业机构</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20.49</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20.49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住房保障支出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02</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住房改革支出</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49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02</w:t>
            </w:r>
          </w:p>
        </w:tc>
        <w:tc>
          <w:tcPr>
            <w:tcW w:w="480"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01</w:t>
            </w:r>
          </w:p>
        </w:tc>
        <w:tc>
          <w:tcPr>
            <w:tcW w:w="232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住房公积金</w:t>
            </w:r>
          </w:p>
        </w:tc>
        <w:tc>
          <w:tcPr>
            <w:tcW w:w="1666"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1845" w:type="dxa"/>
            <w:tcBorders>
              <w:top w:val="nil"/>
              <w:left w:val="nil"/>
              <w:bottom w:val="single" w:color="auto" w:sz="4" w:space="0"/>
              <w:right w:val="single" w:color="auto" w:sz="4" w:space="0"/>
            </w:tcBorders>
            <w:vAlign w:val="center"/>
          </w:tcPr>
          <w:p>
            <w:pPr>
              <w:widowControl/>
              <w:spacing w:line="280" w:lineRule="exact"/>
              <w:jc w:val="center"/>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2.21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71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9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80"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32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25.99</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25.99</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1.30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1.30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0.83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0.83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20.42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20.42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1.11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1.11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23.66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23.66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23.66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645"/>
        <w:gridCol w:w="570"/>
        <w:gridCol w:w="525"/>
        <w:gridCol w:w="2460"/>
        <w:gridCol w:w="447"/>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647" w:type="dxa"/>
            <w:gridSpan w:val="5"/>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呼图壁县人工影响天气办公室</w:t>
            </w: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20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14"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74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6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7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2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6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7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208</w:t>
            </w:r>
          </w:p>
        </w:tc>
        <w:tc>
          <w:tcPr>
            <w:tcW w:w="57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社会保障和就业支出</w:t>
            </w:r>
          </w:p>
        </w:tc>
        <w:tc>
          <w:tcPr>
            <w:tcW w:w="147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208</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行政事业单位养老支出</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208</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机关事业单位基本养老保险缴费支出</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卫生健康支出</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0.83</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0.83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行政事业单位医疗</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0.83</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0.83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事业单位医疗</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0.65</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w:t>
            </w: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0.18</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210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99</w:t>
            </w: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其他行政事业单位医疗支出</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0.01</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自然资源海洋气象等支出</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20.42</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气象事务</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20.42</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220</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04</w:t>
            </w: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气象事业机构</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20.42</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221</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住房保障支出</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221</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住房改革支出</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221</w:t>
            </w:r>
          </w:p>
        </w:tc>
        <w:tc>
          <w:tcPr>
            <w:tcW w:w="57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525"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w:t>
            </w: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6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6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6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6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7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47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4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46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7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23.66</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23.66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169"/>
        <w:gridCol w:w="717"/>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503"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呼图壁县人工影响天气办公室</w:t>
            </w:r>
          </w:p>
        </w:tc>
        <w:tc>
          <w:tcPr>
            <w:tcW w:w="717"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503"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25"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6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2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6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423"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316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423"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1"/>
                <w:szCs w:val="21"/>
                <w:u w:val="none"/>
                <w:lang w:val="en-US" w:eastAsia="zh-CN" w:bidi="ar"/>
              </w:rPr>
              <w:t>23.32</w:t>
            </w:r>
          </w:p>
        </w:tc>
        <w:tc>
          <w:tcPr>
            <w:tcW w:w="1701" w:type="dxa"/>
            <w:gridSpan w:val="2"/>
            <w:tcBorders>
              <w:top w:val="nil"/>
              <w:left w:val="nil"/>
              <w:bottom w:val="single" w:color="auto" w:sz="4" w:space="0"/>
              <w:right w:val="single" w:color="auto" w:sz="4" w:space="0"/>
            </w:tcBorders>
            <w:vAlign w:val="top"/>
          </w:tcPr>
          <w:p>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宋体" w:hAnsi="宋体" w:eastAsia="宋体" w:cs="宋体"/>
                <w:i w:val="0"/>
                <w:color w:val="000000"/>
                <w:kern w:val="0"/>
                <w:sz w:val="21"/>
                <w:szCs w:val="21"/>
                <w:u w:val="none"/>
                <w:lang w:val="en-US" w:eastAsia="zh-CN" w:bidi="ar"/>
              </w:rPr>
              <w:t>23.32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01</w:t>
            </w:r>
          </w:p>
        </w:tc>
        <w:tc>
          <w:tcPr>
            <w:tcW w:w="316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2.70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2.70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1.19</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1.19</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07</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08</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rPr>
              <w:t>10</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0.65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12</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99</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其他工资福利支出</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10.78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10.78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w:t>
            </w: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16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23"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23.66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23.32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764"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呼图壁县人工影响天气办公室</w:t>
            </w:r>
          </w:p>
        </w:tc>
        <w:tc>
          <w:tcPr>
            <w:tcW w:w="53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备注：呼图壁县人工影响天气办公室2024年没有使用一般公共预算项目支出，一般公共预算项目支出情况表为空表。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编制单位：呼图壁县人工影响天气办公室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备注：呼图壁县人工影响天气办公室2024年没有使用政府性基金预算拨款安排的支出，政府性基金预算支出情况表为空表。</w:t>
      </w:r>
    </w:p>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编制单位：呼图壁县人工影响天气办公室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备注：呼图壁县人工影响天气办公室2024年没有使用国有资本经营预算拨款安排的支出，国有资本经营预算支出情况表为空表。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编制单位：呼图壁县人工影响天气办公室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备注：呼图壁县人工影响天气办公室2024年没有使用</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“三公”经费预算拨款安排的支出，</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“三公”经费支出情况表为空表。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编制单位：呼图壁县人工影响天气办公室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pPr w:leftFromText="180" w:rightFromText="180" w:vertAnchor="text" w:horzAnchor="page" w:tblpX="813" w:tblpY="161"/>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备注：呼图壁县人工影响天气办公室2024年无上年结转结余预算的支出，结转结余预算支出情况表为空表。</w:t>
      </w:r>
    </w:p>
    <w:p>
      <w:pPr>
        <w:widowControl/>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2024年人工影响天气办公室</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呼图壁县人工影响天气办公室2024年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呼图壁县人工影响天气办公室2024年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25.99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收入预算包括：一般公共预算23.66</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2.33</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支出预算包括：社会保障和就业支出2.28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、卫生健康支出1.01</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、自然资源海洋气象等支出20.49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、住房保障支出2.21</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25.99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23.66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91.04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13.07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123.42%，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增加在编人员一名</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2.33万元，占</w:t>
      </w:r>
      <w:r>
        <w:rPr>
          <w:rFonts w:hint="eastAsia" w:ascii="仿宋_GB2312" w:hAnsi="宋体" w:eastAsia="仿宋_GB2312" w:cs="宋体"/>
          <w:color w:val="auto"/>
          <w:kern w:val="0"/>
          <w:sz w:val="32"/>
          <w:szCs w:val="32"/>
          <w:highlight w:val="none"/>
          <w:lang w:val="en-US" w:eastAsia="zh-CN"/>
        </w:rPr>
        <w:t>8.96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53.4%，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根据</w:t>
      </w:r>
      <w:r>
        <w:rPr>
          <w:rFonts w:hint="eastAsia" w:ascii="仿宋_GB2312" w:hAnsi="宋体" w:eastAsia="仿宋_GB2312" w:cs="宋体"/>
          <w:color w:val="auto"/>
          <w:kern w:val="0"/>
          <w:sz w:val="32"/>
          <w:szCs w:val="32"/>
          <w:highlight w:val="none"/>
          <w:lang w:val="en-US" w:eastAsia="zh-CN"/>
        </w:rPr>
        <w:t>2023年</w:t>
      </w:r>
      <w:r>
        <w:rPr>
          <w:rFonts w:hint="eastAsia" w:ascii="仿宋_GB2312" w:hAnsi="宋体" w:eastAsia="仿宋_GB2312" w:cs="宋体"/>
          <w:color w:val="auto"/>
          <w:kern w:val="0"/>
          <w:sz w:val="32"/>
          <w:szCs w:val="32"/>
          <w:highlight w:val="none"/>
          <w:lang w:eastAsia="zh-CN"/>
        </w:rPr>
        <w:t>单位资金实际支出调整</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呼图壁县人工影响天气办公室2024年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25.99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25.99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145.42%，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增加在编人员一名</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2024年将</w:t>
      </w:r>
      <w:r>
        <w:rPr>
          <w:rFonts w:hint="eastAsia" w:ascii="仿宋_GB2312" w:hAnsi="宋体" w:eastAsia="仿宋_GB2312" w:cs="宋体"/>
          <w:color w:val="auto"/>
          <w:kern w:val="0"/>
          <w:sz w:val="32"/>
          <w:szCs w:val="32"/>
          <w:highlight w:val="none"/>
          <w:lang w:eastAsia="zh-CN"/>
        </w:rPr>
        <w:t>单位资金预算纳入基本支出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呼图壁县人工影响天气办公室2024年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23.66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23.66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208-</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1.30</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在编人员社保</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卫生健康支出0.83万元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在编人员医保</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220-</w:t>
      </w:r>
      <w:r>
        <w:rPr>
          <w:rFonts w:hint="eastAsia" w:ascii="仿宋_GB2312" w:hAnsi="宋体" w:eastAsia="仿宋_GB2312" w:cs="宋体"/>
          <w:color w:val="auto"/>
          <w:kern w:val="0"/>
          <w:sz w:val="32"/>
          <w:szCs w:val="32"/>
          <w:highlight w:val="none"/>
        </w:rPr>
        <w:t>自然资源海洋气象等支出20.42万元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在编人员基本工资和公用经费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221-</w:t>
      </w:r>
      <w:r>
        <w:rPr>
          <w:rFonts w:hint="eastAsia" w:ascii="仿宋_GB2312" w:hAnsi="宋体" w:eastAsia="仿宋_GB2312" w:cs="宋体"/>
          <w:color w:val="auto"/>
          <w:kern w:val="0"/>
          <w:sz w:val="32"/>
          <w:szCs w:val="32"/>
          <w:highlight w:val="none"/>
        </w:rPr>
        <w:t>住房保障支出1.11万元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23.66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23.66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13.07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123.42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增加在编人员一名</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未安排项目预算支出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1.社会保障和就业（</w:t>
      </w:r>
      <w:r>
        <w:rPr>
          <w:rFonts w:hint="eastAsia" w:ascii="仿宋_GB2312" w:hAnsi="仿宋_GB2312" w:eastAsia="仿宋_GB2312" w:cs="仿宋_GB2312"/>
          <w:color w:val="auto"/>
          <w:sz w:val="32"/>
          <w:szCs w:val="32"/>
          <w:highlight w:val="none"/>
          <w:lang w:val="en-US" w:eastAsia="zh-CN"/>
        </w:rPr>
        <w:t>208</w:t>
      </w:r>
      <w:r>
        <w:rPr>
          <w:rFonts w:hint="eastAsia" w:ascii="仿宋_GB2312" w:hAnsi="仿宋_GB2312" w:eastAsia="仿宋_GB2312" w:cs="仿宋_GB2312"/>
          <w:color w:val="auto"/>
          <w:sz w:val="32"/>
          <w:szCs w:val="32"/>
          <w:highlight w:val="none"/>
        </w:rPr>
        <w:t>类）1.30万元，占</w:t>
      </w:r>
      <w:r>
        <w:rPr>
          <w:rFonts w:hint="eastAsia" w:ascii="仿宋_GB2312" w:hAnsi="仿宋_GB2312" w:eastAsia="仿宋_GB2312" w:cs="仿宋_GB2312"/>
          <w:color w:val="auto"/>
          <w:sz w:val="32"/>
          <w:szCs w:val="32"/>
          <w:highlight w:val="none"/>
          <w:lang w:val="en-US" w:eastAsia="zh-CN"/>
        </w:rPr>
        <w:t>5.49</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2.卫生健康（</w:t>
      </w:r>
      <w:r>
        <w:rPr>
          <w:rFonts w:hint="eastAsia" w:ascii="仿宋_GB2312" w:hAnsi="仿宋_GB2312" w:eastAsia="仿宋_GB2312" w:cs="仿宋_GB2312"/>
          <w:color w:val="auto"/>
          <w:sz w:val="32"/>
          <w:szCs w:val="32"/>
          <w:highlight w:val="none"/>
          <w:lang w:val="en-US" w:eastAsia="zh-CN"/>
        </w:rPr>
        <w:t>210类</w:t>
      </w:r>
      <w:r>
        <w:rPr>
          <w:rFonts w:hint="eastAsia" w:ascii="仿宋_GB2312" w:hAnsi="仿宋_GB2312" w:eastAsia="仿宋_GB2312" w:cs="仿宋_GB2312"/>
          <w:color w:val="auto"/>
          <w:sz w:val="32"/>
          <w:szCs w:val="32"/>
          <w:highlight w:val="none"/>
        </w:rPr>
        <w:t>）0.83万元，占</w:t>
      </w:r>
      <w:r>
        <w:rPr>
          <w:rFonts w:hint="eastAsia" w:ascii="仿宋_GB2312" w:hAnsi="仿宋_GB2312" w:eastAsia="仿宋_GB2312" w:cs="仿宋_GB2312"/>
          <w:color w:val="auto"/>
          <w:sz w:val="32"/>
          <w:szCs w:val="32"/>
          <w:highlight w:val="none"/>
          <w:lang w:val="en-US" w:eastAsia="zh-CN"/>
        </w:rPr>
        <w:t>3.51</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3.自然资源海洋气象等</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220</w:t>
      </w:r>
      <w:r>
        <w:rPr>
          <w:rFonts w:hint="eastAsia" w:ascii="仿宋_GB2312" w:hAnsi="仿宋_GB2312" w:eastAsia="仿宋_GB2312" w:cs="仿宋_GB2312"/>
          <w:color w:val="auto"/>
          <w:sz w:val="32"/>
          <w:szCs w:val="32"/>
          <w:highlight w:val="none"/>
        </w:rPr>
        <w:t>类）20.42万元，占</w:t>
      </w:r>
      <w:r>
        <w:rPr>
          <w:rFonts w:hint="eastAsia" w:ascii="仿宋_GB2312" w:hAnsi="仿宋_GB2312" w:eastAsia="仿宋_GB2312" w:cs="仿宋_GB2312"/>
          <w:color w:val="auto"/>
          <w:sz w:val="32"/>
          <w:szCs w:val="32"/>
          <w:highlight w:val="none"/>
          <w:lang w:val="en-US" w:eastAsia="zh-CN"/>
        </w:rPr>
        <w:t>86.31</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4.住房保障</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221</w:t>
      </w:r>
      <w:r>
        <w:rPr>
          <w:rFonts w:hint="eastAsia" w:ascii="仿宋_GB2312" w:hAnsi="仿宋_GB2312" w:eastAsia="仿宋_GB2312" w:cs="仿宋_GB2312"/>
          <w:color w:val="auto"/>
          <w:sz w:val="32"/>
          <w:szCs w:val="32"/>
          <w:highlight w:val="none"/>
        </w:rPr>
        <w:t>类）1.11万元，占</w:t>
      </w:r>
      <w:r>
        <w:rPr>
          <w:rFonts w:hint="eastAsia" w:ascii="仿宋_GB2312" w:hAnsi="仿宋_GB2312" w:eastAsia="仿宋_GB2312" w:cs="仿宋_GB2312"/>
          <w:color w:val="auto"/>
          <w:sz w:val="32"/>
          <w:szCs w:val="32"/>
          <w:highlight w:val="none"/>
          <w:lang w:val="en-US" w:eastAsia="zh-CN"/>
        </w:rPr>
        <w:t>4.69</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1.社会保障和就业支出（</w:t>
      </w:r>
      <w:r>
        <w:rPr>
          <w:rFonts w:hint="eastAsia" w:ascii="仿宋_GB2312" w:hAnsi="仿宋_GB2312" w:eastAsia="仿宋_GB2312" w:cs="仿宋_GB2312"/>
          <w:color w:val="auto"/>
          <w:kern w:val="0"/>
          <w:sz w:val="32"/>
          <w:szCs w:val="32"/>
          <w:highlight w:val="none"/>
          <w:lang w:val="en-US" w:eastAsia="zh-CN"/>
        </w:rPr>
        <w:t>208</w:t>
      </w:r>
      <w:r>
        <w:rPr>
          <w:rFonts w:hint="eastAsia" w:ascii="仿宋_GB2312" w:hAnsi="仿宋_GB2312" w:eastAsia="仿宋_GB2312" w:cs="仿宋_GB2312"/>
          <w:color w:val="auto"/>
          <w:kern w:val="0"/>
          <w:sz w:val="32"/>
          <w:szCs w:val="32"/>
          <w:highlight w:val="none"/>
        </w:rPr>
        <w:t>类）行政事业单位养老支出（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款）机关事业单位基本养老保险缴费支出（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预算数为1.30万元，比上年预算增加</w:t>
      </w: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增加在编人员一名</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2.卫生健康支出（</w:t>
      </w:r>
      <w:r>
        <w:rPr>
          <w:rFonts w:hint="eastAsia" w:ascii="仿宋_GB2312" w:hAnsi="仿宋_GB2312" w:eastAsia="仿宋_GB2312" w:cs="仿宋_GB2312"/>
          <w:color w:val="auto"/>
          <w:kern w:val="0"/>
          <w:sz w:val="32"/>
          <w:szCs w:val="32"/>
          <w:highlight w:val="none"/>
          <w:lang w:val="en-US" w:eastAsia="zh-CN"/>
        </w:rPr>
        <w:t>210</w:t>
      </w:r>
      <w:r>
        <w:rPr>
          <w:rFonts w:hint="eastAsia" w:ascii="仿宋_GB2312" w:hAnsi="仿宋_GB2312" w:eastAsia="仿宋_GB2312" w:cs="仿宋_GB2312"/>
          <w:color w:val="auto"/>
          <w:kern w:val="0"/>
          <w:sz w:val="32"/>
          <w:szCs w:val="32"/>
          <w:highlight w:val="none"/>
        </w:rPr>
        <w:t>类）行政事业单位医疗（</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款）事业单位医疗（</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预算数为0.65万元，比上年预算增加</w:t>
      </w:r>
      <w:r>
        <w:rPr>
          <w:rFonts w:hint="eastAsia" w:ascii="仿宋_GB2312" w:hAnsi="仿宋_GB2312" w:eastAsia="仿宋_GB2312" w:cs="仿宋_GB2312"/>
          <w:color w:val="auto"/>
          <w:kern w:val="0"/>
          <w:sz w:val="32"/>
          <w:szCs w:val="32"/>
          <w:highlight w:val="none"/>
          <w:lang w:val="en-US" w:eastAsia="zh-CN"/>
        </w:rPr>
        <w:t>0.65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增加在编人员一名</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.卫生健康支出（</w:t>
      </w:r>
      <w:r>
        <w:rPr>
          <w:rFonts w:hint="eastAsia" w:ascii="仿宋_GB2312" w:hAnsi="仿宋_GB2312" w:eastAsia="仿宋_GB2312" w:cs="仿宋_GB2312"/>
          <w:color w:val="auto"/>
          <w:kern w:val="0"/>
          <w:sz w:val="32"/>
          <w:szCs w:val="32"/>
          <w:highlight w:val="none"/>
          <w:lang w:val="en-US" w:eastAsia="zh-CN"/>
        </w:rPr>
        <w:t>210</w:t>
      </w:r>
      <w:r>
        <w:rPr>
          <w:rFonts w:hint="eastAsia" w:ascii="仿宋_GB2312" w:hAnsi="仿宋_GB2312" w:eastAsia="仿宋_GB2312" w:cs="仿宋_GB2312"/>
          <w:color w:val="auto"/>
          <w:kern w:val="0"/>
          <w:sz w:val="32"/>
          <w:szCs w:val="32"/>
          <w:highlight w:val="none"/>
        </w:rPr>
        <w:t>类）行政事业单位医疗（</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款）公务员医疗补助（</w:t>
      </w:r>
      <w:r>
        <w:rPr>
          <w:rFonts w:hint="eastAsia" w:ascii="仿宋_GB2312" w:hAnsi="仿宋_GB2312" w:eastAsia="仿宋_GB2312" w:cs="仿宋_GB2312"/>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预算数为0.18万元，比上年预算增加0.18万元，增长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增加在编人员一名</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.卫生健康支出（</w:t>
      </w:r>
      <w:r>
        <w:rPr>
          <w:rFonts w:hint="eastAsia" w:ascii="仿宋_GB2312" w:hAnsi="仿宋_GB2312" w:eastAsia="仿宋_GB2312" w:cs="仿宋_GB2312"/>
          <w:color w:val="auto"/>
          <w:kern w:val="0"/>
          <w:sz w:val="32"/>
          <w:szCs w:val="32"/>
          <w:highlight w:val="none"/>
          <w:lang w:val="en-US" w:eastAsia="zh-CN"/>
        </w:rPr>
        <w:t>210</w:t>
      </w:r>
      <w:r>
        <w:rPr>
          <w:rFonts w:hint="eastAsia" w:ascii="仿宋_GB2312" w:hAnsi="仿宋_GB2312" w:eastAsia="仿宋_GB2312" w:cs="仿宋_GB2312"/>
          <w:color w:val="auto"/>
          <w:kern w:val="0"/>
          <w:sz w:val="32"/>
          <w:szCs w:val="32"/>
          <w:highlight w:val="none"/>
        </w:rPr>
        <w:t>类）行政事业单位医疗（</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款）其他行政事业单位医疗支出（</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预算数为0.01万元，比上年预算增加0.01万元，增长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增加在编人员一名</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.自然资源海洋气象等支出（</w:t>
      </w:r>
      <w:r>
        <w:rPr>
          <w:rFonts w:hint="eastAsia" w:ascii="仿宋_GB2312" w:hAnsi="仿宋_GB2312" w:eastAsia="仿宋_GB2312" w:cs="仿宋_GB2312"/>
          <w:color w:val="auto"/>
          <w:kern w:val="0"/>
          <w:sz w:val="32"/>
          <w:szCs w:val="32"/>
          <w:highlight w:val="none"/>
          <w:lang w:val="en-US" w:eastAsia="zh-CN"/>
        </w:rPr>
        <w:t>220</w:t>
      </w:r>
      <w:r>
        <w:rPr>
          <w:rFonts w:hint="eastAsia" w:ascii="仿宋_GB2312" w:hAnsi="仿宋_GB2312" w:eastAsia="仿宋_GB2312" w:cs="仿宋_GB2312"/>
          <w:color w:val="auto"/>
          <w:kern w:val="0"/>
          <w:sz w:val="32"/>
          <w:szCs w:val="32"/>
          <w:highlight w:val="none"/>
        </w:rPr>
        <w:t>类）气象事务（</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款）气象事业机构（</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预算数为20.42万元，比上年预算增加</w:t>
      </w:r>
      <w:r>
        <w:rPr>
          <w:rFonts w:hint="eastAsia" w:ascii="仿宋_GB2312" w:hAnsi="仿宋_GB2312" w:eastAsia="仿宋_GB2312" w:cs="仿宋_GB2312"/>
          <w:color w:val="auto"/>
          <w:kern w:val="0"/>
          <w:sz w:val="32"/>
          <w:szCs w:val="32"/>
          <w:highlight w:val="none"/>
          <w:lang w:val="en-US" w:eastAsia="zh-CN"/>
        </w:rPr>
        <w:t>9.83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92.82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增加在编人员一名和编外人员社保缴费基数增长</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.住房保障支出（</w:t>
      </w:r>
      <w:r>
        <w:rPr>
          <w:rFonts w:hint="eastAsia" w:ascii="仿宋_GB2312" w:hAnsi="仿宋_GB2312" w:eastAsia="仿宋_GB2312" w:cs="仿宋_GB2312"/>
          <w:color w:val="auto"/>
          <w:kern w:val="0"/>
          <w:sz w:val="32"/>
          <w:szCs w:val="32"/>
          <w:highlight w:val="none"/>
          <w:lang w:val="en-US" w:eastAsia="zh-CN"/>
        </w:rPr>
        <w:t>221</w:t>
      </w:r>
      <w:r>
        <w:rPr>
          <w:rFonts w:hint="eastAsia" w:ascii="仿宋_GB2312" w:hAnsi="仿宋_GB2312" w:eastAsia="仿宋_GB2312" w:cs="仿宋_GB2312"/>
          <w:color w:val="auto"/>
          <w:kern w:val="0"/>
          <w:sz w:val="32"/>
          <w:szCs w:val="32"/>
          <w:highlight w:val="none"/>
        </w:rPr>
        <w:t>类）住房改革支出（</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款）住房公积金（</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预算数为1.11万元，比上年预算增加</w:t>
      </w:r>
      <w:r>
        <w:rPr>
          <w:rFonts w:hint="eastAsia" w:ascii="仿宋_GB2312" w:hAnsi="仿宋_GB2312" w:eastAsia="仿宋_GB2312" w:cs="仿宋_GB2312"/>
          <w:color w:val="auto"/>
          <w:kern w:val="0"/>
          <w:sz w:val="32"/>
          <w:szCs w:val="32"/>
          <w:highlight w:val="none"/>
          <w:lang w:val="en-US" w:eastAsia="zh-CN"/>
        </w:rPr>
        <w:t>1.11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增加在编人员一名。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23.66</w:t>
      </w:r>
      <w:r>
        <w:rPr>
          <w:rFonts w:hint="eastAsia" w:ascii="仿宋_GB2312" w:hAnsi="宋体" w:eastAsia="仿宋_GB2312" w:cs="宋体"/>
          <w:color w:val="auto"/>
          <w:spacing w:val="-6"/>
          <w:kern w:val="0"/>
          <w:sz w:val="32"/>
          <w:szCs w:val="32"/>
          <w:highlight w:val="none"/>
        </w:rPr>
        <w:t>万元， 其中：</w:t>
      </w:r>
    </w:p>
    <w:p>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人员经费23.32万元，主要包括：基本工资2.70万元、津贴补贴1.19万元、奖金3.01万元、绩效工资2.32万元、机关事业单位基本养老保险缴费1.30万元、职工基本医疗保险缴费0.65万元、公务员医疗补助缴费0.18万元、其他社会保障缴费0.08万元、住房公积金1.11万元、其他工资福利支出10.78万元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公用经费0.35万元，主要包括：办公费0.10万元、差旅费0.09万元、工会经费0.16万元等。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2024年没有使用</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eastAsia="zh-CN"/>
        </w:rPr>
        <w:t>的支出</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2024年没有使用</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的支出；</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2024年没有使用</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的支出</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2024年没有使用</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eastAsia="zh-CN"/>
        </w:rPr>
        <w:t>的支出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呼图壁县人工影响天气办公室2024年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0.35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0.35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增加在编人员一名</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整体预算绩效目标1个，涉及金额23.66万元；当年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caps w:val="0"/>
                <w:color w:val="333333"/>
                <w:spacing w:val="0"/>
                <w:sz w:val="21"/>
                <w:szCs w:val="21"/>
                <w:shd w:val="clear" w:fill="FFFFFF"/>
              </w:rPr>
              <w:t>呼图壁县人工影响天气办公室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李念铎</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13179941750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把防灾减灾放在工作首位，通过拟定2024年人工影响天气工作思路，抓住一切有利天气，组织实施人工增雨抗旱作业，增加工程蓄水，使我县旱情可以得到最大限度地缓解，并降低森林火险等级，为我县农牧业生产提供人工影响天气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人工影响天气作业合格率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人工影响天气作业次数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作业设备修理维护次数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人工影响天气相关培训数量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&gt;=2人次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2024年工作计划标准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呼图壁县人工影响天气办公室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27</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4267B2D"/>
    <w:rsid w:val="05397FD9"/>
    <w:rsid w:val="05424443"/>
    <w:rsid w:val="070E6657"/>
    <w:rsid w:val="08450B28"/>
    <w:rsid w:val="0B247F12"/>
    <w:rsid w:val="0D273148"/>
    <w:rsid w:val="0D6E5FD0"/>
    <w:rsid w:val="0E9208E7"/>
    <w:rsid w:val="10587512"/>
    <w:rsid w:val="10916BDA"/>
    <w:rsid w:val="1697741D"/>
    <w:rsid w:val="1732414C"/>
    <w:rsid w:val="17BF2DCB"/>
    <w:rsid w:val="19AB792C"/>
    <w:rsid w:val="1BEB54C3"/>
    <w:rsid w:val="1C3C6084"/>
    <w:rsid w:val="1C523B42"/>
    <w:rsid w:val="1CA268B2"/>
    <w:rsid w:val="1CEB6DC6"/>
    <w:rsid w:val="1D3E1AFE"/>
    <w:rsid w:val="1EB61656"/>
    <w:rsid w:val="20DD55C0"/>
    <w:rsid w:val="22DB78DD"/>
    <w:rsid w:val="244D65B8"/>
    <w:rsid w:val="2492221D"/>
    <w:rsid w:val="25A1483F"/>
    <w:rsid w:val="26B4291F"/>
    <w:rsid w:val="26E769FA"/>
    <w:rsid w:val="293B2E83"/>
    <w:rsid w:val="2A012DF7"/>
    <w:rsid w:val="2AFC4894"/>
    <w:rsid w:val="2D480265"/>
    <w:rsid w:val="2D977453"/>
    <w:rsid w:val="2EF22236"/>
    <w:rsid w:val="30132275"/>
    <w:rsid w:val="343639DF"/>
    <w:rsid w:val="34BD2375"/>
    <w:rsid w:val="39086A18"/>
    <w:rsid w:val="396B3594"/>
    <w:rsid w:val="3DC65FC3"/>
    <w:rsid w:val="3F0363B8"/>
    <w:rsid w:val="3FDF4D23"/>
    <w:rsid w:val="3FEB3B8B"/>
    <w:rsid w:val="433A2EB8"/>
    <w:rsid w:val="43C26223"/>
    <w:rsid w:val="43D8307E"/>
    <w:rsid w:val="46CE3131"/>
    <w:rsid w:val="48E566FF"/>
    <w:rsid w:val="494F7907"/>
    <w:rsid w:val="4C0055E5"/>
    <w:rsid w:val="4C3677AE"/>
    <w:rsid w:val="4C706B3A"/>
    <w:rsid w:val="515C215D"/>
    <w:rsid w:val="51C15CED"/>
    <w:rsid w:val="52285DEB"/>
    <w:rsid w:val="52AD62F0"/>
    <w:rsid w:val="546308FE"/>
    <w:rsid w:val="5CCC3EC9"/>
    <w:rsid w:val="5F2346ED"/>
    <w:rsid w:val="61086613"/>
    <w:rsid w:val="6408782B"/>
    <w:rsid w:val="65322CBF"/>
    <w:rsid w:val="68CC52CB"/>
    <w:rsid w:val="68DE4FFE"/>
    <w:rsid w:val="694B58D7"/>
    <w:rsid w:val="69CE4E15"/>
    <w:rsid w:val="6B2D146C"/>
    <w:rsid w:val="6B7F3246"/>
    <w:rsid w:val="6BB521C2"/>
    <w:rsid w:val="6E950EF9"/>
    <w:rsid w:val="6EF07839"/>
    <w:rsid w:val="6F63000B"/>
    <w:rsid w:val="72B56DCF"/>
    <w:rsid w:val="75B570E6"/>
    <w:rsid w:val="780A1873"/>
    <w:rsid w:val="787D11B8"/>
    <w:rsid w:val="792C5912"/>
    <w:rsid w:val="7C5549AA"/>
    <w:rsid w:val="7D6E2D17"/>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2024-07-25T05:23:21Z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