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呼图壁县园户村镇良种场社区居民委员会</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呼图壁县园户村镇良种场社区居民委员会概况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呼图壁县园户村镇良种场社区居民委员会预算公开表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一、呼图壁县园户村镇良种场社区居民委员会收支总体情况表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二、呼图壁县园户村镇良种场社区居民委员会收入总体情况表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三、呼图壁县园户村镇良种场社区居民委员会支出总体情况表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呼图壁县园户村镇良种场社区居民委员会预算情况说明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四、关于呼图壁县园户村镇良种场社区居民委员会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关于呼图壁县园户村镇良种场社区居民委员会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关于呼图壁县园户村镇良种场社区居民委员会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关于呼图壁县园户村镇良种场社区居民委员会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呼图壁县园户村镇良种场社区居民委员会概况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园户村镇良种场社区居民委员会主要职能是：协调和指导社区居民养殖种植，保证退休职工工资能正常发放，各项福利社保医疗支出能及时缴纳，保障日常公用经费及时拨付，使良种场各项工作正常运转。</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r>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t>呼图壁县园户村镇良种场社区居民委员会无下属预算单位，下设5个处室，分别是：警务室、计生办、财务室、一片区、二片区。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t>呼图壁县园户村镇良种场社区居民委员会（原呼图壁县良种繁育场)编制数2 ，实有人数 2 人，其中：在职 0 人，</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r>
        <w:rPr>
          <w:rFonts w:hint="eastAsia" w:ascii="仿宋_GB2312" w:hAnsi="宋体" w:eastAsia="仿宋_GB2312" w:cs="宋体"/>
          <w:color w:val="auto"/>
          <w:kern w:val="0"/>
          <w:sz w:val="32"/>
          <w:szCs w:val="32"/>
          <w:highlight w:val="none"/>
          <w:lang w:eastAsia="zh-CN"/>
        </w:rPr>
        <w:t>，</w:t>
      </w:r>
      <w:r>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t>退休 2 人</w:t>
      </w:r>
      <w:r>
        <w:rPr>
          <w:rFonts w:hint="eastAsia" w:ascii="仿宋_GB2312" w:hAnsi="黑体" w:eastAsia="仿宋_GB2312" w:cs="宋体"/>
          <w:b w:val="0"/>
          <w:bCs w:val="0"/>
          <w:color w:val="000000" w:themeColor="text1"/>
          <w:kern w:val="0"/>
          <w:sz w:val="32"/>
          <w:szCs w:val="32"/>
          <w:highlight w:val="none"/>
          <w:lang w:eastAsia="zh-CN"/>
          <w14:textFill>
            <w14:solidFill>
              <w14:schemeClr w14:val="tx1"/>
            </w14:solidFill>
          </w14:textFill>
        </w:rPr>
        <w:t>，</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 w:val="0"/>
          <w:bCs w:val="0"/>
          <w:color w:val="000000" w:themeColor="text1"/>
          <w:kern w:val="0"/>
          <w:sz w:val="32"/>
          <w:szCs w:val="32"/>
          <w:highlight w:val="none"/>
          <w:lang w:eastAsia="zh-Hans"/>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呼图壁县园户村镇良种场社区居民委员会预算公开表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呼图壁县园户村镇良种场社区居民委员会收支总体情况表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1.65</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ind w:left="0" w:leftChars="0" w:firstLine="0" w:firstLineChars="0"/>
        <w:jc w:val="both"/>
        <w:rPr>
          <w:rFonts w:hint="eastAsia"/>
          <w:lang w:val="en-US" w:eastAsia="zh-CN"/>
        </w:rPr>
      </w:pPr>
    </w:p>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呼图壁县园户村镇良种场社区居民委员会收入总体情况表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837" w:type="dxa"/>
        <w:tblInd w:w="-627" w:type="dxa"/>
        <w:tblLayout w:type="fixed"/>
        <w:tblCellMar>
          <w:top w:w="0" w:type="dxa"/>
          <w:left w:w="108" w:type="dxa"/>
          <w:bottom w:w="0" w:type="dxa"/>
          <w:right w:w="108" w:type="dxa"/>
        </w:tblCellMar>
      </w:tblPr>
      <w:tblGrid>
        <w:gridCol w:w="555"/>
        <w:gridCol w:w="450"/>
        <w:gridCol w:w="423"/>
        <w:gridCol w:w="969"/>
        <w:gridCol w:w="633"/>
        <w:gridCol w:w="660"/>
        <w:gridCol w:w="504"/>
        <w:gridCol w:w="813"/>
        <w:gridCol w:w="556"/>
        <w:gridCol w:w="643"/>
        <w:gridCol w:w="631"/>
        <w:gridCol w:w="975"/>
        <w:gridCol w:w="540"/>
        <w:gridCol w:w="383"/>
        <w:gridCol w:w="595"/>
        <w:gridCol w:w="507"/>
      </w:tblGrid>
      <w:tr>
        <w:tblPrEx>
          <w:tblLayout w:type="fixed"/>
          <w:tblCellMar>
            <w:top w:w="0" w:type="dxa"/>
            <w:left w:w="108" w:type="dxa"/>
            <w:bottom w:w="0" w:type="dxa"/>
            <w:right w:w="108" w:type="dxa"/>
          </w:tblCellMar>
        </w:tblPrEx>
        <w:trPr>
          <w:trHeight w:val="697" w:hRule="atLeast"/>
        </w:trPr>
        <w:tc>
          <w:tcPr>
            <w:tcW w:w="142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6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3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82"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4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38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555"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3"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6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3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50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1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5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8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969"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社会保障和就业支出</w:t>
            </w:r>
          </w:p>
        </w:tc>
        <w:tc>
          <w:tcPr>
            <w:tcW w:w="633"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1.65</w:t>
            </w:r>
          </w:p>
        </w:tc>
        <w:tc>
          <w:tcPr>
            <w:tcW w:w="660"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1.65</w:t>
            </w:r>
          </w:p>
        </w:tc>
        <w:tc>
          <w:tcPr>
            <w:tcW w:w="50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81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969"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行政事业单位养老支出</w:t>
            </w:r>
          </w:p>
        </w:tc>
        <w:tc>
          <w:tcPr>
            <w:tcW w:w="63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1.65</w:t>
            </w:r>
          </w:p>
        </w:tc>
        <w:tc>
          <w:tcPr>
            <w:tcW w:w="66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1.65</w:t>
            </w: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1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969"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事业单位离退休</w:t>
            </w:r>
          </w:p>
        </w:tc>
        <w:tc>
          <w:tcPr>
            <w:tcW w:w="63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1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7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呼图壁县园户村镇良种场社区居民委员会支出总体情况表</w:t>
      </w:r>
    </w:p>
    <w:p>
      <w:pPr>
        <w:widowControl/>
        <w:spacing w:line="280" w:lineRule="exact"/>
        <w:jc w:val="both"/>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单位：万元</w:t>
      </w:r>
    </w:p>
    <w:tbl>
      <w:tblPr>
        <w:tblStyle w:val="6"/>
        <w:tblW w:w="9420" w:type="dxa"/>
        <w:tblInd w:w="-240" w:type="dxa"/>
        <w:tblLayout w:type="fixed"/>
        <w:tblCellMar>
          <w:top w:w="0" w:type="dxa"/>
          <w:left w:w="108" w:type="dxa"/>
          <w:bottom w:w="0" w:type="dxa"/>
          <w:right w:w="108" w:type="dxa"/>
        </w:tblCellMar>
      </w:tblPr>
      <w:tblGrid>
        <w:gridCol w:w="483"/>
        <w:gridCol w:w="435"/>
        <w:gridCol w:w="495"/>
        <w:gridCol w:w="2425"/>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41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2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2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社会保障和就业支出</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1.65</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1.65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行政事业单位养老支出</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1.65</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1.65</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事业单位离退休</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1.65</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1.65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rPr>
                <w:color w:val="auto"/>
                <w:highlight w:val="none"/>
              </w:rPr>
            </w:pPr>
          </w:p>
        </w:tc>
        <w:tc>
          <w:tcPr>
            <w:tcW w:w="435" w:type="dxa"/>
            <w:tcBorders>
              <w:top w:val="nil"/>
              <w:left w:val="nil"/>
              <w:bottom w:val="single" w:color="auto" w:sz="4" w:space="0"/>
              <w:right w:val="single" w:color="auto" w:sz="4" w:space="0"/>
            </w:tcBorders>
            <w:vAlign w:val="center"/>
          </w:tcPr>
          <w:p>
            <w:pPr>
              <w:rPr>
                <w:color w:val="auto"/>
                <w:highlight w:val="none"/>
              </w:rPr>
            </w:pPr>
          </w:p>
        </w:tc>
        <w:tc>
          <w:tcPr>
            <w:tcW w:w="495" w:type="dxa"/>
            <w:tcBorders>
              <w:top w:val="nil"/>
              <w:left w:val="nil"/>
              <w:bottom w:val="single" w:color="auto" w:sz="4" w:space="0"/>
              <w:right w:val="single" w:color="auto" w:sz="4" w:space="0"/>
            </w:tcBorders>
            <w:vAlign w:val="center"/>
          </w:tcPr>
          <w:p>
            <w:pPr>
              <w:rPr>
                <w:color w:val="auto"/>
                <w:highlight w:val="none"/>
              </w:rPr>
            </w:pPr>
          </w:p>
        </w:tc>
        <w:tc>
          <w:tcPr>
            <w:tcW w:w="2425" w:type="dxa"/>
            <w:tcBorders>
              <w:top w:val="nil"/>
              <w:left w:val="nil"/>
              <w:bottom w:val="single" w:color="auto" w:sz="4" w:space="0"/>
              <w:right w:val="single" w:color="auto" w:sz="4" w:space="0"/>
            </w:tcBorders>
            <w:vAlign w:val="center"/>
          </w:tcPr>
          <w:p>
            <w:pPr>
              <w:rPr>
                <w:color w:val="auto"/>
                <w:highlight w:val="none"/>
              </w:rPr>
            </w:pPr>
          </w:p>
        </w:tc>
        <w:tc>
          <w:tcPr>
            <w:tcW w:w="1844" w:type="dxa"/>
            <w:tcBorders>
              <w:top w:val="nil"/>
              <w:left w:val="nil"/>
              <w:bottom w:val="single" w:color="auto" w:sz="4" w:space="0"/>
              <w:right w:val="single" w:color="auto" w:sz="4" w:space="0"/>
            </w:tcBorders>
            <w:vAlign w:val="center"/>
          </w:tcPr>
          <w:p>
            <w:pPr>
              <w:rPr>
                <w:color w:val="auto"/>
                <w:highlight w:val="none"/>
              </w:rPr>
            </w:pPr>
          </w:p>
        </w:tc>
        <w:tc>
          <w:tcPr>
            <w:tcW w:w="1845" w:type="dxa"/>
            <w:tcBorders>
              <w:top w:val="nil"/>
              <w:left w:val="nil"/>
              <w:bottom w:val="single" w:color="auto" w:sz="4" w:space="0"/>
              <w:right w:val="single" w:color="auto" w:sz="4" w:space="0"/>
            </w:tcBorders>
            <w:vAlign w:val="center"/>
          </w:tcPr>
          <w:p>
            <w:pPr>
              <w:rPr>
                <w:color w:val="auto"/>
                <w:highlight w:val="none"/>
              </w:rPr>
            </w:pPr>
          </w:p>
        </w:tc>
        <w:tc>
          <w:tcPr>
            <w:tcW w:w="1893" w:type="dxa"/>
            <w:tcBorders>
              <w:top w:val="nil"/>
              <w:left w:val="nil"/>
              <w:bottom w:val="single" w:color="auto" w:sz="4" w:space="0"/>
              <w:right w:val="single" w:color="auto" w:sz="4" w:space="0"/>
            </w:tcBorders>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1.65</w:t>
            </w:r>
          </w:p>
        </w:tc>
        <w:tc>
          <w:tcPr>
            <w:tcW w:w="1845"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1.65</w:t>
            </w:r>
          </w:p>
        </w:tc>
        <w:tc>
          <w:tcPr>
            <w:tcW w:w="189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编制单位：呼图壁县园户村镇良种场社区居民委员会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1.65</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1.65</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1.65</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327" w:type="dxa"/>
        <w:tblInd w:w="-147" w:type="dxa"/>
        <w:tblLayout w:type="fixed"/>
        <w:tblCellMar>
          <w:top w:w="0" w:type="dxa"/>
          <w:left w:w="108" w:type="dxa"/>
          <w:bottom w:w="0" w:type="dxa"/>
          <w:right w:w="108" w:type="dxa"/>
        </w:tblCellMar>
      </w:tblPr>
      <w:tblGrid>
        <w:gridCol w:w="587"/>
        <w:gridCol w:w="500"/>
        <w:gridCol w:w="503"/>
        <w:gridCol w:w="3645"/>
        <w:gridCol w:w="270"/>
        <w:gridCol w:w="495"/>
        <w:gridCol w:w="60"/>
        <w:gridCol w:w="1566"/>
        <w:gridCol w:w="1701"/>
      </w:tblGrid>
      <w:tr>
        <w:tblPrEx>
          <w:tblLayout w:type="fixed"/>
          <w:tblCellMar>
            <w:top w:w="0" w:type="dxa"/>
            <w:left w:w="108" w:type="dxa"/>
            <w:bottom w:w="0" w:type="dxa"/>
            <w:right w:w="108" w:type="dxa"/>
          </w:tblCellMar>
        </w:tblPrEx>
        <w:trPr>
          <w:trHeight w:val="450" w:hRule="atLeast"/>
        </w:trPr>
        <w:tc>
          <w:tcPr>
            <w:tcW w:w="9327"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5235"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1"/>
                <w:szCs w:val="21"/>
                <w:highlight w:val="none"/>
                <w:lang w:eastAsia="zh-CN"/>
              </w:rPr>
              <w:t>呼图壁县园户村镇良种场社区居民委员会</w:t>
            </w:r>
          </w:p>
        </w:tc>
        <w:tc>
          <w:tcPr>
            <w:tcW w:w="27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4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3"/>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5235"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092"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9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64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825"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56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64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825"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56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val="0"/>
                <w:bCs/>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val="0"/>
                <w:bCs/>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b w:val="0"/>
                <w:bCs/>
                <w:color w:val="auto"/>
                <w:kern w:val="0"/>
                <w:sz w:val="20"/>
                <w:szCs w:val="20"/>
                <w:highlight w:val="none"/>
                <w:lang w:eastAsia="zh-CN"/>
              </w:rPr>
            </w:pPr>
            <w:r>
              <w:rPr>
                <w:rFonts w:hint="eastAsia" w:ascii="仿宋_GB2312" w:hAnsi="宋体" w:eastAsia="仿宋_GB2312" w:cs="宋体"/>
                <w:b w:val="0"/>
                <w:bCs/>
                <w:color w:val="auto"/>
                <w:kern w:val="0"/>
                <w:sz w:val="20"/>
                <w:szCs w:val="20"/>
                <w:highlight w:val="none"/>
                <w:lang w:eastAsia="zh-CN"/>
              </w:rPr>
              <w:t>社会保障和就业支出</w:t>
            </w:r>
          </w:p>
        </w:tc>
        <w:tc>
          <w:tcPr>
            <w:tcW w:w="825" w:type="dxa"/>
            <w:gridSpan w:val="3"/>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1.65</w:t>
            </w:r>
          </w:p>
        </w:tc>
        <w:tc>
          <w:tcPr>
            <w:tcW w:w="156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行政事业单位养老支出</w:t>
            </w:r>
          </w:p>
        </w:tc>
        <w:tc>
          <w:tcPr>
            <w:tcW w:w="825" w:type="dxa"/>
            <w:gridSpan w:val="3"/>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566"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64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事业单位离退休</w:t>
            </w:r>
          </w:p>
        </w:tc>
        <w:tc>
          <w:tcPr>
            <w:tcW w:w="825" w:type="dxa"/>
            <w:gridSpan w:val="3"/>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566"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25" w:type="dxa"/>
            <w:gridSpan w:val="3"/>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566"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3452"/>
        <w:gridCol w:w="585"/>
        <w:gridCol w:w="240"/>
        <w:gridCol w:w="315"/>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5371" w:type="dxa"/>
            <w:gridSpan w:val="4"/>
            <w:tcBorders>
              <w:top w:val="nil"/>
              <w:left w:val="nil"/>
              <w:bottom w:val="nil"/>
              <w:right w:val="nil"/>
            </w:tcBorders>
            <w:vAlign w:val="center"/>
          </w:tcPr>
          <w:p>
            <w:pPr>
              <w:widowControl/>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lang w:eastAsia="zh-CN"/>
              </w:rPr>
              <w:t>编制单位：呼图壁县园户村镇良种场社区居民委员会</w:t>
            </w:r>
          </w:p>
        </w:tc>
        <w:tc>
          <w:tcPr>
            <w:tcW w:w="240" w:type="dxa"/>
            <w:tcBorders>
              <w:top w:val="nil"/>
              <w:left w:val="nil"/>
              <w:bottom w:val="nil"/>
              <w:right w:val="nil"/>
            </w:tcBorders>
            <w:vAlign w:val="center"/>
          </w:tcPr>
          <w:p>
            <w:pPr>
              <w:widowControl/>
              <w:jc w:val="left"/>
              <w:rPr>
                <w:rFonts w:ascii="仿宋_GB2312" w:hAnsi="宋体" w:eastAsia="仿宋_GB2312" w:cs="宋体"/>
                <w:color w:val="auto"/>
                <w:kern w:val="0"/>
                <w:sz w:val="21"/>
                <w:szCs w:val="21"/>
                <w:highlight w:val="none"/>
              </w:rPr>
            </w:pPr>
          </w:p>
        </w:tc>
        <w:tc>
          <w:tcPr>
            <w:tcW w:w="1291"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786"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542" w:type="dxa"/>
            <w:gridSpan w:val="6"/>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45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140"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452"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140" w:type="dxa"/>
            <w:gridSpan w:val="3"/>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3452"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对个人和家庭的补助</w:t>
            </w:r>
          </w:p>
        </w:tc>
        <w:tc>
          <w:tcPr>
            <w:tcW w:w="1140" w:type="dxa"/>
            <w:gridSpan w:val="3"/>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452"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退休费</w:t>
            </w:r>
          </w:p>
        </w:tc>
        <w:tc>
          <w:tcPr>
            <w:tcW w:w="1140" w:type="dxa"/>
            <w:gridSpan w:val="3"/>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1.59</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45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奖励金</w:t>
            </w:r>
          </w:p>
        </w:tc>
        <w:tc>
          <w:tcPr>
            <w:tcW w:w="1140" w:type="dxa"/>
            <w:gridSpan w:val="3"/>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0.06</w:t>
            </w:r>
          </w:p>
        </w:tc>
        <w:tc>
          <w:tcPr>
            <w:tcW w:w="1701" w:type="dxa"/>
            <w:gridSpan w:val="2"/>
            <w:tcBorders>
              <w:top w:val="nil"/>
              <w:left w:val="nil"/>
              <w:bottom w:val="single" w:color="auto" w:sz="4" w:space="0"/>
              <w:right w:val="single" w:color="auto" w:sz="4" w:space="0"/>
            </w:tcBorders>
            <w:vAlign w:val="center"/>
          </w:tcPr>
          <w:p>
            <w:pPr>
              <w:widowControl/>
              <w:ind w:right="147" w:rightChars="7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0.06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140" w:type="dxa"/>
            <w:gridSpan w:val="3"/>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027"/>
        <w:gridCol w:w="360"/>
        <w:gridCol w:w="343"/>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5230" w:type="dxa"/>
            <w:gridSpan w:val="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1"/>
                <w:szCs w:val="21"/>
                <w:highlight w:val="none"/>
                <w:lang w:eastAsia="zh-CN"/>
              </w:rPr>
              <w:t>呼图壁县园户村镇良种场社区居民委员会</w:t>
            </w:r>
            <w:r>
              <w:rPr>
                <w:rFonts w:hint="eastAsia" w:ascii="仿宋_GB2312" w:hAnsi="宋体" w:eastAsia="仿宋_GB2312"/>
                <w:color w:val="auto"/>
                <w:kern w:val="0"/>
                <w:sz w:val="21"/>
                <w:szCs w:val="21"/>
                <w:highlight w:val="none"/>
              </w:rPr>
              <w:t xml:space="preserve"> </w:t>
            </w:r>
          </w:p>
        </w:tc>
        <w:tc>
          <w:tcPr>
            <w:tcW w:w="3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386"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102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36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4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02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4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1027" w:type="dxa"/>
            <w:vAlign w:val="top"/>
          </w:tcPr>
          <w:p>
            <w:pPr>
              <w:widowControl/>
              <w:jc w:val="left"/>
              <w:outlineLvl w:val="1"/>
              <w:rPr>
                <w:rFonts w:ascii="仿宋_GB2312" w:hAnsi="宋体" w:eastAsia="仿宋_GB2312"/>
                <w:color w:val="auto"/>
                <w:kern w:val="0"/>
                <w:sz w:val="32"/>
                <w:szCs w:val="32"/>
                <w:highlight w:val="none"/>
              </w:rPr>
            </w:pPr>
          </w:p>
        </w:tc>
        <w:tc>
          <w:tcPr>
            <w:tcW w:w="360" w:type="dxa"/>
            <w:vAlign w:val="top"/>
          </w:tcPr>
          <w:p>
            <w:pPr>
              <w:widowControl/>
              <w:jc w:val="left"/>
              <w:outlineLvl w:val="1"/>
              <w:rPr>
                <w:rFonts w:ascii="仿宋_GB2312" w:hAnsi="宋体" w:eastAsia="仿宋_GB2312"/>
                <w:color w:val="auto"/>
                <w:kern w:val="0"/>
                <w:sz w:val="32"/>
                <w:szCs w:val="32"/>
                <w:highlight w:val="none"/>
              </w:rPr>
            </w:pPr>
          </w:p>
        </w:tc>
        <w:tc>
          <w:tcPr>
            <w:tcW w:w="343"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_GB2312"/>
          <w:b/>
          <w:bCs/>
          <w:kern w:val="0"/>
          <w:sz w:val="28"/>
          <w:szCs w:val="28"/>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b/>
          <w:bCs/>
          <w:sz w:val="28"/>
          <w:szCs w:val="28"/>
        </w:rPr>
        <w:t>202</w:t>
      </w:r>
      <w:r>
        <w:rPr>
          <w:rFonts w:hint="eastAsia"/>
          <w:b/>
          <w:bCs/>
          <w:sz w:val="28"/>
          <w:szCs w:val="28"/>
          <w:lang w:val="en-US" w:eastAsia="zh-CN"/>
        </w:rPr>
        <w:t>4</w:t>
      </w:r>
      <w:r>
        <w:rPr>
          <w:b/>
          <w:bCs/>
          <w:sz w:val="28"/>
          <w:szCs w:val="28"/>
        </w:rPr>
        <w:t>年未安排项目支出预算，此表</w:t>
      </w:r>
      <w:r>
        <w:rPr>
          <w:rFonts w:hint="eastAsia"/>
          <w:b/>
          <w:bCs/>
          <w:sz w:val="28"/>
          <w:szCs w:val="28"/>
          <w:lang w:val="en-US" w:eastAsia="zh-CN"/>
        </w:rPr>
        <w:t>为空</w:t>
      </w:r>
      <w:r>
        <w:rPr>
          <w:rFonts w:hint="eastAsia" w:ascii="仿宋_GB2312" w:hAnsi="宋体" w:eastAsia="仿宋_GB2312"/>
          <w:b/>
          <w:bCs/>
          <w:kern w:val="0"/>
          <w:sz w:val="28"/>
          <w:szCs w:val="28"/>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w:t>
      </w:r>
      <w:r>
        <w:rPr>
          <w:rFonts w:hint="eastAsia" w:ascii="仿宋_GB2312" w:hAnsi="仿宋_GB2312" w:eastAsia="仿宋_GB2312" w:cs="仿宋_GB2312"/>
          <w:b/>
          <w:bCs/>
          <w:sz w:val="28"/>
          <w:szCs w:val="28"/>
        </w:rPr>
        <w:t>202</w:t>
      </w: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年</w:t>
      </w:r>
      <w:r>
        <w:rPr>
          <w:rFonts w:hint="eastAsia" w:ascii="仿宋_GB2312" w:hAnsi="仿宋_GB2312" w:eastAsia="仿宋_GB2312" w:cs="仿宋_GB2312"/>
          <w:b/>
          <w:bCs/>
          <w:sz w:val="28"/>
          <w:szCs w:val="28"/>
          <w:lang w:val="en-US" w:eastAsia="zh-CN"/>
        </w:rPr>
        <w:t>无政府性基金</w:t>
      </w:r>
      <w:r>
        <w:rPr>
          <w:rFonts w:hint="eastAsia" w:ascii="仿宋_GB2312" w:hAnsi="仿宋_GB2312" w:eastAsia="仿宋_GB2312" w:cs="仿宋_GB2312"/>
          <w:b/>
          <w:bCs/>
          <w:sz w:val="28"/>
          <w:szCs w:val="28"/>
        </w:rPr>
        <w:t>支出预算，此表</w:t>
      </w:r>
      <w:r>
        <w:rPr>
          <w:rFonts w:hint="eastAsia" w:ascii="仿宋_GB2312" w:hAnsi="仿宋_GB2312" w:eastAsia="仿宋_GB2312" w:cs="仿宋_GB2312"/>
          <w:b/>
          <w:bCs/>
          <w:sz w:val="28"/>
          <w:szCs w:val="28"/>
          <w:lang w:val="en-US" w:eastAsia="zh-CN"/>
        </w:rPr>
        <w:t>为空</w:t>
      </w:r>
      <w:r>
        <w:rPr>
          <w:rFonts w:hint="eastAsia" w:ascii="仿宋_GB2312" w:hAnsi="仿宋_GB2312" w:eastAsia="仿宋_GB2312" w:cs="仿宋_GB2312"/>
          <w:b/>
          <w:bCs/>
          <w:sz w:val="28"/>
          <w:szCs w:val="28"/>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仿宋_GB2312" w:eastAsia="仿宋_GB2312" w:cs="仿宋_GB2312"/>
          <w:b/>
          <w:bCs w:val="0"/>
          <w:sz w:val="28"/>
          <w:szCs w:val="28"/>
        </w:rPr>
        <w:t>202</w:t>
      </w:r>
      <w:r>
        <w:rPr>
          <w:rFonts w:hint="eastAsia" w:ascii="仿宋_GB2312" w:hAnsi="仿宋_GB2312" w:eastAsia="仿宋_GB2312" w:cs="仿宋_GB2312"/>
          <w:b/>
          <w:bCs w:val="0"/>
          <w:sz w:val="28"/>
          <w:szCs w:val="28"/>
          <w:lang w:val="en-US" w:eastAsia="zh-CN"/>
        </w:rPr>
        <w:t>4</w:t>
      </w:r>
      <w:r>
        <w:rPr>
          <w:rFonts w:hint="eastAsia" w:ascii="仿宋_GB2312" w:hAnsi="仿宋_GB2312" w:eastAsia="仿宋_GB2312" w:cs="仿宋_GB2312"/>
          <w:b/>
          <w:bCs w:val="0"/>
          <w:sz w:val="28"/>
          <w:szCs w:val="28"/>
        </w:rPr>
        <w:t>年</w:t>
      </w:r>
      <w:r>
        <w:rPr>
          <w:rFonts w:hint="eastAsia" w:ascii="仿宋_GB2312" w:hAnsi="仿宋_GB2312" w:eastAsia="仿宋_GB2312" w:cs="仿宋_GB2312"/>
          <w:b/>
          <w:bCs w:val="0"/>
          <w:sz w:val="28"/>
          <w:szCs w:val="28"/>
          <w:lang w:val="en-US" w:eastAsia="zh-CN"/>
        </w:rPr>
        <w:t>本单位无国有经营预算支出，此表为空</w:t>
      </w:r>
      <w:r>
        <w:rPr>
          <w:rFonts w:hint="eastAsia" w:ascii="仿宋_GB2312" w:hAnsi="仿宋_GB2312" w:eastAsia="仿宋_GB2312" w:cs="仿宋_GB2312"/>
          <w:b/>
          <w:bCs w:val="0"/>
          <w:kern w:val="0"/>
          <w:sz w:val="28"/>
          <w:szCs w:val="32"/>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 w:hAnsi="仿宋" w:eastAsia="仿宋" w:cs="仿宋"/>
          <w:b/>
          <w:bCs/>
          <w:sz w:val="28"/>
          <w:szCs w:val="28"/>
        </w:rPr>
        <w:t>202</w:t>
      </w: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年未安排“三公”经费支出预算，此表</w:t>
      </w:r>
      <w:r>
        <w:rPr>
          <w:rFonts w:hint="eastAsia" w:ascii="仿宋" w:hAnsi="仿宋" w:eastAsia="仿宋" w:cs="仿宋"/>
          <w:b/>
          <w:bCs/>
          <w:sz w:val="28"/>
          <w:szCs w:val="28"/>
          <w:lang w:val="en-US" w:eastAsia="zh-CN"/>
        </w:rPr>
        <w:t>为空</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ind w:left="0" w:leftChars="0" w:firstLine="0" w:firstLineChars="0"/>
        <w:jc w:val="both"/>
        <w:rPr>
          <w:rFonts w:hint="eastAsia"/>
        </w:rPr>
      </w:pPr>
    </w:p>
    <w:p>
      <w:pPr>
        <w:rPr>
          <w:rFonts w:hint="eastAsia"/>
        </w:rPr>
      </w:pPr>
    </w:p>
    <w:p>
      <w:pPr>
        <w:pStyle w:val="2"/>
        <w:rPr>
          <w:rFonts w:hint="eastAsia"/>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2024年无结余，此表为空</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984" w:bottom="1984" w:left="209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呼图壁县园户村镇良种场社区居民委员会预算情况说明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w:t>
      </w:r>
      <w:r>
        <w:rPr>
          <w:rFonts w:hint="eastAsia" w:ascii="楷体_GB2312" w:hAnsi="楷体_GB2312" w:eastAsia="楷体_GB2312" w:cs="楷体_GB2312"/>
          <w:b/>
          <w:bCs w:val="0"/>
          <w:color w:val="auto"/>
          <w:kern w:val="0"/>
          <w:sz w:val="32"/>
          <w:szCs w:val="32"/>
          <w:highlight w:val="none"/>
          <w:lang w:eastAsia="zh-CN"/>
        </w:rPr>
        <w:t>于呼图壁县园户村镇良种场社区居民委员会2024年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呼图壁县园户村镇良种场社区居民委员会</w:t>
      </w:r>
      <w:r>
        <w:rPr>
          <w:rFonts w:hint="eastAsia" w:ascii="仿宋_GB2312" w:hAnsi="宋体" w:eastAsia="仿宋_GB2312" w:cs="宋体"/>
          <w:kern w:val="0"/>
          <w:sz w:val="32"/>
          <w:szCs w:val="32"/>
        </w:rPr>
        <w:t>所有收入和支出均纳</w:t>
      </w:r>
      <w:r>
        <w:rPr>
          <w:rFonts w:hint="eastAsia" w:ascii="仿宋_GB2312" w:hAnsi="宋体" w:eastAsia="仿宋_GB2312" w:cs="宋体"/>
          <w:kern w:val="0"/>
          <w:sz w:val="32"/>
          <w:szCs w:val="32"/>
        </w:rPr>
        <mc:AlternateContent>
          <mc:Choice Requires="wpg">
            <w:drawing>
              <wp:inline distT="0" distB="0" distL="114300" distR="114300">
                <wp:extent cx="10160" cy="2540"/>
                <wp:effectExtent l="0" t="0" r="0" b="0"/>
                <wp:docPr id="19438" name="组合 19438"/>
                <wp:cNvGraphicFramePr/>
                <a:graphic xmlns:a="http://schemas.openxmlformats.org/drawingml/2006/main">
                  <a:graphicData uri="http://schemas.microsoft.com/office/word/2010/wordprocessingGroup">
                    <wpg:wgp>
                      <wpg:cNvGrpSpPr/>
                      <wpg:grpSpPr>
                        <a:xfrm>
                          <a:off x="0" y="0"/>
                          <a:ext cx="10160" cy="2540"/>
                          <a:chOff x="0" y="0"/>
                          <a:chExt cx="10668" cy="3048"/>
                        </a:xfrm>
                        <a:effectLst/>
                      </wpg:grpSpPr>
                      <pic:pic xmlns:pic="http://schemas.openxmlformats.org/drawingml/2006/picture">
                        <pic:nvPicPr>
                          <pic:cNvPr id="1064" name="Picture 1064"/>
                          <pic:cNvPicPr/>
                        </pic:nvPicPr>
                        <pic:blipFill>
                          <a:blip r:embed="rId7"/>
                          <a:stretch>
                            <a:fillRect/>
                          </a:stretch>
                        </pic:blipFill>
                        <pic:spPr>
                          <a:xfrm>
                            <a:off x="0" y="0"/>
                            <a:ext cx="3048" cy="3048"/>
                          </a:xfrm>
                          <a:prstGeom prst="rect">
                            <a:avLst/>
                          </a:prstGeom>
                          <a:noFill/>
                          <a:ln>
                            <a:noFill/>
                          </a:ln>
                          <a:effectLst/>
                        </pic:spPr>
                      </pic:pic>
                      <pic:pic xmlns:pic="http://schemas.openxmlformats.org/drawingml/2006/picture">
                        <pic:nvPicPr>
                          <pic:cNvPr id="1066" name="Picture 1066"/>
                          <pic:cNvPicPr/>
                        </pic:nvPicPr>
                        <pic:blipFill>
                          <a:blip r:embed="rId8"/>
                          <a:stretch>
                            <a:fillRect/>
                          </a:stretch>
                        </pic:blipFill>
                        <pic:spPr>
                          <a:xfrm>
                            <a:off x="7620" y="0"/>
                            <a:ext cx="3048" cy="3048"/>
                          </a:xfrm>
                          <a:prstGeom prst="rect">
                            <a:avLst/>
                          </a:prstGeom>
                          <a:noFill/>
                          <a:ln>
                            <a:noFill/>
                          </a:ln>
                          <a:effectLst/>
                        </pic:spPr>
                      </pic:pic>
                    </wpg:wgp>
                  </a:graphicData>
                </a:graphic>
              </wp:inline>
            </w:drawing>
          </mc:Choice>
          <mc:Fallback>
            <w:pict>
              <v:group id="_x0000_s1026" o:spid="_x0000_s1026" o:spt="203" style="height:0.2pt;width:0.8pt;" coordsize="10668,3048" o:gfxdata="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">
                <o:lock v:ext="edit" aspectratio="f"/>
                <v:shape id="Picture 1064" o:spid="_x0000_s1026" o:spt="75" type="#_x0000_t75" style="position:absolute;left:0;top:0;height:3048;width:3048;" filled="f" o:preferrelative="t" stroked="f" coordsize="21600,21600" o:gfxdata="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czE3vQAA&#10;AN0AAAAPAAAAAAAAAAEAIAAAACIAAABkcnMvZG93bnJldi54bWxQSwECFAAUAAAACACHTuJAMy8F&#10;njsAAAA5AAAAEAAAAAAAAAABACAAAAAMAQAAZHJzL3NoYXBleG1sLnhtbFBLBQYAAAAABgAGAFsB&#10;AAC2AwAAAAA=&#10;">
                  <v:fill on="f" focussize="0,0"/>
                  <v:stroke on="f"/>
                  <v:imagedata r:id="rId7" o:title=""/>
                  <o:lock v:ext="edit" aspectratio="f"/>
                </v:shape>
                <v:shape id="Picture 1066" o:spid="_x0000_s1026" o:spt="75" type="#_x0000_t75" style="position:absolute;left:7620;top:0;height:3048;width:3048;" filled="f" o:preferrelative="t" stroked="f" coordsize="21600,21600" o:gfxdata="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A4Sl2/&#10;AAAA3QAAAA8AAAAAAAAAAQAgAAAAIgAAAGRycy9kb3ducmV2LnhtbFBLAQIUABQAAAAIAIdO4kAz&#10;LwWeOwAAADkAAAAQAAAAAAAAAAEAIAAAAA4BAABkcnMvc2hhcGV4bWwueG1sUEsFBgAAAAAGAAYA&#10;WwEAALgDAAAAAA==&#10;">
                  <v:fill on="f" focussize="0,0"/>
                  <v:stroke on="f"/>
                  <v:imagedata r:id="rId8" o:title=""/>
                  <o:lock v:ext="edit" aspectratio="f"/>
                </v:shape>
                <w10:wrap type="none"/>
                <w10:anchorlock/>
              </v:group>
            </w:pict>
          </mc:Fallback>
        </mc:AlternateContent>
      </w:r>
      <w:r>
        <w:rPr>
          <w:rFonts w:hint="eastAsia" w:ascii="仿宋_GB2312" w:hAnsi="宋体" w:eastAsia="仿宋_GB2312" w:cs="宋体"/>
          <w:kern w:val="0"/>
          <w:sz w:val="32"/>
          <w:szCs w:val="32"/>
        </w:rPr>
        <w:t>入</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预算管理。收支总预算</w:t>
      </w:r>
      <w:r>
        <w:rPr>
          <w:rFonts w:hint="eastAsia" w:ascii="仿宋_GB2312" w:hAnsi="宋体" w:eastAsia="仿宋_GB2312" w:cs="宋体"/>
          <w:kern w:val="0"/>
          <w:sz w:val="32"/>
          <w:szCs w:val="32"/>
          <w:lang w:val="en-US" w:eastAsia="zh-CN"/>
        </w:rPr>
        <w:t>1.65</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1.65万元。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支出预算包括：</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1.65万元。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呼图壁县园户村镇良种场社区居民委员会</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0.11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医保计算基数调整</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上级一般公共预算安排的转移支付资金未安排。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政府性基金预算未安排。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上级政府性基金安排的转移支付资金未安排。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国有资本经营预算未安排。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单位未安排，</w:t>
      </w:r>
    </w:p>
    <w:p>
      <w:pPr>
        <w:pStyle w:val="2"/>
        <w:jc w:val="both"/>
        <w:rPr>
          <w:rFonts w:hint="eastAsia"/>
          <w:lang w:eastAsia="zh-CN"/>
        </w:rPr>
      </w:pPr>
      <w:r>
        <w:rPr>
          <w:rFonts w:hint="eastAsia" w:ascii="仿宋_GB2312" w:hAnsi="宋体" w:eastAsia="仿宋_GB2312" w:cs="宋体"/>
          <w:color w:val="auto"/>
          <w:kern w:val="0"/>
          <w:sz w:val="32"/>
          <w:szCs w:val="32"/>
          <w:highlight w:val="none"/>
          <w:lang w:eastAsia="zh-CN"/>
        </w:rPr>
        <w:t>财政专户未安排。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呼图壁县园户村镇良种场社区居民委员会2024年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0.11</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6.25 %，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医保计算基数调整</w:t>
      </w:r>
      <w:r>
        <w:rPr>
          <w:rFonts w:hint="eastAsia" w:ascii="仿宋_GB2312" w:hAnsi="宋体" w:eastAsia="仿宋_GB2312" w:cs="宋体"/>
          <w:color w:val="auto"/>
          <w:kern w:val="0"/>
          <w:sz w:val="32"/>
          <w:szCs w:val="32"/>
          <w:highlight w:val="none"/>
        </w:rPr>
        <w:t>。</w:t>
      </w:r>
    </w:p>
    <w:p>
      <w:pPr>
        <w:pStyle w:val="2"/>
        <w:ind w:left="0" w:leftChars="0" w:firstLine="640" w:firstLineChars="200"/>
        <w:jc w:val="both"/>
        <w:rPr>
          <w:rFonts w:hint="eastAsia" w:eastAsia="仿宋_GB2312"/>
          <w:lang w:eastAsia="zh-CN"/>
        </w:rPr>
      </w:pPr>
      <w:r>
        <w:rPr>
          <w:rFonts w:hint="eastAsia" w:ascii="仿宋_GB2312" w:hAnsi="宋体" w:eastAsia="仿宋_GB2312" w:cs="宋体"/>
          <w:color w:val="auto"/>
          <w:kern w:val="0"/>
          <w:sz w:val="32"/>
          <w:szCs w:val="32"/>
          <w:highlight w:val="none"/>
          <w:lang w:eastAsia="zh-CN"/>
        </w:rPr>
        <w:t>本部门无项目支出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kern w:val="0"/>
          <w:sz w:val="32"/>
          <w:szCs w:val="32"/>
          <w:highlight w:val="none"/>
        </w:rPr>
        <w:t>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1.65</w:t>
      </w:r>
      <w:r>
        <w:rPr>
          <w:rFonts w:hint="eastAsia" w:ascii="仿宋_GB2312" w:hAnsi="宋体" w:eastAsia="仿宋_GB2312" w:cs="宋体"/>
          <w:kern w:val="0"/>
          <w:sz w:val="32"/>
          <w:szCs w:val="32"/>
        </w:rPr>
        <w:t>万元。</w:t>
      </w:r>
    </w:p>
    <w:p>
      <w:pPr>
        <w:spacing w:line="560" w:lineRule="exact"/>
        <w:ind w:firstLine="616" w:firstLineChars="200"/>
        <w:rPr>
          <w:rFonts w:hint="eastAsia"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w:t>
      </w:r>
      <w:r>
        <w:rPr>
          <w:rFonts w:hint="eastAsia" w:ascii="仿宋_GB2312" w:hAnsi="宋体" w:eastAsia="仿宋_GB2312" w:cs="宋体"/>
          <w:kern w:val="0"/>
          <w:sz w:val="32"/>
          <w:szCs w:val="32"/>
          <w:lang w:val="en-US" w:eastAsia="zh-CN"/>
        </w:rPr>
        <w:t>1.65</w:t>
      </w:r>
      <w:r>
        <w:rPr>
          <w:rFonts w:hint="eastAsia" w:ascii="仿宋_GB2312" w:hAnsi="宋体" w:eastAsia="仿宋_GB2312" w:cs="宋体"/>
          <w:kern w:val="0"/>
          <w:sz w:val="32"/>
          <w:szCs w:val="32"/>
        </w:rPr>
        <w:t xml:space="preserve"> 万元。</w:t>
      </w:r>
    </w:p>
    <w:p>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一般公共预算支出包括：</w:t>
      </w:r>
      <w:r>
        <w:rPr>
          <w:rFonts w:hint="eastAsia" w:ascii="仿宋_GB2312" w:hAnsi="宋体" w:eastAsia="仿宋_GB2312" w:cs="宋体"/>
          <w:kern w:val="0"/>
          <w:sz w:val="32"/>
          <w:szCs w:val="32"/>
          <w:lang w:val="en-US" w:eastAsia="zh-CN"/>
        </w:rPr>
        <w:t>208-社会保障和就业支出1.65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主要用于退休人员医保和福利支出。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呼图壁县良种场社区居民委员会2024年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万元，其中：基本支出 </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万元，比上年预算减少</w:t>
      </w:r>
      <w:r>
        <w:rPr>
          <w:rFonts w:hint="eastAsia" w:ascii="仿宋_GB2312" w:hAnsi="仿宋_GB2312" w:eastAsia="仿宋_GB2312" w:cs="仿宋_GB2312"/>
          <w:color w:val="auto"/>
          <w:kern w:val="0"/>
          <w:sz w:val="32"/>
          <w:szCs w:val="32"/>
          <w:highlight w:val="none"/>
          <w:lang w:val="en-US" w:eastAsia="zh-CN"/>
        </w:rPr>
        <w:t>0.11</w:t>
      </w:r>
      <w:r>
        <w:rPr>
          <w:rFonts w:hint="eastAsia" w:ascii="仿宋_GB2312" w:hAnsi="仿宋_GB2312" w:eastAsia="仿宋_GB2312" w:cs="仿宋_GB2312"/>
          <w:color w:val="auto"/>
          <w:kern w:val="0"/>
          <w:sz w:val="32"/>
          <w:szCs w:val="32"/>
          <w:highlight w:val="none"/>
        </w:rPr>
        <w:t xml:space="preserve"> 万元，下降</w:t>
      </w:r>
      <w:r>
        <w:rPr>
          <w:rFonts w:hint="eastAsia" w:ascii="仿宋_GB2312" w:hAnsi="仿宋_GB2312" w:eastAsia="仿宋_GB2312" w:cs="仿宋_GB2312"/>
          <w:color w:val="auto"/>
          <w:kern w:val="0"/>
          <w:sz w:val="32"/>
          <w:szCs w:val="32"/>
          <w:highlight w:val="none"/>
          <w:lang w:val="en-US" w:eastAsia="zh-CN"/>
        </w:rPr>
        <w:t>6.25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eastAsia="zh-CN"/>
        </w:rPr>
        <w:t>医保计算基数调整</w:t>
      </w:r>
      <w:r>
        <w:rPr>
          <w:rFonts w:hint="eastAsia" w:ascii="仿宋_GB2312" w:hAnsi="仿宋_GB2312" w:eastAsia="仿宋_GB2312" w:cs="仿宋_GB2312"/>
          <w:color w:val="auto"/>
          <w:kern w:val="0"/>
          <w:sz w:val="32"/>
          <w:szCs w:val="32"/>
          <w:highlight w:val="none"/>
        </w:rPr>
        <w:t>。</w:t>
      </w:r>
    </w:p>
    <w:p>
      <w:pPr>
        <w:pStyle w:val="2"/>
        <w:keepNext/>
        <w:keepLines/>
        <w:pageBreakBefore w:val="0"/>
        <w:widowControl w:val="0"/>
        <w:kinsoku/>
        <w:wordWrap/>
        <w:overflowPunct/>
        <w:topLinePunct w:val="0"/>
        <w:autoSpaceDE/>
        <w:autoSpaceDN/>
        <w:bidi w:val="0"/>
        <w:adjustRightInd/>
        <w:snapToGrid/>
        <w:spacing w:after="0" w:line="260" w:lineRule="auto"/>
        <w:ind w:left="0" w:leftChars="0" w:right="0" w:firstLine="640" w:firstLineChars="200"/>
        <w:jc w:val="left"/>
        <w:textAlignment w:val="auto"/>
        <w:rPr>
          <w:rFonts w:hint="default" w:eastAsia="仿宋_GB2312"/>
          <w:lang w:val="en-US" w:eastAsia="zh-CN"/>
        </w:rPr>
      </w:pPr>
      <w:r>
        <w:rPr>
          <w:rFonts w:hint="eastAsia" w:eastAsia="仿宋_GB2312"/>
          <w:lang w:val="en-US" w:eastAsia="zh-CN"/>
        </w:rPr>
        <w:t>项目支出0万元，比上年增加0万元，增长0%，主要原因是本单位只有两名退休人员。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社会保障和就业支出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b/>
          <w:color w:val="auto"/>
          <w:sz w:val="32"/>
          <w:szCs w:val="32"/>
          <w:highlight w:val="none"/>
        </w:rPr>
        <w:t xml:space="preserve"> </w:t>
      </w:r>
      <w:r>
        <w:rPr>
          <w:rFonts w:hint="eastAsia" w:ascii="仿宋_GB2312" w:hAnsi="仿宋_GB2312" w:eastAsia="仿宋_GB2312" w:cs="仿宋_GB2312"/>
          <w:b/>
          <w:color w:val="auto"/>
          <w:sz w:val="32"/>
          <w:szCs w:val="32"/>
          <w:highlight w:val="none"/>
          <w:lang w:val="en-US" w:eastAsia="zh-CN"/>
        </w:rPr>
        <w:t>1.65</w:t>
      </w:r>
      <w:r>
        <w:rPr>
          <w:rFonts w:hint="eastAsia" w:ascii="仿宋_GB2312" w:hAnsi="仿宋_GB2312" w:eastAsia="仿宋_GB2312" w:cs="仿宋_GB2312"/>
          <w:b/>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eastAsia="zh-CN"/>
        </w:rPr>
        <w:t>社会保障和就业支出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208</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eastAsia="zh-CN"/>
        </w:rPr>
        <w:t>事业单位离退休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调整退休人员支出款项。</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呼图壁县园户村镇良种场社区居民委员会</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1.65</w:t>
      </w:r>
      <w:r>
        <w:rPr>
          <w:rFonts w:hint="eastAsia" w:ascii="仿宋_GB2312" w:hAnsi="宋体" w:eastAsia="仿宋_GB2312" w:cs="宋体"/>
          <w:color w:val="auto"/>
          <w:spacing w:val="-6"/>
          <w:kern w:val="0"/>
          <w:sz w:val="32"/>
          <w:szCs w:val="32"/>
          <w:highlight w:val="none"/>
        </w:rPr>
        <w:t xml:space="preserve"> 万元， 其中：</w:t>
      </w:r>
    </w:p>
    <w:p>
      <w:pPr>
        <w:pStyle w:val="5"/>
        <w:widowControl/>
        <w:spacing w:before="0" w:beforeAutospacing="0" w:after="0" w:afterAutospacing="0" w:line="56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1.65</w:t>
      </w:r>
      <w:r>
        <w:rPr>
          <w:rFonts w:hint="eastAsia" w:ascii="仿宋_GB2312" w:hAnsi="宋体" w:eastAsia="仿宋_GB2312" w:cs="宋体"/>
          <w:sz w:val="32"/>
          <w:szCs w:val="32"/>
        </w:rPr>
        <w:t>万元，主要包括：退休费</w:t>
      </w:r>
      <w:r>
        <w:rPr>
          <w:rFonts w:hint="eastAsia" w:ascii="仿宋_GB2312" w:hAnsi="宋体" w:eastAsia="仿宋_GB2312" w:cs="宋体"/>
          <w:sz w:val="32"/>
          <w:szCs w:val="32"/>
          <w:lang w:val="en-US" w:eastAsia="zh-CN"/>
        </w:rPr>
        <w:t>1.59万元</w:t>
      </w:r>
      <w:r>
        <w:rPr>
          <w:rFonts w:hint="eastAsia" w:ascii="仿宋_GB2312" w:hAnsi="宋体" w:eastAsia="仿宋_GB2312" w:cs="宋体"/>
          <w:sz w:val="32"/>
          <w:szCs w:val="32"/>
        </w:rPr>
        <w:t>、奖励金</w:t>
      </w:r>
      <w:r>
        <w:rPr>
          <w:rFonts w:hint="eastAsia" w:ascii="仿宋_GB2312" w:hAnsi="宋体" w:eastAsia="仿宋_GB2312" w:cs="宋体"/>
          <w:sz w:val="32"/>
          <w:szCs w:val="32"/>
          <w:highlight w:val="none"/>
          <w:lang w:val="en-US" w:eastAsia="zh-CN"/>
        </w:rPr>
        <w:t>0.06万元</w:t>
      </w:r>
      <w:r>
        <w:rPr>
          <w:rFonts w:hint="eastAsia" w:ascii="仿宋_GB2312" w:hAnsi="宋体" w:eastAsia="仿宋_GB2312" w:cs="宋体"/>
          <w:sz w:val="32"/>
          <w:szCs w:val="32"/>
          <w:highlight w:val="none"/>
        </w:rPr>
        <w:t xml:space="preserve">。  </w:t>
      </w:r>
    </w:p>
    <w:p>
      <w:pPr>
        <w:pStyle w:val="5"/>
        <w:widowControl/>
        <w:spacing w:before="0" w:beforeAutospacing="0" w:after="0" w:afterAutospacing="0" w:line="560" w:lineRule="exact"/>
        <w:ind w:firstLine="640" w:firstLineChars="200"/>
        <w:rPr>
          <w:rFonts w:hint="default"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eastAsia="zh-CN"/>
        </w:rPr>
        <w:t>公用经费</w:t>
      </w:r>
      <w:r>
        <w:rPr>
          <w:rFonts w:hint="eastAsia" w:ascii="仿宋_GB2312" w:hAnsi="宋体" w:eastAsia="仿宋_GB2312" w:cs="宋体"/>
          <w:sz w:val="32"/>
          <w:szCs w:val="32"/>
          <w:highlight w:val="none"/>
          <w:lang w:val="en-US" w:eastAsia="zh-CN"/>
        </w:rPr>
        <w:t>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 w:hAnsi="仿宋" w:eastAsia="仿宋" w:cs="仿宋"/>
          <w:sz w:val="32"/>
          <w:szCs w:val="32"/>
          <w:lang w:val="en-US" w:eastAsia="zh-CN"/>
        </w:rPr>
        <w:t>呼图壁县园户村镇良种场社区居民委员会</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 w:hAnsi="仿宋" w:eastAsia="仿宋" w:cs="仿宋"/>
          <w:sz w:val="32"/>
          <w:szCs w:val="32"/>
          <w:lang w:val="en-US" w:eastAsia="zh-CN"/>
        </w:rPr>
        <w:t>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关于呼图壁县园户村镇良种场社区居民委员会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 w:hAnsi="仿宋" w:eastAsia="仿宋" w:cs="仿宋"/>
          <w:sz w:val="32"/>
          <w:szCs w:val="32"/>
          <w:lang w:val="en-US" w:eastAsia="zh-CN"/>
        </w:rPr>
        <w:t>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、关于呼图壁县园户村镇良种场社区居民委员会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 w:hAnsi="仿宋" w:eastAsia="仿宋" w:cs="仿宋"/>
          <w:sz w:val="32"/>
          <w:szCs w:val="32"/>
          <w:lang w:val="en-US" w:eastAsia="zh-CN"/>
        </w:rPr>
        <w:t>呼图壁县园户村镇良种场社区居民委员会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w:t>
      </w:r>
      <w:r>
        <w:rPr>
          <w:rFonts w:hint="eastAsia" w:ascii="仿宋" w:hAnsi="仿宋" w:eastAsia="仿宋" w:cs="仿宋"/>
          <w:sz w:val="32"/>
          <w:szCs w:val="32"/>
          <w:lang w:val="en-US" w:eastAsia="zh-CN"/>
        </w:rPr>
        <w:t>主要原因是单位没有在职人员，未安排预算。</w:t>
      </w:r>
    </w:p>
    <w:p>
      <w:pPr>
        <w:spacing w:line="560" w:lineRule="exact"/>
        <w:ind w:firstLine="640" w:firstLineChars="200"/>
        <w:rPr>
          <w:rFonts w:hint="eastAsia"/>
          <w:lang w:val="en-US" w:eastAsia="zh-CN"/>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无预算安排</w:t>
      </w:r>
      <w:r>
        <w:rPr>
          <w:rFonts w:hint="eastAsia" w:ascii="仿宋_GB2312" w:hAnsi="宋体" w:eastAsia="仿宋_GB2312" w:cs="宋体"/>
          <w:kern w:val="0"/>
          <w:sz w:val="32"/>
          <w:szCs w:val="32"/>
        </w:rPr>
        <w:t>；公务用车购置费增加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无预算安排</w:t>
      </w:r>
      <w:r>
        <w:rPr>
          <w:rFonts w:hint="eastAsia" w:ascii="仿宋_GB2312" w:hAnsi="宋体" w:eastAsia="仿宋_GB2312" w:cs="宋体"/>
          <w:kern w:val="0"/>
          <w:sz w:val="32"/>
          <w:szCs w:val="32"/>
        </w:rPr>
        <w:t>；公务用车运行费增加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无预算安排</w:t>
      </w:r>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无预算安排。</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、关于呼图壁县园户村镇良种场社区居民委员会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 w:hAnsi="仿宋" w:eastAsia="仿宋" w:cs="仿宋"/>
          <w:sz w:val="32"/>
          <w:szCs w:val="32"/>
          <w:lang w:val="en-US" w:eastAsia="zh-CN"/>
        </w:rPr>
        <w:t>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 w:hAnsi="仿宋" w:eastAsia="仿宋" w:cs="仿宋"/>
          <w:sz w:val="32"/>
          <w:szCs w:val="32"/>
          <w:lang w:val="en-US" w:eastAsia="zh-CN"/>
        </w:rPr>
        <w:t>呼图壁县园户村镇良种场社区居民委员会</w:t>
      </w:r>
      <w:r>
        <w:rPr>
          <w:rFonts w:hint="eastAsia" w:ascii="仿宋_GB2312" w:hAnsi="仿宋_GB2312" w:eastAsia="仿宋_GB2312" w:cs="仿宋_GB2312"/>
          <w:kern w:val="0"/>
          <w:sz w:val="32"/>
          <w:szCs w:val="32"/>
        </w:rPr>
        <w:t>本级及下属</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家行政单位和</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家事业单位的机关运行经费财政拨款预算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sz w:val="32"/>
          <w:szCs w:val="32"/>
        </w:rPr>
        <w:t>主要原因是单位没有在职人员，不发生机关运行经费 。</w:t>
      </w: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 w:hAnsi="仿宋" w:eastAsia="仿宋" w:cs="仿宋"/>
          <w:sz w:val="32"/>
          <w:szCs w:val="32"/>
          <w:lang w:val="en-US" w:eastAsia="zh-CN"/>
        </w:rPr>
        <w:t>呼图壁县园户村镇良种场社区居民委员会</w:t>
      </w:r>
      <w:r>
        <w:rPr>
          <w:rFonts w:hint="eastAsia" w:ascii="仿宋_GB2312" w:hAnsi="仿宋_GB2312" w:eastAsia="仿宋_GB2312" w:cs="仿宋_GB2312"/>
          <w:kern w:val="0"/>
          <w:sz w:val="32"/>
          <w:szCs w:val="32"/>
        </w:rPr>
        <w:t>政府采购预算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万元，其中：政府采购货物预算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年度本单位面向中小企业预留政府采购项目预算金额</w:t>
      </w:r>
      <w:r>
        <w:rPr>
          <w:rFonts w:hint="eastAsia" w:ascii="仿宋_GB2312" w:hAnsi="仿宋_GB2312" w:eastAsia="仿宋_GB2312" w:cs="仿宋_GB2312"/>
          <w:sz w:val="32"/>
          <w:lang w:val="en-US" w:eastAsia="zh-CN"/>
        </w:rPr>
        <w:t>0</w:t>
      </w:r>
      <w:r>
        <w:rPr>
          <w:rFonts w:hint="eastAsia" w:ascii="仿宋_GB2312" w:hAnsi="仿宋_GB2312" w:eastAsia="仿宋_GB2312" w:cs="仿宋_GB2312"/>
          <w:sz w:val="32"/>
        </w:rPr>
        <w:t xml:space="preserve"> 万元，其中：面向小微企业预留政府采购项目预算金额</w:t>
      </w:r>
      <w:r>
        <w:rPr>
          <w:rFonts w:hint="eastAsia" w:ascii="仿宋_GB2312" w:hAnsi="仿宋_GB2312" w:eastAsia="仿宋_GB2312" w:cs="仿宋_GB2312"/>
          <w:sz w:val="32"/>
          <w:lang w:val="en-US" w:eastAsia="zh-CN"/>
        </w:rPr>
        <w:t>0</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 w:hAnsi="仿宋" w:eastAsia="仿宋" w:cs="仿宋"/>
          <w:sz w:val="32"/>
          <w:szCs w:val="32"/>
          <w:lang w:val="en-US" w:eastAsia="zh-CN"/>
        </w:rPr>
        <w:t>呼图壁县园户村镇良种场社区居民委员会</w:t>
      </w:r>
      <w:r>
        <w:rPr>
          <w:rFonts w:hint="eastAsia" w:ascii="仿宋_GB2312" w:hAnsi="仿宋_GB2312" w:eastAsia="仿宋_GB2312" w:cs="仿宋_GB2312"/>
          <w:kern w:val="0"/>
          <w:sz w:val="32"/>
          <w:szCs w:val="32"/>
        </w:rPr>
        <w:t>及下属各预算单位占用使用国有资产总体情况为</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1.房屋 </w:t>
      </w:r>
      <w:r>
        <w:rPr>
          <w:rFonts w:hint="eastAsia" w:ascii="仿宋_GB2312" w:hAnsi="仿宋_GB2312" w:eastAsia="仿宋_GB2312" w:cs="仿宋_GB2312"/>
          <w:kern w:val="0"/>
          <w:sz w:val="32"/>
          <w:szCs w:val="32"/>
          <w:lang w:val="en-US" w:eastAsia="zh-CN"/>
        </w:rPr>
        <w:t>4425</w:t>
      </w:r>
      <w:r>
        <w:rPr>
          <w:rFonts w:hint="eastAsia" w:ascii="仿宋_GB2312" w:hAnsi="仿宋_GB2312" w:eastAsia="仿宋_GB2312" w:cs="仿宋_GB2312"/>
          <w:kern w:val="0"/>
          <w:sz w:val="32"/>
          <w:szCs w:val="32"/>
        </w:rPr>
        <w:t xml:space="preserve">平方米，价值 </w:t>
      </w:r>
      <w:r>
        <w:rPr>
          <w:rFonts w:hint="eastAsia" w:ascii="仿宋_GB2312" w:hAnsi="仿宋_GB2312" w:eastAsia="仿宋_GB2312" w:cs="仿宋_GB2312"/>
          <w:kern w:val="0"/>
          <w:sz w:val="32"/>
          <w:szCs w:val="32"/>
          <w:lang w:val="en-US" w:eastAsia="zh-CN"/>
        </w:rPr>
        <w:t>61.68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2.车辆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  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sz w:val="32"/>
          <w:szCs w:val="32"/>
        </w:rPr>
        <w:t>349.88</w:t>
      </w:r>
      <w:r>
        <w:rPr>
          <w:rFonts w:hint="eastAsia" w:ascii="仿宋_GB2312" w:hAnsi="仿宋_GB2312" w:eastAsia="仿宋_GB2312" w:cs="仿宋_GB2312"/>
          <w:kern w:val="0"/>
          <w:sz w:val="32"/>
          <w:szCs w:val="32"/>
        </w:rPr>
        <w:t xml:space="preserve"> 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 w:hAnsi="仿宋" w:eastAsia="仿宋" w:cs="仿宋"/>
          <w:sz w:val="32"/>
          <w:szCs w:val="32"/>
          <w:lang w:val="en-US" w:eastAsia="zh-CN"/>
        </w:rPr>
        <w:t>呼图壁县园户村镇良种场社区居民委员会</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年，本部门预算绩效管理整体预算绩效目标1个，涉及金额</w:t>
      </w:r>
      <w:r>
        <w:rPr>
          <w:rFonts w:hint="eastAsia" w:ascii="仿宋_GB2312" w:hAnsi="仿宋_GB2312" w:eastAsia="仿宋_GB2312" w:cs="仿宋_GB2312"/>
          <w:kern w:val="0"/>
          <w:sz w:val="32"/>
          <w:szCs w:val="32"/>
          <w:lang w:val="en-US" w:eastAsia="zh-CN"/>
        </w:rPr>
        <w:t>1.65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Hans"/>
        </w:rPr>
        <w:t>万元；非财政拨款项目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Hans"/>
        </w:rPr>
        <w:t>个，</w:t>
      </w:r>
      <w:r>
        <w:rPr>
          <w:rFonts w:hint="eastAsia" w:ascii="仿宋_GB2312" w:hAnsi="仿宋_GB2312" w:eastAsia="仿宋_GB2312" w:cs="仿宋_GB2312"/>
          <w:kern w:val="0"/>
          <w:sz w:val="32"/>
          <w:szCs w:val="32"/>
        </w:rPr>
        <w:t>涉及预算金额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万元。</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呼图壁县园户村镇良种场社区居民委员会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马娟</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19190692670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通过上级部门拨付资金，有效核实退休职工信息，保证退休职工冬碳费、独生子女奖励金、全年绩效及时发放；保证退休职工医疗保险、大额医疗保险、公务员医疗补助按时缴纳。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保障人员人数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=2人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基本医疗参保人数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2人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基本医疗保险参保率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line="600" w:lineRule="exact"/>
        <w:ind w:left="0" w:right="0" w:firstLine="643" w:firstLineChars="200"/>
        <w:jc w:val="left"/>
        <w:textAlignment w:val="auto"/>
        <w:outlineLvl w:val="9"/>
        <w:rPr>
          <w:rFonts w:hint="eastAsia" w:ascii="楷体_GB2312" w:hAnsi="宋体" w:eastAsia="楷体_GB2312" w:cs="宋体"/>
          <w:b/>
          <w:kern w:val="0"/>
          <w:sz w:val="32"/>
          <w:szCs w:val="32"/>
          <w:highlight w:val="none"/>
          <w:lang w:val="en-US" w:eastAsia="zh-CN"/>
        </w:rPr>
      </w:pPr>
      <w:bookmarkStart w:id="0" w:name="_GoBack"/>
      <w:r>
        <w:rPr>
          <w:rFonts w:hint="eastAsia" w:ascii="楷体_GB2312" w:hAnsi="宋体" w:eastAsia="楷体_GB2312" w:cs="宋体"/>
          <w:b/>
          <w:kern w:val="0"/>
          <w:sz w:val="32"/>
          <w:szCs w:val="32"/>
          <w:highlight w:val="none"/>
          <w:lang w:val="en-US" w:eastAsia="zh-CN"/>
        </w:rPr>
        <w:t>2024 年度本单位面向中小企业预留政府采购项目预算未安排，面向小微企业预留政府采购项目预算未安排。</w:t>
      </w:r>
    </w:p>
    <w:p>
      <w:pPr>
        <w:pStyle w:val="2"/>
        <w:pageBreakBefore w:val="0"/>
        <w:widowControl w:val="0"/>
        <w:kinsoku/>
        <w:wordWrap/>
        <w:overflowPunct/>
        <w:topLinePunct w:val="0"/>
        <w:autoSpaceDE/>
        <w:autoSpaceDN/>
        <w:bidi w:val="0"/>
        <w:adjustRightInd/>
        <w:snapToGrid/>
        <w:spacing w:after="0"/>
        <w:ind w:left="0" w:right="0" w:firstLine="640" w:firstLineChars="200"/>
        <w:jc w:val="left"/>
        <w:textAlignment w:val="auto"/>
        <w:rPr>
          <w:rFonts w:hint="default"/>
          <w:lang w:val="en-US" w:eastAsia="zh-CN"/>
        </w:rPr>
      </w:pPr>
      <w:r>
        <w:rPr>
          <w:rFonts w:hint="eastAsia" w:ascii="仿宋_GB2312" w:hAnsi="仿宋_GB2312" w:eastAsia="仿宋_GB2312" w:cs="仿宋_GB2312"/>
          <w:kern w:val="0"/>
          <w:sz w:val="32"/>
          <w:szCs w:val="32"/>
          <w:lang w:eastAsia="zh-Hans"/>
        </w:rPr>
        <w:t>非财政拨款项目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Hans"/>
        </w:rPr>
        <w:t>个，</w:t>
      </w:r>
      <w:r>
        <w:rPr>
          <w:rFonts w:hint="eastAsia" w:ascii="仿宋_GB2312" w:hAnsi="仿宋_GB2312" w:eastAsia="仿宋_GB2312" w:cs="仿宋_GB2312"/>
          <w:kern w:val="0"/>
          <w:sz w:val="32"/>
          <w:szCs w:val="32"/>
        </w:rPr>
        <w:t>涉及预算金额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万元</w:t>
      </w:r>
    </w:p>
    <w:bookmarkEnd w:id="0"/>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呼图壁县园户村镇良种场社区居民委员会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27</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iNzUwZmQxZDdkZjc1ODU4NzBiODk1MmRjMDAyYmIifQ=="/>
  </w:docVars>
  <w:rsids>
    <w:rsidRoot w:val="10587512"/>
    <w:rsid w:val="00EE2224"/>
    <w:rsid w:val="02D212D8"/>
    <w:rsid w:val="04267B2D"/>
    <w:rsid w:val="05397FD9"/>
    <w:rsid w:val="070E6657"/>
    <w:rsid w:val="08450B28"/>
    <w:rsid w:val="093D6186"/>
    <w:rsid w:val="0B247F12"/>
    <w:rsid w:val="0D6E5FD0"/>
    <w:rsid w:val="0E9208E7"/>
    <w:rsid w:val="0F072621"/>
    <w:rsid w:val="0FAE6C29"/>
    <w:rsid w:val="10587512"/>
    <w:rsid w:val="10916BDA"/>
    <w:rsid w:val="12C44EE7"/>
    <w:rsid w:val="13E07980"/>
    <w:rsid w:val="141472A5"/>
    <w:rsid w:val="163C11D6"/>
    <w:rsid w:val="1697741D"/>
    <w:rsid w:val="1732414C"/>
    <w:rsid w:val="18357EE7"/>
    <w:rsid w:val="1A785AD0"/>
    <w:rsid w:val="1BEB54C3"/>
    <w:rsid w:val="1C3C6084"/>
    <w:rsid w:val="1CEB6DC6"/>
    <w:rsid w:val="1D3E1AFE"/>
    <w:rsid w:val="1D682B0D"/>
    <w:rsid w:val="1E48649A"/>
    <w:rsid w:val="1EB61656"/>
    <w:rsid w:val="20DD55C0"/>
    <w:rsid w:val="22DB78DD"/>
    <w:rsid w:val="244D65B8"/>
    <w:rsid w:val="2492221D"/>
    <w:rsid w:val="26B4291F"/>
    <w:rsid w:val="26E769FA"/>
    <w:rsid w:val="28533CA0"/>
    <w:rsid w:val="2936771D"/>
    <w:rsid w:val="293B2E83"/>
    <w:rsid w:val="2A012DF7"/>
    <w:rsid w:val="2AFC4894"/>
    <w:rsid w:val="2D480265"/>
    <w:rsid w:val="2D977453"/>
    <w:rsid w:val="2EF22236"/>
    <w:rsid w:val="31137F8D"/>
    <w:rsid w:val="36283642"/>
    <w:rsid w:val="377D6D5D"/>
    <w:rsid w:val="3B247C1B"/>
    <w:rsid w:val="3CC80A7A"/>
    <w:rsid w:val="3D956A92"/>
    <w:rsid w:val="3F977A6D"/>
    <w:rsid w:val="3FDF4D23"/>
    <w:rsid w:val="415723CD"/>
    <w:rsid w:val="42586A16"/>
    <w:rsid w:val="42C61B2F"/>
    <w:rsid w:val="43C26223"/>
    <w:rsid w:val="43D8307E"/>
    <w:rsid w:val="43E963FC"/>
    <w:rsid w:val="46CE3131"/>
    <w:rsid w:val="494F7907"/>
    <w:rsid w:val="4C0055E5"/>
    <w:rsid w:val="4C3677AE"/>
    <w:rsid w:val="4C706B3A"/>
    <w:rsid w:val="51694182"/>
    <w:rsid w:val="51C15CED"/>
    <w:rsid w:val="52285DEB"/>
    <w:rsid w:val="52AD62F0"/>
    <w:rsid w:val="546308FE"/>
    <w:rsid w:val="56723A6D"/>
    <w:rsid w:val="5F2346ED"/>
    <w:rsid w:val="61086613"/>
    <w:rsid w:val="639032C1"/>
    <w:rsid w:val="6408782B"/>
    <w:rsid w:val="65322CBF"/>
    <w:rsid w:val="683E1A6D"/>
    <w:rsid w:val="68CC52CB"/>
    <w:rsid w:val="68DE4FFE"/>
    <w:rsid w:val="694B58D7"/>
    <w:rsid w:val="69CE4E15"/>
    <w:rsid w:val="6B7F3246"/>
    <w:rsid w:val="6EF07839"/>
    <w:rsid w:val="6F63000B"/>
    <w:rsid w:val="71540351"/>
    <w:rsid w:val="72B56DCF"/>
    <w:rsid w:val="75B570E6"/>
    <w:rsid w:val="769E5DCD"/>
    <w:rsid w:val="780A1873"/>
    <w:rsid w:val="787D11B8"/>
    <w:rsid w:val="792C5912"/>
    <w:rsid w:val="7AF36B0E"/>
    <w:rsid w:val="7BB35690"/>
    <w:rsid w:val="7E8B30DA"/>
    <w:rsid w:val="7F095C4D"/>
    <w:rsid w:val="7F5E7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after="3" w:line="259" w:lineRule="auto"/>
      <w:ind w:left="648" w:right="2340" w:hanging="10"/>
      <w:jc w:val="center"/>
      <w:outlineLvl w:val="2"/>
    </w:pPr>
    <w:rPr>
      <w:rFonts w:ascii="仿宋" w:hAnsi="仿宋" w:eastAsia="仿宋" w:cs="仿宋"/>
      <w:color w:val="000000"/>
      <w:kern w:val="2"/>
      <w:sz w:val="32"/>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6241</Words>
  <Characters>6848</Characters>
  <Lines>0</Lines>
  <Paragraphs>0</Paragraphs>
  <TotalTime>1</TotalTime>
  <ScaleCrop>false</ScaleCrop>
  <LinksUpToDate>false</LinksUpToDate>
  <CharactersWithSpaces>8291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2024-07-25T05:30:58Z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B581B557352D4638A52E08427680A311_13</vt:lpwstr>
  </property>
</Properties>
</file>