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呼图壁县大丰镇卫生院</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呼图壁县大丰镇卫生院</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呼图壁县大丰镇卫生院</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呼图壁县大丰镇卫生院</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呼图壁县大丰镇卫生院</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default" w:ascii="仿宋_GB2312" w:hAnsi="宋体" w:eastAsia="仿宋_GB2312" w:cs="宋体"/>
          <w:bCs/>
          <w:color w:val="auto"/>
          <w:kern w:val="0"/>
          <w:sz w:val="32"/>
          <w:szCs w:val="32"/>
          <w:highlight w:val="none"/>
          <w:lang w:val="en-US"/>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呼图壁县大丰镇卫生院是一个公益一类综合医疗机构。其任务是雀尔沟镇各项医疗卫生工作，组织领导群众卫生运动，培养卫生技术人员。并对村卫生室进行指导工作。是农村医疗网点的重要工作，担负着医疗防疫、保健的重要任务。是属于执行事业单位会计制度的一组预算单位。</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2"/>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从预算单位构成看，</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宋体" w:eastAsia="仿宋_GB2312" w:cs="宋体"/>
          <w:color w:val="auto"/>
          <w:kern w:val="0"/>
          <w:sz w:val="32"/>
          <w:szCs w:val="32"/>
          <w:highlight w:val="none"/>
        </w:rPr>
        <w:t>的预算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rPr>
        <w:t>下属预算单位</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宋体" w:eastAsia="仿宋_GB2312" w:cs="宋体"/>
          <w:color w:val="auto"/>
          <w:kern w:val="0"/>
          <w:sz w:val="32"/>
          <w:szCs w:val="32"/>
          <w:highlight w:val="none"/>
        </w:rPr>
        <w:t>的预算</w:t>
      </w:r>
      <w:r>
        <w:rPr>
          <w:rFonts w:hint="eastAsia" w:ascii="仿宋_GB2312" w:hAnsi="宋体" w:eastAsia="仿宋_GB2312" w:cs="宋体"/>
          <w:color w:val="auto"/>
          <w:kern w:val="0"/>
          <w:sz w:val="32"/>
          <w:szCs w:val="32"/>
          <w:highlight w:val="none"/>
          <w:lang w:val="en-US" w:eastAsia="zh-CN"/>
        </w:rPr>
        <w:t>就是</w:t>
      </w:r>
      <w:r>
        <w:rPr>
          <w:rFonts w:hint="eastAsia" w:ascii="仿宋_GB2312" w:hAnsi="宋体" w:eastAsia="仿宋_GB2312" w:cs="宋体"/>
          <w:color w:val="auto"/>
          <w:kern w:val="0"/>
          <w:sz w:val="32"/>
          <w:szCs w:val="32"/>
          <w:highlight w:val="none"/>
        </w:rPr>
        <w:t>本级预算</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left="638" w:leftChars="304" w:firstLine="0" w:firstLineChars="0"/>
        <w:jc w:val="lef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hAnsi="宋体" w:eastAsia="仿宋_GB2312" w:cs="宋体"/>
          <w:color w:val="auto"/>
          <w:kern w:val="0"/>
          <w:sz w:val="32"/>
          <w:szCs w:val="32"/>
          <w:highlight w:val="none"/>
          <w:lang w:val="en-US" w:eastAsia="zh-CN"/>
        </w:rPr>
        <w:t>三</w:t>
      </w:r>
      <w:r>
        <w:rPr>
          <w:rFonts w:hint="eastAsia" w:ascii="仿宋_GB2312" w:hAnsi="黑体" w:eastAsia="仿宋_GB2312" w:cs="宋体"/>
          <w:bCs/>
          <w:color w:val="auto"/>
          <w:kern w:val="0"/>
          <w:sz w:val="32"/>
          <w:szCs w:val="32"/>
          <w:highlight w:val="none"/>
        </w:rPr>
        <w:t>个处室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科室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，分别是</w:t>
      </w:r>
      <w:r>
        <w:rPr>
          <w:rFonts w:hint="eastAsia" w:ascii="仿宋_GB2312" w:hAnsi="黑体" w:eastAsia="仿宋_GB2312" w:cs="宋体"/>
          <w:bCs/>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一、职能科室：包括财务科、综合业务办、护理部；</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二、医技科室：包括药剂科、检验科、功能科、放射科；</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三、临床科室：包括内儿科门诊、住院部、公共卫生科。</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呼图壁县大丰镇卫生院单位</w:t>
      </w:r>
      <w:r>
        <w:rPr>
          <w:rFonts w:hint="eastAsia" w:ascii="仿宋_GB2312" w:hAnsi="宋体" w:eastAsia="仿宋_GB2312" w:cs="宋体"/>
          <w:color w:val="auto"/>
          <w:kern w:val="0"/>
          <w:sz w:val="32"/>
          <w:szCs w:val="32"/>
          <w:highlight w:val="none"/>
        </w:rPr>
        <w:t xml:space="preserve">编制数 </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人 </w:t>
      </w:r>
      <w:r>
        <w:rPr>
          <w:rFonts w:hint="eastAsia" w:ascii="仿宋_GB2312" w:hAnsi="宋体" w:eastAsia="仿宋_GB2312" w:cs="宋体"/>
          <w:color w:val="auto"/>
          <w:kern w:val="0"/>
          <w:sz w:val="32"/>
          <w:szCs w:val="32"/>
          <w:highlight w:val="none"/>
        </w:rPr>
        <w:t xml:space="preserve">，实有人数 </w:t>
      </w:r>
      <w:r>
        <w:rPr>
          <w:rFonts w:hint="eastAsia" w:ascii="仿宋_GB2312" w:hAnsi="宋体" w:eastAsia="仿宋_GB2312" w:cs="宋体"/>
          <w:color w:val="auto"/>
          <w:kern w:val="0"/>
          <w:sz w:val="32"/>
          <w:szCs w:val="32"/>
          <w:highlight w:val="none"/>
          <w:lang w:val="en-US" w:eastAsia="zh-CN"/>
        </w:rPr>
        <w:t>27</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0人；</w:t>
      </w:r>
      <w:r>
        <w:rPr>
          <w:rFonts w:hint="eastAsia" w:ascii="仿宋_GB2312" w:hAnsi="宋体" w:eastAsia="仿宋_GB2312" w:cs="宋体"/>
          <w:color w:val="auto"/>
          <w:kern w:val="0"/>
          <w:sz w:val="32"/>
          <w:szCs w:val="32"/>
          <w:highlight w:val="none"/>
        </w:rPr>
        <w:t xml:space="preserve">退休 </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 xml:space="preserve">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lang w:val="en-US" w:eastAsia="zh-CN"/>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Lines="0" w:line="540" w:lineRule="exact"/>
        <w:ind w:firstLine="1280" w:firstLineChars="400"/>
        <w:jc w:val="both"/>
        <w:textAlignment w:val="auto"/>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w:t>
      </w:r>
      <w:r>
        <w:rPr>
          <w:rFonts w:hint="eastAsia" w:ascii="黑体" w:hAnsi="黑体" w:eastAsia="黑体"/>
          <w:color w:val="auto"/>
          <w:kern w:val="0"/>
          <w:sz w:val="32"/>
          <w:szCs w:val="32"/>
          <w:highlight w:val="none"/>
          <w:lang w:val="en-US" w:eastAsia="zh-CN"/>
        </w:rPr>
        <w:t>大丰</w:t>
      </w:r>
      <w:r>
        <w:rPr>
          <w:rFonts w:hint="eastAsia" w:ascii="仿宋_GB2312" w:hAnsi="仿宋_GB2312" w:eastAsia="仿宋_GB2312" w:cs="仿宋_GB2312"/>
          <w:b/>
          <w:color w:val="auto"/>
          <w:kern w:val="0"/>
          <w:sz w:val="32"/>
          <w:szCs w:val="32"/>
          <w:highlight w:val="none"/>
          <w:lang w:val="en-US" w:eastAsia="zh-CN"/>
        </w:rPr>
        <w:t>卫生院</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呼图壁县</w:t>
      </w:r>
      <w:r>
        <w:rPr>
          <w:rFonts w:hint="eastAsia" w:ascii="黑体" w:hAnsi="黑体" w:eastAsia="黑体"/>
          <w:color w:val="auto"/>
          <w:kern w:val="0"/>
          <w:sz w:val="32"/>
          <w:szCs w:val="32"/>
          <w:highlight w:val="none"/>
          <w:lang w:val="en-US" w:eastAsia="zh-CN"/>
        </w:rPr>
        <w:t>大丰</w:t>
      </w:r>
      <w:r>
        <w:rPr>
          <w:rFonts w:hint="eastAsia" w:ascii="仿宋_GB2312" w:hAnsi="仿宋_GB2312" w:eastAsia="仿宋_GB2312" w:cs="仿宋_GB2312"/>
          <w:b/>
          <w:color w:val="auto"/>
          <w:kern w:val="0"/>
          <w:sz w:val="32"/>
          <w:szCs w:val="32"/>
          <w:highlight w:val="none"/>
          <w:lang w:val="en-US" w:eastAsia="zh-CN"/>
        </w:rPr>
        <w:t>卫生院</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044"/>
        <w:gridCol w:w="1386"/>
        <w:gridCol w:w="2590"/>
        <w:gridCol w:w="1642"/>
      </w:tblGrid>
      <w:tr>
        <w:tblPrEx>
          <w:tblCellMar>
            <w:top w:w="0" w:type="dxa"/>
            <w:left w:w="108" w:type="dxa"/>
            <w:bottom w:w="0" w:type="dxa"/>
            <w:right w:w="108" w:type="dxa"/>
          </w:tblCellMar>
        </w:tblPrEx>
        <w:trPr>
          <w:trHeight w:val="360" w:hRule="atLeast"/>
        </w:trPr>
        <w:tc>
          <w:tcPr>
            <w:tcW w:w="4430"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232"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59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64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386" w:type="dxa"/>
            <w:tcBorders>
              <w:top w:val="nil"/>
              <w:left w:val="nil"/>
              <w:bottom w:val="single" w:color="auto" w:sz="4" w:space="0"/>
              <w:right w:val="single" w:color="auto" w:sz="4" w:space="0"/>
            </w:tcBorders>
            <w:noWrap w:val="0"/>
            <w:vAlign w:val="center"/>
          </w:tcPr>
          <w:p>
            <w:pPr>
              <w:widowControl/>
              <w:tabs>
                <w:tab w:val="left" w:pos="571"/>
                <w:tab w:val="right" w:pos="1187"/>
              </w:tabs>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996.21</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356.34</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356.34</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38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88.35</w:t>
            </w:r>
          </w:p>
        </w:tc>
      </w:tr>
      <w:tr>
        <w:tblPrEx>
          <w:tblCellMar>
            <w:top w:w="0" w:type="dxa"/>
            <w:left w:w="108" w:type="dxa"/>
            <w:bottom w:w="0" w:type="dxa"/>
            <w:right w:w="108" w:type="dxa"/>
          </w:tblCellMar>
        </w:tblPrEx>
        <w:trPr>
          <w:trHeight w:val="315"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841.59</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639.8</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0.07</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0.07</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0.07</w:t>
            </w: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66.27</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86"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044"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3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59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64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044"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3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996.21</w:t>
            </w:r>
          </w:p>
        </w:tc>
        <w:tc>
          <w:tcPr>
            <w:tcW w:w="2590"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64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rPr>
              <w:t>996.21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lang w:val="en-US" w:eastAsia="zh-CN"/>
        </w:rPr>
        <w:t>呼图壁县</w:t>
      </w:r>
      <w:r>
        <w:rPr>
          <w:rFonts w:hint="eastAsia" w:ascii="黑体" w:hAnsi="黑体" w:eastAsia="黑体"/>
          <w:color w:val="auto"/>
          <w:kern w:val="0"/>
          <w:sz w:val="32"/>
          <w:szCs w:val="32"/>
          <w:highlight w:val="none"/>
          <w:lang w:val="en-US" w:eastAsia="zh-CN"/>
        </w:rPr>
        <w:t>大丰</w:t>
      </w:r>
      <w:r>
        <w:rPr>
          <w:rFonts w:hint="eastAsia" w:ascii="仿宋_GB2312" w:hAnsi="仿宋_GB2312" w:eastAsia="仿宋_GB2312" w:cs="仿宋_GB2312"/>
          <w:b/>
          <w:color w:val="auto"/>
          <w:kern w:val="0"/>
          <w:sz w:val="32"/>
          <w:szCs w:val="32"/>
          <w:highlight w:val="none"/>
          <w:lang w:val="en-US" w:eastAsia="zh-CN"/>
        </w:rPr>
        <w:t>卫生院</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单位：万元</w:t>
      </w:r>
    </w:p>
    <w:tbl>
      <w:tblPr>
        <w:tblStyle w:val="7"/>
        <w:tblW w:w="9698" w:type="dxa"/>
        <w:tblInd w:w="-450" w:type="dxa"/>
        <w:tblLayout w:type="fixed"/>
        <w:tblCellMar>
          <w:top w:w="0" w:type="dxa"/>
          <w:left w:w="108" w:type="dxa"/>
          <w:bottom w:w="0" w:type="dxa"/>
          <w:right w:w="108" w:type="dxa"/>
        </w:tblCellMar>
      </w:tblPr>
      <w:tblGrid>
        <w:gridCol w:w="638"/>
        <w:gridCol w:w="415"/>
        <w:gridCol w:w="365"/>
        <w:gridCol w:w="820"/>
        <w:gridCol w:w="653"/>
        <w:gridCol w:w="762"/>
        <w:gridCol w:w="817"/>
        <w:gridCol w:w="981"/>
        <w:gridCol w:w="320"/>
        <w:gridCol w:w="776"/>
        <w:gridCol w:w="386"/>
        <w:gridCol w:w="734"/>
        <w:gridCol w:w="506"/>
        <w:gridCol w:w="725"/>
        <w:gridCol w:w="560"/>
        <w:gridCol w:w="240"/>
      </w:tblGrid>
      <w:tr>
        <w:tblPrEx>
          <w:tblCellMar>
            <w:top w:w="0" w:type="dxa"/>
            <w:left w:w="108" w:type="dxa"/>
            <w:bottom w:w="0" w:type="dxa"/>
            <w:right w:w="108" w:type="dxa"/>
          </w:tblCellMar>
        </w:tblPrEx>
        <w:trPr>
          <w:trHeight w:val="697" w:hRule="atLeast"/>
        </w:trPr>
        <w:tc>
          <w:tcPr>
            <w:tcW w:w="141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5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76"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06"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2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6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24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63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6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20"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53"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1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8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7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8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3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06"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5"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60"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240"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415"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shd w:val="clear" w:color="auto" w:fill="auto"/>
            <w:noWrap w:val="0"/>
            <w:vAlign w:val="center"/>
          </w:tcPr>
          <w:p>
            <w:pPr>
              <w:jc w:val="both"/>
              <w:rPr>
                <w:rFonts w:hint="default" w:ascii="仿宋_GB2312" w:hAnsi="宋体" w:eastAsia="仿宋_GB2312" w:cs="宋体"/>
                <w:color w:val="auto"/>
                <w:sz w:val="20"/>
                <w:szCs w:val="20"/>
                <w:highlight w:val="none"/>
                <w:lang w:val="en-US" w:eastAsia="zh-CN"/>
              </w:rPr>
            </w:pPr>
            <w:r>
              <w:rPr>
                <w:rFonts w:hint="default" w:ascii="仿宋_GB2312" w:hAnsi="宋体" w:eastAsia="仿宋_GB2312" w:cs="宋体"/>
                <w:color w:val="auto"/>
                <w:sz w:val="20"/>
                <w:szCs w:val="20"/>
                <w:highlight w:val="none"/>
                <w:lang w:val="en-US" w:eastAsia="zh-CN"/>
              </w:rPr>
              <w:t>社会保障和就业支出</w:t>
            </w:r>
          </w:p>
        </w:tc>
        <w:tc>
          <w:tcPr>
            <w:tcW w:w="65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88.34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88.34</w:t>
            </w:r>
            <w:r>
              <w:rPr>
                <w:rFonts w:hint="eastAsia" w:ascii="仿宋_GB2312" w:eastAsia="仿宋_GB2312"/>
                <w:color w:val="auto"/>
                <w:sz w:val="20"/>
                <w:szCs w:val="20"/>
                <w:highlight w:val="none"/>
              </w:rPr>
              <w:t>　</w:t>
            </w:r>
          </w:p>
        </w:tc>
        <w:tc>
          <w:tcPr>
            <w:tcW w:w="81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88.34</w:t>
            </w:r>
            <w:r>
              <w:rPr>
                <w:rFonts w:hint="eastAsia" w:ascii="仿宋_GB2312" w:eastAsia="仿宋_GB2312"/>
                <w:color w:val="auto"/>
                <w:sz w:val="20"/>
                <w:szCs w:val="20"/>
                <w:highlight w:val="none"/>
              </w:rPr>
              <w:t>　</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50.22</w:t>
            </w:r>
          </w:p>
        </w:tc>
        <w:tc>
          <w:tcPr>
            <w:tcW w:w="56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24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60" w:hRule="atLeast"/>
        </w:trPr>
        <w:tc>
          <w:tcPr>
            <w:tcW w:w="638"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41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　</w:t>
            </w:r>
          </w:p>
        </w:tc>
        <w:tc>
          <w:tcPr>
            <w:tcW w:w="65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88.34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88.34</w:t>
            </w:r>
            <w:r>
              <w:rPr>
                <w:rFonts w:hint="eastAsia" w:ascii="仿宋_GB2312" w:eastAsia="仿宋_GB2312"/>
                <w:color w:val="auto"/>
                <w:sz w:val="20"/>
                <w:szCs w:val="20"/>
                <w:highlight w:val="none"/>
              </w:rPr>
              <w:t>　</w:t>
            </w:r>
          </w:p>
        </w:tc>
        <w:tc>
          <w:tcPr>
            <w:tcW w:w="8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88.34</w:t>
            </w:r>
            <w:r>
              <w:rPr>
                <w:rFonts w:hint="eastAsia" w:ascii="仿宋_GB2312" w:eastAsia="仿宋_GB2312"/>
                <w:color w:val="auto"/>
                <w:sz w:val="20"/>
                <w:szCs w:val="20"/>
                <w:highlight w:val="none"/>
              </w:rPr>
              <w:t>　</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50.22</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75" w:hRule="atLeast"/>
        </w:trPr>
        <w:tc>
          <w:tcPr>
            <w:tcW w:w="638"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rPr>
              <w:t>208</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事业单位离退休</w:t>
            </w:r>
          </w:p>
        </w:tc>
        <w:tc>
          <w:tcPr>
            <w:tcW w:w="653"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6.61</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6.61</w:t>
            </w:r>
            <w:r>
              <w:rPr>
                <w:rFonts w:hint="eastAsia" w:ascii="仿宋_GB2312" w:eastAsia="仿宋_GB2312"/>
                <w:color w:val="auto"/>
                <w:sz w:val="20"/>
                <w:szCs w:val="20"/>
                <w:highlight w:val="none"/>
              </w:rPr>
              <w:t>　</w:t>
            </w:r>
          </w:p>
        </w:tc>
        <w:tc>
          <w:tcPr>
            <w:tcW w:w="81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6.61</w:t>
            </w:r>
            <w:r>
              <w:rPr>
                <w:rFonts w:hint="eastAsia" w:ascii="仿宋_GB2312" w:eastAsia="仿宋_GB2312"/>
                <w:color w:val="auto"/>
                <w:sz w:val="20"/>
                <w:szCs w:val="20"/>
                <w:highlight w:val="none"/>
              </w:rPr>
              <w:t>　</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396" w:hRule="atLeast"/>
        </w:trPr>
        <w:tc>
          <w:tcPr>
            <w:tcW w:w="638"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宋体"/>
                <w:color w:val="auto"/>
                <w:sz w:val="20"/>
                <w:szCs w:val="20"/>
                <w:highlight w:val="none"/>
                <w:lang w:val="en-US" w:eastAsia="zh-CN"/>
              </w:rPr>
            </w:pPr>
            <w:r>
              <w:rPr>
                <w:rFonts w:hint="eastAsia" w:ascii="仿宋_GB2312"/>
                <w:color w:val="auto"/>
                <w:sz w:val="20"/>
                <w:szCs w:val="20"/>
                <w:highlight w:val="none"/>
                <w:lang w:val="en-US" w:eastAsia="zh-CN"/>
              </w:rPr>
              <w:t>208</w:t>
            </w:r>
          </w:p>
        </w:tc>
        <w:tc>
          <w:tcPr>
            <w:tcW w:w="41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36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8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机关事业单位基本养老保险缴费支出</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72.48</w:t>
            </w:r>
          </w:p>
        </w:tc>
        <w:tc>
          <w:tcPr>
            <w:tcW w:w="76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72.48</w:t>
            </w:r>
          </w:p>
        </w:tc>
        <w:tc>
          <w:tcPr>
            <w:tcW w:w="8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72.48</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40.97</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42" w:hRule="atLeast"/>
        </w:trPr>
        <w:tc>
          <w:tcPr>
            <w:tcW w:w="638"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3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机关事业单位职业年金缴费支出</w:t>
            </w:r>
          </w:p>
        </w:tc>
        <w:tc>
          <w:tcPr>
            <w:tcW w:w="653"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9.25</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9.25</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25" w:hRule="atLeast"/>
        </w:trPr>
        <w:tc>
          <w:tcPr>
            <w:tcW w:w="638"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top"/>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卫生健康支出</w:t>
            </w:r>
          </w:p>
        </w:tc>
        <w:tc>
          <w:tcPr>
            <w:tcW w:w="653"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841.59</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291.96</w:t>
            </w:r>
            <w:r>
              <w:rPr>
                <w:rFonts w:hint="eastAsia" w:ascii="仿宋_GB2312" w:eastAsia="仿宋_GB2312"/>
                <w:color w:val="auto"/>
                <w:sz w:val="20"/>
                <w:szCs w:val="20"/>
                <w:highlight w:val="none"/>
              </w:rPr>
              <w:t>　</w:t>
            </w:r>
          </w:p>
        </w:tc>
        <w:tc>
          <w:tcPr>
            <w:tcW w:w="8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291.96</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549.57</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1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基层医疗卫生机构</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795.05</w:t>
            </w:r>
          </w:p>
        </w:tc>
        <w:tc>
          <w:tcPr>
            <w:tcW w:w="762"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271.75</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271.75</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523.3</w:t>
            </w:r>
          </w:p>
        </w:tc>
        <w:tc>
          <w:tcPr>
            <w:tcW w:w="56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乡镇卫生院</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795.05</w:t>
            </w:r>
          </w:p>
        </w:tc>
        <w:tc>
          <w:tcPr>
            <w:tcW w:w="762"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271.75</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271.75</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523.3</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1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p>
            <w:pPr>
              <w:jc w:val="center"/>
              <w:rPr>
                <w:rFonts w:hint="default" w:ascii="仿宋_GB2312" w:hAnsi="宋体" w:eastAsia="仿宋_GB2312" w:cs="宋体"/>
                <w:color w:val="auto"/>
                <w:sz w:val="20"/>
                <w:szCs w:val="20"/>
                <w:highlight w:val="none"/>
                <w:lang w:val="en-US" w:eastAsia="zh-CN"/>
              </w:rPr>
            </w:pP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计划生育事务</w:t>
            </w:r>
          </w:p>
        </w:tc>
        <w:tc>
          <w:tcPr>
            <w:tcW w:w="65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0.07</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w:t>
            </w:r>
            <w:r>
              <w:rPr>
                <w:rFonts w:hint="eastAsia" w:ascii="仿宋_GB2312" w:eastAsia="仿宋_GB2312"/>
                <w:color w:val="auto"/>
                <w:sz w:val="20"/>
                <w:szCs w:val="20"/>
                <w:highlight w:val="none"/>
                <w:lang w:val="en-US" w:eastAsia="zh-CN"/>
              </w:rPr>
              <w:t>0</w:t>
            </w: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07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计划生育服务</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行政事业单位医疗</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46.48</w:t>
            </w:r>
          </w:p>
        </w:tc>
        <w:tc>
          <w:tcPr>
            <w:tcW w:w="762"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20.21</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20.21</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26.27</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事业单位医疗</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36.40</w:t>
            </w:r>
          </w:p>
        </w:tc>
        <w:tc>
          <w:tcPr>
            <w:tcW w:w="762"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15.76</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15.76</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20.64</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11</w:t>
            </w:r>
          </w:p>
        </w:tc>
        <w:tc>
          <w:tcPr>
            <w:tcW w:w="3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公务员医疗补助</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9.97</w:t>
            </w:r>
          </w:p>
        </w:tc>
        <w:tc>
          <w:tcPr>
            <w:tcW w:w="762"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4.33</w:t>
            </w:r>
          </w:p>
        </w:tc>
        <w:tc>
          <w:tcPr>
            <w:tcW w:w="8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4.33</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5.63</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其他行政事业单位医疗支出</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0.12</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0.12</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0.12</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　</w:t>
            </w:r>
          </w:p>
        </w:tc>
        <w:tc>
          <w:tcPr>
            <w:tcW w:w="65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66.27</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66.27</w:t>
            </w:r>
          </w:p>
        </w:tc>
        <w:tc>
          <w:tcPr>
            <w:tcW w:w="8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66.27</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40.01</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36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65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66.27</w:t>
            </w:r>
          </w:p>
        </w:tc>
        <w:tc>
          <w:tcPr>
            <w:tcW w:w="762"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66.27</w:t>
            </w:r>
          </w:p>
        </w:tc>
        <w:tc>
          <w:tcPr>
            <w:tcW w:w="8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66.27</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40.01</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36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820" w:type="dxa"/>
            <w:tcBorders>
              <w:top w:val="nil"/>
              <w:left w:val="nil"/>
              <w:bottom w:val="single" w:color="auto" w:sz="4" w:space="0"/>
              <w:right w:val="single" w:color="auto" w:sz="4" w:space="0"/>
            </w:tcBorders>
            <w:noWrap w:val="0"/>
            <w:vAlign w:val="center"/>
          </w:tcPr>
          <w:p>
            <w:pPr>
              <w:rPr>
                <w:rFonts w:hint="eastAsia" w:ascii="Calibri" w:hAnsi="Calibri" w:eastAsia="宋体" w:cs="Calibri"/>
                <w:i w:val="0"/>
                <w:iCs w:val="0"/>
                <w:color w:val="000000"/>
                <w:kern w:val="2"/>
                <w:sz w:val="22"/>
                <w:szCs w:val="22"/>
                <w:u w:val="none"/>
                <w:lang w:val="en-US" w:eastAsia="zh-CN" w:bidi="ar-SA"/>
              </w:rPr>
            </w:pPr>
            <w:r>
              <w:rPr>
                <w:rFonts w:hint="eastAsia" w:ascii="仿宋_GB2312" w:eastAsia="仿宋_GB2312"/>
                <w:color w:val="auto"/>
                <w:sz w:val="20"/>
                <w:szCs w:val="20"/>
                <w:highlight w:val="none"/>
              </w:rPr>
              <w:t>住房</w:t>
            </w:r>
            <w:r>
              <w:rPr>
                <w:rFonts w:hint="eastAsia" w:ascii="仿宋_GB2312" w:eastAsia="仿宋_GB2312"/>
                <w:color w:val="auto"/>
                <w:sz w:val="20"/>
                <w:szCs w:val="20"/>
                <w:highlight w:val="none"/>
                <w:lang w:val="en-US" w:eastAsia="zh-CN"/>
              </w:rPr>
              <w:t>公积金</w:t>
            </w:r>
            <w:r>
              <w:rPr>
                <w:rFonts w:hint="eastAsia" w:ascii="仿宋_GB2312" w:eastAsia="仿宋_GB2312"/>
                <w:color w:val="auto"/>
                <w:sz w:val="20"/>
                <w:szCs w:val="20"/>
                <w:highlight w:val="none"/>
              </w:rPr>
              <w:t>　</w:t>
            </w:r>
          </w:p>
        </w:tc>
        <w:tc>
          <w:tcPr>
            <w:tcW w:w="65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66.27</w:t>
            </w:r>
          </w:p>
        </w:tc>
        <w:tc>
          <w:tcPr>
            <w:tcW w:w="762"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66.27</w:t>
            </w:r>
          </w:p>
        </w:tc>
        <w:tc>
          <w:tcPr>
            <w:tcW w:w="8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66.27</w:t>
            </w:r>
          </w:p>
        </w:tc>
        <w:tc>
          <w:tcPr>
            <w:tcW w:w="9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2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8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40.01</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3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65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996.21</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356.34</w:t>
            </w:r>
          </w:p>
        </w:tc>
        <w:tc>
          <w:tcPr>
            <w:tcW w:w="8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356.3</w:t>
            </w:r>
          </w:p>
        </w:tc>
        <w:tc>
          <w:tcPr>
            <w:tcW w:w="9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p>
        </w:tc>
        <w:tc>
          <w:tcPr>
            <w:tcW w:w="32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5"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639.80</w:t>
            </w:r>
          </w:p>
        </w:tc>
        <w:tc>
          <w:tcPr>
            <w:tcW w:w="56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呼图壁县</w:t>
      </w:r>
      <w:r>
        <w:rPr>
          <w:rFonts w:hint="eastAsia" w:ascii="黑体" w:hAnsi="黑体" w:eastAsia="黑体"/>
          <w:color w:val="auto"/>
          <w:kern w:val="0"/>
          <w:sz w:val="32"/>
          <w:szCs w:val="32"/>
          <w:highlight w:val="none"/>
          <w:lang w:val="en-US" w:eastAsia="zh-CN"/>
        </w:rPr>
        <w:t>大丰</w:t>
      </w:r>
      <w:r>
        <w:rPr>
          <w:rFonts w:hint="eastAsia" w:ascii="仿宋_GB2312" w:hAnsi="仿宋_GB2312" w:eastAsia="仿宋_GB2312" w:cs="仿宋_GB2312"/>
          <w:b/>
          <w:color w:val="auto"/>
          <w:kern w:val="0"/>
          <w:sz w:val="32"/>
          <w:szCs w:val="32"/>
          <w:highlight w:val="none"/>
          <w:lang w:val="en-US" w:eastAsia="zh-CN"/>
        </w:rPr>
        <w:t>卫生院</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w:t>
      </w:r>
      <w:r>
        <w:rPr>
          <w:rFonts w:hint="eastAsia" w:ascii="仿宋_GB2312" w:hAnsi="宋体" w:eastAsia="仿宋_GB2312"/>
          <w:color w:val="auto"/>
          <w:kern w:val="0"/>
          <w:sz w:val="24"/>
          <w:highlight w:val="none"/>
          <w:lang w:val="en-US" w:eastAsia="zh-CN"/>
        </w:rPr>
        <w:t>元</w:t>
      </w:r>
    </w:p>
    <w:tbl>
      <w:tblPr>
        <w:tblStyle w:val="7"/>
        <w:tblW w:w="9420" w:type="dxa"/>
        <w:tblInd w:w="-240" w:type="dxa"/>
        <w:tblLayout w:type="fixed"/>
        <w:tblCellMar>
          <w:top w:w="0" w:type="dxa"/>
          <w:left w:w="108" w:type="dxa"/>
          <w:bottom w:w="0" w:type="dxa"/>
          <w:right w:w="108" w:type="dxa"/>
        </w:tblCellMar>
      </w:tblPr>
      <w:tblGrid>
        <w:gridCol w:w="916"/>
        <w:gridCol w:w="418"/>
        <w:gridCol w:w="418"/>
        <w:gridCol w:w="2411"/>
        <w:gridCol w:w="1728"/>
        <w:gridCol w:w="1754"/>
        <w:gridCol w:w="1775"/>
      </w:tblGrid>
      <w:tr>
        <w:tblPrEx>
          <w:tblCellMar>
            <w:top w:w="0" w:type="dxa"/>
            <w:left w:w="108" w:type="dxa"/>
            <w:bottom w:w="0" w:type="dxa"/>
            <w:right w:w="108" w:type="dxa"/>
          </w:tblCellMar>
        </w:tblPrEx>
        <w:trPr>
          <w:trHeight w:val="328" w:hRule="atLeast"/>
        </w:trPr>
        <w:tc>
          <w:tcPr>
            <w:tcW w:w="416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25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75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1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5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7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9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1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5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7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社会保障和就业支出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88.34</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88.34</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行政事业单位养老支出　</w:t>
            </w:r>
          </w:p>
        </w:tc>
        <w:tc>
          <w:tcPr>
            <w:tcW w:w="172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88.34</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88.34</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事业单位离退休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6.61</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6.61</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机关事业单位职业年金缴费支出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72.48</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72.48</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06</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机关事业单位职业年金缴费支出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9.25</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9.25</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卫生健康支出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841.59</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611.53</w:t>
            </w:r>
          </w:p>
        </w:tc>
        <w:tc>
          <w:tcPr>
            <w:tcW w:w="1775" w:type="dxa"/>
            <w:tcBorders>
              <w:top w:val="nil"/>
              <w:left w:val="nil"/>
              <w:bottom w:val="single" w:color="auto" w:sz="4" w:space="0"/>
              <w:right w:val="single" w:color="auto" w:sz="4" w:space="0"/>
            </w:tcBorders>
            <w:noWrap w:val="0"/>
            <w:vAlign w:val="center"/>
          </w:tcPr>
          <w:p>
            <w:pPr>
              <w:jc w:val="left"/>
              <w:rPr>
                <w:rFonts w:hint="default" w:ascii="宋体" w:hAnsi="宋体" w:cs="宋体"/>
                <w:b/>
                <w:bCs/>
                <w:color w:val="auto"/>
                <w:kern w:val="0"/>
                <w:sz w:val="22"/>
                <w:szCs w:val="22"/>
                <w:highlight w:val="none"/>
                <w:lang w:val="en-US"/>
              </w:rPr>
            </w:pPr>
            <w:r>
              <w:rPr>
                <w:rFonts w:hint="eastAsia" w:ascii="宋体" w:hAnsi="宋体" w:cs="宋体"/>
                <w:color w:val="auto"/>
                <w:kern w:val="0"/>
                <w:sz w:val="20"/>
                <w:szCs w:val="20"/>
                <w:highlight w:val="none"/>
                <w:lang w:val="en-US" w:eastAsia="zh-CN"/>
              </w:rPr>
              <w:t>230.07</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基层医疗卫生机构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宋体" w:hAnsi="宋体" w:cs="宋体"/>
                <w:color w:val="auto"/>
                <w:kern w:val="0"/>
                <w:sz w:val="20"/>
                <w:szCs w:val="20"/>
                <w:highlight w:val="none"/>
                <w:lang w:val="en-US" w:eastAsia="zh-CN"/>
              </w:rPr>
              <w:t>795.05</w:t>
            </w:r>
          </w:p>
        </w:tc>
        <w:tc>
          <w:tcPr>
            <w:tcW w:w="1754" w:type="dxa"/>
            <w:tcBorders>
              <w:top w:val="nil"/>
              <w:left w:val="nil"/>
              <w:bottom w:val="single" w:color="auto" w:sz="4" w:space="0"/>
              <w:right w:val="single" w:color="auto" w:sz="4" w:space="0"/>
            </w:tcBorders>
            <w:noWrap w:val="0"/>
            <w:vAlign w:val="center"/>
          </w:tcPr>
          <w:p>
            <w:pPr>
              <w:jc w:val="left"/>
              <w:rPr>
                <w:rFonts w:hint="default" w:ascii="宋体" w:hAnsi="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565.05</w:t>
            </w:r>
          </w:p>
        </w:tc>
        <w:tc>
          <w:tcPr>
            <w:tcW w:w="1775" w:type="dxa"/>
            <w:tcBorders>
              <w:top w:val="nil"/>
              <w:left w:val="nil"/>
              <w:bottom w:val="single" w:color="auto" w:sz="4" w:space="0"/>
              <w:right w:val="single" w:color="auto" w:sz="4" w:space="0"/>
            </w:tcBorders>
            <w:noWrap w:val="0"/>
            <w:vAlign w:val="center"/>
          </w:tcPr>
          <w:p>
            <w:pPr>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230</w:t>
            </w:r>
          </w:p>
        </w:tc>
      </w:tr>
      <w:tr>
        <w:tblPrEx>
          <w:tblCellMar>
            <w:top w:w="0" w:type="dxa"/>
            <w:left w:w="108" w:type="dxa"/>
            <w:bottom w:w="0" w:type="dxa"/>
            <w:right w:w="108" w:type="dxa"/>
          </w:tblCellMar>
        </w:tblPrEx>
        <w:trPr>
          <w:trHeight w:val="36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乡镇卫生院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795.05</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565.05</w:t>
            </w:r>
          </w:p>
        </w:tc>
        <w:tc>
          <w:tcPr>
            <w:tcW w:w="1775" w:type="dxa"/>
            <w:tcBorders>
              <w:top w:val="nil"/>
              <w:left w:val="nil"/>
              <w:bottom w:val="single" w:color="auto" w:sz="4" w:space="0"/>
              <w:right w:val="single" w:color="auto" w:sz="4" w:space="0"/>
            </w:tcBorders>
            <w:noWrap w:val="0"/>
            <w:vAlign w:val="center"/>
          </w:tcPr>
          <w:p>
            <w:pPr>
              <w:jc w:val="left"/>
              <w:rPr>
                <w:rFonts w:hint="default" w:ascii="宋体" w:hAnsi="宋体" w:cs="宋体"/>
                <w:b/>
                <w:bCs/>
                <w:color w:val="auto"/>
                <w:kern w:val="0"/>
                <w:sz w:val="22"/>
                <w:szCs w:val="22"/>
                <w:highlight w:val="none"/>
                <w:lang w:val="en-US"/>
              </w:rPr>
            </w:pPr>
            <w:r>
              <w:rPr>
                <w:rFonts w:hint="eastAsia" w:ascii="宋体" w:hAnsi="宋体" w:cs="宋体"/>
                <w:color w:val="auto"/>
                <w:kern w:val="0"/>
                <w:sz w:val="20"/>
                <w:szCs w:val="20"/>
                <w:highlight w:val="none"/>
                <w:lang w:val="en-US" w:eastAsia="zh-CN"/>
              </w:rPr>
              <w:t>230</w:t>
            </w:r>
          </w:p>
        </w:tc>
      </w:tr>
      <w:tr>
        <w:tblPrEx>
          <w:tblCellMar>
            <w:top w:w="0" w:type="dxa"/>
            <w:left w:w="108" w:type="dxa"/>
            <w:bottom w:w="0" w:type="dxa"/>
            <w:right w:w="108" w:type="dxa"/>
          </w:tblCellMar>
        </w:tblPrEx>
        <w:trPr>
          <w:trHeight w:val="3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w:t>
            </w: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计划生育事务　</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0.07</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0.07</w:t>
            </w:r>
          </w:p>
        </w:tc>
        <w:tc>
          <w:tcPr>
            <w:tcW w:w="1775" w:type="dxa"/>
            <w:tcBorders>
              <w:top w:val="nil"/>
              <w:left w:val="nil"/>
              <w:bottom w:val="single" w:color="auto" w:sz="4" w:space="0"/>
              <w:right w:val="single" w:color="auto" w:sz="4" w:space="0"/>
            </w:tcBorders>
            <w:noWrap w:val="0"/>
            <w:vAlign w:val="center"/>
          </w:tcPr>
          <w:p>
            <w:pPr>
              <w:jc w:val="left"/>
              <w:rPr>
                <w:rFonts w:hint="default" w:ascii="宋体" w:hAnsi="宋体" w:cs="宋体"/>
                <w:b/>
                <w:bCs/>
                <w:color w:val="auto"/>
                <w:kern w:val="0"/>
                <w:sz w:val="22"/>
                <w:szCs w:val="22"/>
                <w:highlight w:val="none"/>
                <w:lang w:val="en-US"/>
              </w:rPr>
            </w:pPr>
            <w:r>
              <w:rPr>
                <w:rFonts w:hint="eastAsia" w:ascii="宋体" w:hAnsi="宋体" w:cs="宋体"/>
                <w:color w:val="auto"/>
                <w:kern w:val="0"/>
                <w:sz w:val="20"/>
                <w:szCs w:val="20"/>
                <w:highlight w:val="none"/>
                <w:lang w:val="en-US" w:eastAsia="zh-CN"/>
              </w:rPr>
              <w:t>0.07</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计划生育服务</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0.07</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1775" w:type="dxa"/>
            <w:tcBorders>
              <w:top w:val="nil"/>
              <w:left w:val="nil"/>
              <w:bottom w:val="single" w:color="auto" w:sz="4" w:space="0"/>
              <w:right w:val="single" w:color="auto" w:sz="4" w:space="0"/>
            </w:tcBorders>
            <w:noWrap w:val="0"/>
            <w:vAlign w:val="center"/>
          </w:tcPr>
          <w:p>
            <w:pPr>
              <w:jc w:val="left"/>
              <w:rPr>
                <w:rFonts w:hint="default" w:ascii="宋体" w:hAnsi="宋体" w:cs="宋体"/>
                <w:b/>
                <w:bCs/>
                <w:color w:val="auto"/>
                <w:kern w:val="0"/>
                <w:sz w:val="22"/>
                <w:szCs w:val="22"/>
                <w:highlight w:val="none"/>
                <w:lang w:val="en-US"/>
              </w:rPr>
            </w:pPr>
            <w:r>
              <w:rPr>
                <w:rFonts w:hint="eastAsia" w:ascii="宋体" w:hAnsi="宋体" w:cs="宋体"/>
                <w:color w:val="auto"/>
                <w:kern w:val="0"/>
                <w:sz w:val="20"/>
                <w:szCs w:val="20"/>
                <w:highlight w:val="none"/>
                <w:lang w:val="en-US" w:eastAsia="zh-CN"/>
              </w:rPr>
              <w:t>0.07</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46.48</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46.48</w:t>
            </w:r>
          </w:p>
        </w:tc>
        <w:tc>
          <w:tcPr>
            <w:tcW w:w="1775"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事业单位医疗</w:t>
            </w:r>
          </w:p>
        </w:tc>
        <w:tc>
          <w:tcPr>
            <w:tcW w:w="172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36.4</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36.4</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公务员医疗补助</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9.97</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9.97</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其他行政事业单位医疗支出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0.12</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0.12</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66.27</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66.27</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ab/>
            </w:r>
            <w:r>
              <w:rPr>
                <w:rFonts w:hint="eastAsia" w:ascii="仿宋_GB2312" w:eastAsia="仿宋_GB2312"/>
                <w:color w:val="auto"/>
                <w:sz w:val="20"/>
                <w:szCs w:val="20"/>
                <w:highlight w:val="none"/>
                <w:lang w:eastAsia="zh-CN"/>
              </w:rPr>
              <w:t>住房改革支出</w:t>
            </w:r>
          </w:p>
        </w:tc>
        <w:tc>
          <w:tcPr>
            <w:tcW w:w="172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66.27</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66.27</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411"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172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66.27</w:t>
            </w:r>
          </w:p>
        </w:tc>
        <w:tc>
          <w:tcPr>
            <w:tcW w:w="1754"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66.27</w:t>
            </w:r>
          </w:p>
        </w:tc>
        <w:tc>
          <w:tcPr>
            <w:tcW w:w="1775"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r>
              <w:rPr>
                <w:rFonts w:hint="eastAsia" w:ascii="宋体" w:hAnsi="宋体" w:cs="宋体"/>
                <w:color w:val="auto"/>
                <w:kern w:val="0"/>
                <w:sz w:val="20"/>
                <w:szCs w:val="20"/>
                <w:highlight w:val="none"/>
              </w:rPr>
              <w:t>　</w:t>
            </w:r>
          </w:p>
        </w:tc>
        <w:tc>
          <w:tcPr>
            <w:tcW w:w="2411"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r>
              <w:rPr>
                <w:rFonts w:hint="eastAsia" w:ascii="宋体" w:hAnsi="宋体" w:cs="宋体"/>
                <w:color w:val="auto"/>
                <w:kern w:val="0"/>
                <w:sz w:val="20"/>
                <w:szCs w:val="20"/>
                <w:highlight w:val="none"/>
              </w:rPr>
              <w:t>　</w:t>
            </w:r>
          </w:p>
        </w:tc>
        <w:tc>
          <w:tcPr>
            <w:tcW w:w="1728" w:type="dxa"/>
            <w:tcBorders>
              <w:top w:val="nil"/>
              <w:left w:val="nil"/>
              <w:bottom w:val="single" w:color="auto" w:sz="4" w:space="0"/>
              <w:right w:val="single" w:color="auto" w:sz="4" w:space="0"/>
            </w:tcBorders>
            <w:noWrap w:val="0"/>
            <w:vAlign w:val="center"/>
          </w:tcPr>
          <w:p>
            <w:pPr>
              <w:widowControl/>
              <w:jc w:val="left"/>
              <w:rPr>
                <w:rFonts w:hint="eastAsia" w:ascii="仿宋_GB2312" w:eastAsia="仿宋_GB2312"/>
                <w:color w:val="auto"/>
                <w:sz w:val="20"/>
                <w:szCs w:val="20"/>
                <w:highlight w:val="none"/>
              </w:rPr>
            </w:pPr>
            <w:r>
              <w:rPr>
                <w:rFonts w:hint="eastAsia" w:ascii="宋体" w:hAnsi="宋体" w:cs="宋体"/>
                <w:color w:val="auto"/>
                <w:kern w:val="0"/>
                <w:sz w:val="20"/>
                <w:szCs w:val="20"/>
                <w:highlight w:val="none"/>
              </w:rPr>
              <w:t>　</w:t>
            </w:r>
          </w:p>
        </w:tc>
        <w:tc>
          <w:tcPr>
            <w:tcW w:w="1754" w:type="dxa"/>
            <w:tcBorders>
              <w:top w:val="nil"/>
              <w:left w:val="nil"/>
              <w:bottom w:val="single" w:color="auto" w:sz="4" w:space="0"/>
              <w:right w:val="single" w:color="auto" w:sz="4" w:space="0"/>
            </w:tcBorders>
            <w:noWrap w:val="0"/>
            <w:vAlign w:val="center"/>
          </w:tcPr>
          <w:p>
            <w:pPr>
              <w:widowControl/>
              <w:jc w:val="left"/>
              <w:rPr>
                <w:rFonts w:hint="default" w:ascii="仿宋_GB2312" w:eastAsia="仿宋_GB2312"/>
                <w:color w:val="auto"/>
                <w:sz w:val="20"/>
                <w:szCs w:val="20"/>
                <w:highlight w:val="none"/>
                <w:lang w:val="en-US" w:eastAsia="zh-CN"/>
              </w:rPr>
            </w:pPr>
            <w:r>
              <w:rPr>
                <w:rFonts w:hint="eastAsia" w:ascii="宋体" w:hAnsi="宋体" w:cs="宋体"/>
                <w:color w:val="auto"/>
                <w:kern w:val="0"/>
                <w:sz w:val="20"/>
                <w:szCs w:val="20"/>
                <w:highlight w:val="none"/>
              </w:rPr>
              <w:t>　</w:t>
            </w:r>
          </w:p>
        </w:tc>
        <w:tc>
          <w:tcPr>
            <w:tcW w:w="1775" w:type="dxa"/>
            <w:tcBorders>
              <w:top w:val="nil"/>
              <w:left w:val="nil"/>
              <w:bottom w:val="single" w:color="auto" w:sz="4" w:space="0"/>
              <w:right w:val="single" w:color="auto" w:sz="4" w:space="0"/>
            </w:tcBorders>
            <w:noWrap w:val="0"/>
            <w:vAlign w:val="center"/>
          </w:tcPr>
          <w:p>
            <w:pPr>
              <w:widowControl/>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754"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1775"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358"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411" w:type="dxa"/>
            <w:tcBorders>
              <w:top w:val="nil"/>
              <w:left w:val="nil"/>
              <w:bottom w:val="single" w:color="auto" w:sz="4" w:space="0"/>
              <w:right w:val="single" w:color="auto" w:sz="4" w:space="0"/>
            </w:tcBorders>
            <w:noWrap w:val="0"/>
            <w:vAlign w:val="top"/>
          </w:tcPr>
          <w:p>
            <w:pPr>
              <w:rPr>
                <w:rFonts w:hint="eastAsia" w:ascii="仿宋_GB2312" w:eastAsia="仿宋_GB2312"/>
                <w:color w:val="auto"/>
                <w:sz w:val="20"/>
                <w:szCs w:val="20"/>
                <w:highlight w:val="none"/>
              </w:rPr>
            </w:pPr>
          </w:p>
        </w:tc>
        <w:tc>
          <w:tcPr>
            <w:tcW w:w="17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754"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1775"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916"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411"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合  计</w:t>
            </w:r>
          </w:p>
        </w:tc>
        <w:tc>
          <w:tcPr>
            <w:tcW w:w="1728"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996.12</w:t>
            </w:r>
          </w:p>
        </w:tc>
        <w:tc>
          <w:tcPr>
            <w:tcW w:w="1754" w:type="dxa"/>
            <w:tcBorders>
              <w:top w:val="nil"/>
              <w:left w:val="nil"/>
              <w:bottom w:val="single" w:color="auto" w:sz="4" w:space="0"/>
              <w:right w:val="single" w:color="auto" w:sz="4" w:space="0"/>
            </w:tcBorders>
            <w:noWrap w:val="0"/>
            <w:vAlign w:val="center"/>
          </w:tcPr>
          <w:p>
            <w:pPr>
              <w:widowControl/>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宋体" w:hAnsi="宋体" w:cs="宋体"/>
                <w:color w:val="auto"/>
                <w:kern w:val="0"/>
                <w:sz w:val="20"/>
                <w:szCs w:val="20"/>
                <w:highlight w:val="none"/>
                <w:lang w:val="en-US" w:eastAsia="zh-CN"/>
              </w:rPr>
              <w:t>766.14</w:t>
            </w:r>
          </w:p>
        </w:tc>
        <w:tc>
          <w:tcPr>
            <w:tcW w:w="1775" w:type="dxa"/>
            <w:tcBorders>
              <w:top w:val="nil"/>
              <w:left w:val="nil"/>
              <w:bottom w:val="single" w:color="auto" w:sz="4" w:space="0"/>
              <w:right w:val="single" w:color="auto" w:sz="4" w:space="0"/>
            </w:tcBorders>
            <w:noWrap w:val="0"/>
            <w:vAlign w:val="center"/>
          </w:tcPr>
          <w:p>
            <w:pPr>
              <w:widowControl/>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230.07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eastAsia="zh-CN"/>
        </w:rPr>
        <w:t>、</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356.41</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356.41</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38.13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38.13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292.02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292.02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26.26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26.26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356.41</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356.41</w:t>
            </w:r>
            <w:r>
              <w:rPr>
                <w:rFonts w:hint="eastAsia" w:ascii="仿宋_GB2312" w:hAnsi="宋体" w:eastAsia="仿宋_GB2312"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356.41</w:t>
            </w:r>
            <w:r>
              <w:rPr>
                <w:rFonts w:hint="eastAsia" w:ascii="仿宋_GB2312" w:hAnsi="宋体" w:eastAsia="仿宋_GB2312" w:cs="宋体"/>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916"/>
        <w:gridCol w:w="493"/>
        <w:gridCol w:w="496"/>
        <w:gridCol w:w="2329"/>
        <w:gridCol w:w="622"/>
        <w:gridCol w:w="952"/>
        <w:gridCol w:w="206"/>
        <w:gridCol w:w="1547"/>
        <w:gridCol w:w="165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34"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w:t>
            </w:r>
          </w:p>
        </w:tc>
        <w:tc>
          <w:tcPr>
            <w:tcW w:w="622"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5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00" w:type="dxa"/>
            <w:gridSpan w:val="2"/>
            <w:tcBorders>
              <w:top w:val="nil"/>
              <w:left w:val="nil"/>
              <w:bottom w:val="nil"/>
              <w:right w:val="nil"/>
            </w:tcBorders>
            <w:noWrap w:val="0"/>
            <w:vAlign w:val="center"/>
          </w:tcPr>
          <w:p>
            <w:pPr>
              <w:widowControl/>
              <w:ind w:firstLine="1200" w:firstLineChars="5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34"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8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0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2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7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5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5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2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7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5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5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仿宋_GB2312" w:hAnsi="宋体" w:eastAsia="仿宋_GB2312" w:cs="宋体"/>
                <w:b/>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社会保障和就业支出　</w:t>
            </w:r>
          </w:p>
        </w:tc>
        <w:tc>
          <w:tcPr>
            <w:tcW w:w="1574" w:type="dxa"/>
            <w:gridSpan w:val="2"/>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38.13</w:t>
            </w:r>
          </w:p>
        </w:tc>
        <w:tc>
          <w:tcPr>
            <w:tcW w:w="1753" w:type="dxa"/>
            <w:gridSpan w:val="2"/>
            <w:tcBorders>
              <w:top w:val="nil"/>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38.13</w:t>
            </w:r>
          </w:p>
        </w:tc>
        <w:tc>
          <w:tcPr>
            <w:tcW w:w="1653" w:type="dxa"/>
            <w:tcBorders>
              <w:top w:val="nil"/>
              <w:left w:val="nil"/>
              <w:bottom w:val="single" w:color="auto" w:sz="4" w:space="0"/>
              <w:right w:val="single" w:color="auto" w:sz="4" w:space="0"/>
            </w:tcBorders>
            <w:noWrap w:val="0"/>
            <w:vAlign w:val="center"/>
          </w:tcPr>
          <w:p>
            <w:pPr>
              <w:rPr>
                <w:rFonts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行政事业单位养老支出　</w:t>
            </w:r>
          </w:p>
        </w:tc>
        <w:tc>
          <w:tcPr>
            <w:tcW w:w="1574" w:type="dxa"/>
            <w:gridSpan w:val="2"/>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38.13</w:t>
            </w:r>
          </w:p>
        </w:tc>
        <w:tc>
          <w:tcPr>
            <w:tcW w:w="1753" w:type="dxa"/>
            <w:gridSpan w:val="2"/>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38.13</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96"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事业单位离退休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6.61</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6.61</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05</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机关事业单位职业年金缴费支出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31.51</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31.51</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卫生健康支出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292.02</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291.96</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03</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基层医疗卫生机构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271.75</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仿宋_GB2312" w:eastAsia="仿宋_GB2312"/>
                <w:color w:val="auto"/>
                <w:sz w:val="20"/>
                <w:szCs w:val="20"/>
                <w:highlight w:val="none"/>
                <w:lang w:val="en-US" w:eastAsia="zh-CN"/>
              </w:rPr>
              <w:t>271.75</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乡镇卫生院　</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271.75</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271.75</w:t>
            </w: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21007</w:t>
            </w:r>
            <w:r>
              <w:rPr>
                <w:rFonts w:hint="eastAsia" w:ascii="仿宋_GB2312" w:eastAsia="仿宋_GB2312"/>
                <w:color w:val="auto"/>
                <w:sz w:val="20"/>
                <w:szCs w:val="20"/>
                <w:highlight w:val="none"/>
              </w:rPr>
              <w:t>　</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　</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计划生育事务　</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0.07</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21007</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17</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计划生育服务</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0.07</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1653" w:type="dxa"/>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21011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行政事业单位医疗</w:t>
            </w:r>
          </w:p>
        </w:tc>
        <w:tc>
          <w:tcPr>
            <w:tcW w:w="1574" w:type="dxa"/>
            <w:gridSpan w:val="2"/>
            <w:tcBorders>
              <w:top w:val="nil"/>
              <w:left w:val="nil"/>
              <w:bottom w:val="single" w:color="auto" w:sz="4" w:space="0"/>
              <w:right w:val="single" w:color="auto" w:sz="4" w:space="0"/>
            </w:tcBorders>
            <w:noWrap w:val="0"/>
            <w:vAlign w:val="center"/>
          </w:tcPr>
          <w:p>
            <w:pPr>
              <w:tabs>
                <w:tab w:val="center" w:pos="768"/>
              </w:tabs>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20.21</w:t>
            </w:r>
          </w:p>
        </w:tc>
        <w:tc>
          <w:tcPr>
            <w:tcW w:w="1753" w:type="dxa"/>
            <w:gridSpan w:val="2"/>
            <w:tcBorders>
              <w:top w:val="nil"/>
              <w:left w:val="nil"/>
              <w:bottom w:val="single" w:color="auto" w:sz="4" w:space="0"/>
              <w:right w:val="single" w:color="auto" w:sz="4" w:space="0"/>
            </w:tcBorders>
            <w:noWrap w:val="0"/>
            <w:vAlign w:val="center"/>
          </w:tcPr>
          <w:p>
            <w:pPr>
              <w:tabs>
                <w:tab w:val="center" w:pos="768"/>
              </w:tabs>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20.21</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21011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事业单位医疗</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15.76</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仿宋_GB2312" w:eastAsia="仿宋_GB2312"/>
                <w:color w:val="auto"/>
                <w:sz w:val="20"/>
                <w:szCs w:val="20"/>
                <w:highlight w:val="none"/>
                <w:lang w:val="en-US" w:eastAsia="zh-CN"/>
              </w:rPr>
              <w:t>15.76</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21011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03</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公务员医疗补助</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4.33</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仿宋_GB2312" w:eastAsia="仿宋_GB2312"/>
                <w:color w:val="auto"/>
                <w:sz w:val="20"/>
                <w:szCs w:val="20"/>
                <w:highlight w:val="none"/>
                <w:lang w:val="en-US" w:eastAsia="zh-CN"/>
              </w:rPr>
              <w:t>4.33</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2101199</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其他行政事业单位医疗支出</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bidi="ar-SA"/>
              </w:rPr>
            </w:pPr>
            <w:r>
              <w:rPr>
                <w:rFonts w:hint="eastAsia" w:ascii="仿宋_GB2312" w:eastAsia="仿宋_GB2312"/>
                <w:color w:val="auto"/>
                <w:sz w:val="20"/>
                <w:szCs w:val="20"/>
                <w:highlight w:val="none"/>
                <w:lang w:val="en-US" w:eastAsia="zh-CN"/>
              </w:rPr>
              <w:t>0.12</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0.12</w:t>
            </w:r>
          </w:p>
        </w:tc>
        <w:tc>
          <w:tcPr>
            <w:tcW w:w="1653" w:type="dxa"/>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住房保障支出</w:t>
            </w:r>
          </w:p>
        </w:tc>
        <w:tc>
          <w:tcPr>
            <w:tcW w:w="1574" w:type="dxa"/>
            <w:gridSpan w:val="2"/>
            <w:tcBorders>
              <w:top w:val="nil"/>
              <w:left w:val="nil"/>
              <w:bottom w:val="single" w:color="auto" w:sz="4" w:space="0"/>
              <w:right w:val="single" w:color="auto" w:sz="4" w:space="0"/>
            </w:tcBorders>
            <w:noWrap w:val="0"/>
            <w:vAlign w:val="center"/>
          </w:tcPr>
          <w:p>
            <w:pP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26.26</w:t>
            </w:r>
          </w:p>
        </w:tc>
        <w:tc>
          <w:tcPr>
            <w:tcW w:w="1753" w:type="dxa"/>
            <w:gridSpan w:val="2"/>
            <w:tcBorders>
              <w:top w:val="nil"/>
              <w:left w:val="nil"/>
              <w:bottom w:val="single" w:color="auto" w:sz="4" w:space="0"/>
              <w:right w:val="single" w:color="auto" w:sz="4" w:space="0"/>
            </w:tcBorders>
            <w:noWrap w:val="0"/>
            <w:vAlign w:val="center"/>
          </w:tcPr>
          <w:p>
            <w:pP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26.26</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eastAsia="仿宋_GB2312"/>
                <w:color w:val="auto"/>
                <w:sz w:val="20"/>
                <w:szCs w:val="20"/>
                <w:highlight w:val="none"/>
                <w:lang w:eastAsia="zh-CN"/>
              </w:rPr>
              <w:t>住房改革支出</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26.26</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26.26</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49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w:t>
            </w:r>
          </w:p>
        </w:tc>
        <w:tc>
          <w:tcPr>
            <w:tcW w:w="2329"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eastAsia="仿宋_GB2312"/>
                <w:color w:val="auto"/>
                <w:sz w:val="20"/>
                <w:szCs w:val="20"/>
                <w:highlight w:val="none"/>
              </w:rPr>
              <w:t>住房公积金</w:t>
            </w:r>
          </w:p>
        </w:tc>
        <w:tc>
          <w:tcPr>
            <w:tcW w:w="1574"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26.26</w:t>
            </w:r>
          </w:p>
        </w:tc>
        <w:tc>
          <w:tcPr>
            <w:tcW w:w="1753" w:type="dxa"/>
            <w:gridSpan w:val="2"/>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26.26</w:t>
            </w:r>
          </w:p>
        </w:tc>
        <w:tc>
          <w:tcPr>
            <w:tcW w:w="1653"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2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7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5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7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5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5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2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74"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356.41</w:t>
            </w:r>
          </w:p>
        </w:tc>
        <w:tc>
          <w:tcPr>
            <w:tcW w:w="1753"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356.34</w:t>
            </w:r>
          </w:p>
        </w:tc>
        <w:tc>
          <w:tcPr>
            <w:tcW w:w="165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88"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337.79</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337.79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基本工资　</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74.12</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74.12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33.12</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33.12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65.64</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65.64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52.73</w:t>
            </w:r>
          </w:p>
        </w:tc>
        <w:tc>
          <w:tcPr>
            <w:tcW w:w="1701" w:type="dxa"/>
            <w:gridSpan w:val="2"/>
            <w:tcBorders>
              <w:top w:val="nil"/>
              <w:left w:val="nil"/>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52.73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98"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31.51</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31.51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15.76</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15.76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4.33</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4.33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r>
              <w:rPr>
                <w:rFonts w:hint="eastAsia" w:ascii="仿宋_GB2312" w:eastAsia="仿宋_GB2312"/>
                <w:color w:val="auto"/>
                <w:sz w:val="20"/>
                <w:szCs w:val="20"/>
                <w:highlight w:val="none"/>
              </w:rPr>
              <w:t>　</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1.89</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1.89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26.26</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26.26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31.8</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31.8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12.55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12.55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印刷费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水费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0.04</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宋体" w:hAnsi="宋体" w:cs="宋体"/>
                <w:color w:val="auto"/>
                <w:kern w:val="0"/>
                <w:sz w:val="20"/>
                <w:szCs w:val="20"/>
                <w:highlight w:val="none"/>
                <w:lang w:val="en-US" w:eastAsia="zh-CN"/>
              </w:rPr>
              <w:t>3.95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宋体" w:hAnsi="宋体" w:cs="宋体"/>
                <w:color w:val="auto"/>
                <w:kern w:val="0"/>
                <w:sz w:val="20"/>
                <w:szCs w:val="20"/>
                <w:highlight w:val="none"/>
                <w:lang w:val="en-US" w:eastAsia="zh-CN"/>
              </w:rPr>
              <w:t>3.95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w:t>
            </w: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其他交通费用</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4.8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6.62</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6.62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6.48</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6.48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0.13</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0.13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rPr>
                <w:rFonts w:hint="eastAsia" w:ascii="仿宋_GB2312" w:hAnsi="Times New Roman" w:eastAsia="仿宋_GB2312" w:cs="Times New Roman"/>
                <w:color w:val="auto"/>
                <w:kern w:val="2"/>
                <w:sz w:val="20"/>
                <w:szCs w:val="20"/>
                <w:highlight w:val="none"/>
                <w:lang w:val="en-US" w:eastAsia="zh-CN" w:bidi="ar-SA"/>
              </w:rPr>
            </w:pPr>
            <w:r>
              <w:rPr>
                <w:rFonts w:hint="default" w:ascii="仿宋_GB2312" w:eastAsia="仿宋_GB2312"/>
                <w:color w:val="auto"/>
                <w:sz w:val="20"/>
                <w:szCs w:val="20"/>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0.01</w:t>
            </w: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ind w:firstLine="600" w:firstLineChars="300"/>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356.34</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343.79</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12.55</w:t>
            </w:r>
          </w:p>
        </w:tc>
      </w:tr>
      <w:tr>
        <w:tblPrEx>
          <w:tblCellMar>
            <w:top w:w="0" w:type="dxa"/>
            <w:left w:w="108" w:type="dxa"/>
            <w:bottom w:w="0" w:type="dxa"/>
            <w:right w:w="108" w:type="dxa"/>
          </w:tblCellMar>
        </w:tblPrEx>
        <w:trPr>
          <w:trHeight w:val="402" w:hRule="atLeast"/>
        </w:trPr>
        <w:tc>
          <w:tcPr>
            <w:tcW w:w="757" w:type="dxa"/>
            <w:vAlign w:val="center"/>
          </w:tcPr>
          <w:p>
            <w:pPr>
              <w:rPr>
                <w:rFonts w:hint="default" w:ascii="仿宋_GB2312" w:hAnsi="Times New Roman" w:eastAsia="仿宋_GB2312" w:cs="Times New Roman"/>
                <w:color w:val="auto"/>
                <w:kern w:val="2"/>
                <w:sz w:val="20"/>
                <w:szCs w:val="20"/>
                <w:highlight w:val="none"/>
                <w:lang w:val="en-US" w:eastAsia="zh-CN" w:bidi="ar-SA"/>
              </w:rPr>
            </w:pPr>
          </w:p>
        </w:tc>
        <w:tc>
          <w:tcPr>
            <w:tcW w:w="577" w:type="dxa"/>
            <w:vAlign w:val="center"/>
          </w:tcPr>
          <w:p>
            <w:pPr>
              <w:rPr>
                <w:rFonts w:hint="eastAsia" w:ascii="仿宋_GB2312" w:hAnsi="Times New Roman" w:eastAsia="仿宋_GB2312" w:cs="Times New Roman"/>
                <w:color w:val="auto"/>
                <w:kern w:val="2"/>
                <w:sz w:val="20"/>
                <w:szCs w:val="20"/>
                <w:highlight w:val="none"/>
                <w:lang w:val="en-US" w:eastAsia="zh-CN" w:bidi="ar-SA"/>
              </w:rPr>
            </w:pPr>
          </w:p>
        </w:tc>
        <w:tc>
          <w:tcPr>
            <w:tcW w:w="2891" w:type="dxa"/>
          </w:tcPr>
          <w:p>
            <w:pPr>
              <w:widowControl/>
              <w:jc w:val="center"/>
              <w:rPr>
                <w:rFonts w:ascii="宋体" w:hAnsi="宋体" w:cs="宋体"/>
                <w:color w:val="auto"/>
                <w:kern w:val="0"/>
                <w:sz w:val="20"/>
                <w:szCs w:val="20"/>
                <w:highlight w:val="none"/>
              </w:rPr>
            </w:pPr>
          </w:p>
        </w:tc>
        <w:tc>
          <w:tcPr>
            <w:tcW w:w="1701" w:type="dxa"/>
            <w:gridSpan w:val="2"/>
          </w:tcPr>
          <w:p>
            <w:pPr>
              <w:widowControl/>
              <w:jc w:val="left"/>
              <w:rPr>
                <w:rFonts w:ascii="宋体" w:hAnsi="宋体" w:cs="宋体"/>
                <w:color w:val="auto"/>
                <w:kern w:val="0"/>
                <w:sz w:val="20"/>
                <w:szCs w:val="20"/>
                <w:highlight w:val="none"/>
              </w:rPr>
            </w:pPr>
          </w:p>
        </w:tc>
        <w:tc>
          <w:tcPr>
            <w:tcW w:w="1701" w:type="dxa"/>
            <w:gridSpan w:val="2"/>
          </w:tcPr>
          <w:p>
            <w:pPr>
              <w:widowControl/>
              <w:jc w:val="left"/>
              <w:rPr>
                <w:rFonts w:ascii="宋体" w:hAnsi="宋体" w:cs="宋体"/>
                <w:color w:val="auto"/>
                <w:kern w:val="0"/>
                <w:sz w:val="20"/>
                <w:szCs w:val="20"/>
                <w:highlight w:val="none"/>
              </w:rPr>
            </w:pPr>
          </w:p>
        </w:tc>
        <w:tc>
          <w:tcPr>
            <w:tcW w:w="1701" w:type="dxa"/>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475" w:type="dxa"/>
        <w:tblInd w:w="-360" w:type="dxa"/>
        <w:tblLayout w:type="fixed"/>
        <w:tblCellMar>
          <w:top w:w="0" w:type="dxa"/>
          <w:left w:w="108" w:type="dxa"/>
          <w:bottom w:w="0" w:type="dxa"/>
          <w:right w:w="108" w:type="dxa"/>
        </w:tblCellMar>
      </w:tblPr>
      <w:tblGrid>
        <w:gridCol w:w="13"/>
        <w:gridCol w:w="658"/>
        <w:gridCol w:w="520"/>
        <w:gridCol w:w="520"/>
        <w:gridCol w:w="1692"/>
        <w:gridCol w:w="988"/>
        <w:gridCol w:w="421"/>
        <w:gridCol w:w="444"/>
        <w:gridCol w:w="734"/>
        <w:gridCol w:w="280"/>
        <w:gridCol w:w="507"/>
        <w:gridCol w:w="226"/>
        <w:gridCol w:w="214"/>
        <w:gridCol w:w="419"/>
        <w:gridCol w:w="618"/>
        <w:gridCol w:w="419"/>
        <w:gridCol w:w="419"/>
        <w:gridCol w:w="383"/>
      </w:tblGrid>
      <w:tr>
        <w:tblPrEx>
          <w:tblCellMar>
            <w:top w:w="0" w:type="dxa"/>
            <w:left w:w="108" w:type="dxa"/>
            <w:bottom w:w="0" w:type="dxa"/>
            <w:right w:w="108" w:type="dxa"/>
          </w:tblCellMar>
        </w:tblPrEx>
        <w:trPr>
          <w:gridBefore w:val="1"/>
          <w:wBefore w:w="13" w:type="dxa"/>
          <w:trHeight w:val="375" w:hRule="atLeast"/>
        </w:trPr>
        <w:tc>
          <w:tcPr>
            <w:tcW w:w="9462"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13" w:type="dxa"/>
          <w:trHeight w:val="405" w:hRule="atLeast"/>
        </w:trPr>
        <w:tc>
          <w:tcPr>
            <w:tcW w:w="4378"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w:t>
            </w:r>
          </w:p>
        </w:tc>
        <w:tc>
          <w:tcPr>
            <w:tcW w:w="159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01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2"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71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692"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988"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4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4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3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2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0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4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8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7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69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98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0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8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Hans"/>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98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21" w:type="dxa"/>
            <w:noWrap w:val="0"/>
            <w:vAlign w:val="top"/>
          </w:tcPr>
          <w:p>
            <w:pPr>
              <w:widowControl/>
              <w:jc w:val="left"/>
              <w:rPr>
                <w:rFonts w:hint="default" w:ascii="仿宋_GB2312" w:hAnsi="宋体" w:eastAsia="仿宋_GB2312" w:cs="宋体"/>
                <w:color w:val="auto"/>
                <w:kern w:val="0"/>
                <w:sz w:val="24"/>
                <w:highlight w:val="none"/>
                <w:lang w:val="en-US" w:eastAsia="zh-CN"/>
              </w:rPr>
            </w:pPr>
          </w:p>
        </w:tc>
        <w:tc>
          <w:tcPr>
            <w:tcW w:w="44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73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383" w:type="dxa"/>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98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21"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73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383" w:type="dxa"/>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520" w:type="dxa"/>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98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21"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73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383" w:type="dxa"/>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520" w:type="dxa"/>
            <w:noWrap w:val="0"/>
            <w:vAlign w:val="top"/>
          </w:tcPr>
          <w:p>
            <w:pPr>
              <w:widowControl/>
              <w:jc w:val="center"/>
              <w:rPr>
                <w:rFonts w:hint="default" w:ascii="仿宋_GB2312" w:hAnsi="宋体" w:eastAsia="仿宋_GB2312" w:cs="宋体"/>
                <w:color w:val="auto"/>
                <w:kern w:val="0"/>
                <w:sz w:val="24"/>
                <w:highlight w:val="none"/>
                <w:lang w:val="en-US" w:eastAsia="zh-CN"/>
              </w:rPr>
            </w:pPr>
          </w:p>
        </w:tc>
        <w:tc>
          <w:tcPr>
            <w:tcW w:w="1692"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98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21"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734"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507" w:type="dxa"/>
            <w:noWrap w:val="0"/>
            <w:vAlign w:val="top"/>
          </w:tcPr>
          <w:p>
            <w:pPr>
              <w:widowControl/>
              <w:jc w:val="left"/>
              <w:rPr>
                <w:rFonts w:hint="eastAsia" w:ascii="仿宋_GB2312" w:hAnsi="宋体" w:eastAsia="仿宋_GB2312" w:cs="宋体"/>
                <w:color w:val="auto"/>
                <w:kern w:val="0"/>
                <w:sz w:val="24"/>
                <w:highlight w:val="none"/>
                <w:lang w:eastAsia="zh-CN"/>
              </w:rPr>
            </w:pPr>
          </w:p>
        </w:tc>
        <w:tc>
          <w:tcPr>
            <w:tcW w:w="440" w:type="dxa"/>
            <w:gridSpan w:val="2"/>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618"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419" w:type="dxa"/>
            <w:noWrap w:val="0"/>
            <w:vAlign w:val="top"/>
          </w:tcPr>
          <w:p>
            <w:pPr>
              <w:widowControl/>
              <w:jc w:val="center"/>
              <w:rPr>
                <w:rFonts w:hint="eastAsia" w:ascii="仿宋_GB2312" w:hAnsi="宋体" w:eastAsia="仿宋_GB2312" w:cs="宋体"/>
                <w:color w:val="auto"/>
                <w:kern w:val="0"/>
                <w:sz w:val="24"/>
                <w:highlight w:val="none"/>
                <w:lang w:eastAsia="zh-CN"/>
              </w:rPr>
            </w:pPr>
          </w:p>
        </w:tc>
        <w:tc>
          <w:tcPr>
            <w:tcW w:w="383" w:type="dxa"/>
            <w:noWrap w:val="0"/>
            <w:vAlign w:val="top"/>
          </w:tcPr>
          <w:p>
            <w:pPr>
              <w:widowControl/>
              <w:jc w:val="center"/>
              <w:rPr>
                <w:rFonts w:hint="eastAsia" w:ascii="仿宋_GB2312" w:hAnsi="宋体" w:eastAsia="仿宋_GB2312" w:cs="宋体"/>
                <w:color w:val="auto"/>
                <w:kern w:val="0"/>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692"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98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1"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44"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34"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28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07"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40"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61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1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83"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p>
        </w:tc>
        <w:tc>
          <w:tcPr>
            <w:tcW w:w="1692" w:type="dxa"/>
            <w:noWrap w:val="0"/>
            <w:vAlign w:val="top"/>
          </w:tcPr>
          <w:p>
            <w:pPr>
              <w:widowControl/>
              <w:jc w:val="left"/>
              <w:outlineLvl w:val="1"/>
              <w:rPr>
                <w:rFonts w:ascii="仿宋_GB2312" w:hAnsi="宋体" w:eastAsia="仿宋_GB2312"/>
                <w:color w:val="auto"/>
                <w:kern w:val="0"/>
                <w:sz w:val="32"/>
                <w:szCs w:val="32"/>
                <w:highlight w:val="none"/>
              </w:rPr>
            </w:pPr>
          </w:p>
        </w:tc>
        <w:tc>
          <w:tcPr>
            <w:tcW w:w="988" w:type="dxa"/>
            <w:noWrap w:val="0"/>
            <w:vAlign w:val="top"/>
          </w:tcPr>
          <w:p>
            <w:pPr>
              <w:widowControl/>
              <w:jc w:val="left"/>
              <w:outlineLvl w:val="1"/>
              <w:rPr>
                <w:rFonts w:ascii="仿宋_GB2312" w:hAnsi="宋体" w:eastAsia="仿宋_GB2312"/>
                <w:color w:val="auto"/>
                <w:kern w:val="0"/>
                <w:sz w:val="32"/>
                <w:szCs w:val="32"/>
                <w:highlight w:val="none"/>
              </w:rPr>
            </w:pPr>
          </w:p>
        </w:tc>
        <w:tc>
          <w:tcPr>
            <w:tcW w:w="421" w:type="dxa"/>
            <w:noWrap w:val="0"/>
            <w:vAlign w:val="top"/>
          </w:tcPr>
          <w:p>
            <w:pPr>
              <w:widowControl/>
              <w:jc w:val="left"/>
              <w:outlineLvl w:val="1"/>
              <w:rPr>
                <w:rFonts w:ascii="仿宋_GB2312" w:hAnsi="宋体" w:eastAsia="仿宋_GB2312"/>
                <w:color w:val="auto"/>
                <w:kern w:val="0"/>
                <w:sz w:val="32"/>
                <w:szCs w:val="32"/>
                <w:highlight w:val="none"/>
              </w:rPr>
            </w:pPr>
          </w:p>
        </w:tc>
        <w:tc>
          <w:tcPr>
            <w:tcW w:w="444" w:type="dxa"/>
            <w:noWrap w:val="0"/>
            <w:vAlign w:val="top"/>
          </w:tcPr>
          <w:p>
            <w:pPr>
              <w:widowControl/>
              <w:jc w:val="left"/>
              <w:outlineLvl w:val="1"/>
              <w:rPr>
                <w:rFonts w:ascii="仿宋_GB2312" w:hAnsi="宋体" w:eastAsia="仿宋_GB2312"/>
                <w:color w:val="auto"/>
                <w:kern w:val="0"/>
                <w:sz w:val="32"/>
                <w:szCs w:val="32"/>
                <w:highlight w:val="none"/>
              </w:rPr>
            </w:pPr>
          </w:p>
        </w:tc>
        <w:tc>
          <w:tcPr>
            <w:tcW w:w="734" w:type="dxa"/>
            <w:noWrap w:val="0"/>
            <w:vAlign w:val="top"/>
          </w:tcPr>
          <w:p>
            <w:pPr>
              <w:widowControl/>
              <w:jc w:val="left"/>
              <w:outlineLvl w:val="1"/>
              <w:rPr>
                <w:rFonts w:ascii="仿宋_GB2312" w:hAnsi="宋体" w:eastAsia="仿宋_GB2312"/>
                <w:color w:val="auto"/>
                <w:kern w:val="0"/>
                <w:sz w:val="32"/>
                <w:szCs w:val="32"/>
                <w:highlight w:val="none"/>
              </w:rPr>
            </w:pPr>
          </w:p>
        </w:tc>
        <w:tc>
          <w:tcPr>
            <w:tcW w:w="280" w:type="dxa"/>
            <w:noWrap w:val="0"/>
            <w:vAlign w:val="top"/>
          </w:tcPr>
          <w:p>
            <w:pPr>
              <w:widowControl/>
              <w:jc w:val="left"/>
              <w:outlineLvl w:val="1"/>
              <w:rPr>
                <w:rFonts w:ascii="仿宋_GB2312" w:hAnsi="宋体" w:eastAsia="仿宋_GB2312"/>
                <w:color w:val="auto"/>
                <w:kern w:val="0"/>
                <w:sz w:val="32"/>
                <w:szCs w:val="32"/>
                <w:highlight w:val="none"/>
              </w:rPr>
            </w:pPr>
          </w:p>
        </w:tc>
        <w:tc>
          <w:tcPr>
            <w:tcW w:w="507" w:type="dxa"/>
            <w:noWrap w:val="0"/>
            <w:vAlign w:val="top"/>
          </w:tcPr>
          <w:p>
            <w:pPr>
              <w:widowControl/>
              <w:jc w:val="left"/>
              <w:outlineLvl w:val="1"/>
              <w:rPr>
                <w:rFonts w:ascii="仿宋_GB2312" w:hAnsi="宋体" w:eastAsia="仿宋_GB2312"/>
                <w:color w:val="auto"/>
                <w:kern w:val="0"/>
                <w:sz w:val="32"/>
                <w:szCs w:val="32"/>
                <w:highlight w:val="none"/>
              </w:rPr>
            </w:pPr>
          </w:p>
        </w:tc>
        <w:tc>
          <w:tcPr>
            <w:tcW w:w="440"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383"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7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69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88" w:type="dxa"/>
            <w:noWrap w:val="0"/>
            <w:vAlign w:val="top"/>
          </w:tcPr>
          <w:p>
            <w:pPr>
              <w:widowControl/>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　合计　</w:t>
            </w:r>
          </w:p>
        </w:tc>
        <w:tc>
          <w:tcPr>
            <w:tcW w:w="421" w:type="dxa"/>
            <w:noWrap w:val="0"/>
            <w:vAlign w:val="top"/>
          </w:tcPr>
          <w:p>
            <w:pPr>
              <w:widowControl/>
              <w:jc w:val="left"/>
              <w:rPr>
                <w:rFonts w:hint="default" w:ascii="仿宋_GB2312" w:hAnsi="宋体" w:eastAsia="仿宋_GB2312" w:cs="宋体"/>
                <w:color w:val="auto"/>
                <w:kern w:val="0"/>
                <w:sz w:val="24"/>
                <w:highlight w:val="none"/>
                <w:lang w:val="en-US" w:eastAsia="zh-CN"/>
              </w:rPr>
            </w:pPr>
          </w:p>
        </w:tc>
        <w:tc>
          <w:tcPr>
            <w:tcW w:w="444" w:type="dxa"/>
            <w:noWrap w:val="0"/>
            <w:vAlign w:val="top"/>
          </w:tcPr>
          <w:p>
            <w:pPr>
              <w:widowControl/>
              <w:jc w:val="left"/>
              <w:rPr>
                <w:rFonts w:hint="eastAsia" w:ascii="仿宋_GB2312" w:hAnsi="宋体" w:eastAsia="仿宋_GB2312" w:cs="宋体"/>
                <w:color w:val="auto"/>
                <w:kern w:val="0"/>
                <w:sz w:val="24"/>
                <w:highlight w:val="none"/>
                <w:lang w:val="en-US" w:eastAsia="zh-CN"/>
              </w:rPr>
            </w:pPr>
          </w:p>
        </w:tc>
        <w:tc>
          <w:tcPr>
            <w:tcW w:w="734" w:type="dxa"/>
            <w:noWrap w:val="0"/>
            <w:vAlign w:val="top"/>
          </w:tcPr>
          <w:p>
            <w:pPr>
              <w:widowControl/>
              <w:jc w:val="left"/>
              <w:rPr>
                <w:rFonts w:hint="eastAsia" w:ascii="仿宋_GB2312" w:hAnsi="宋体" w:eastAsia="仿宋_GB2312" w:cs="宋体"/>
                <w:color w:val="auto"/>
                <w:kern w:val="0"/>
                <w:sz w:val="24"/>
                <w:highlight w:val="none"/>
                <w:lang w:val="en-US" w:eastAsia="zh-CN"/>
              </w:rPr>
            </w:pPr>
          </w:p>
        </w:tc>
        <w:tc>
          <w:tcPr>
            <w:tcW w:w="280" w:type="dxa"/>
            <w:noWrap w:val="0"/>
            <w:vAlign w:val="top"/>
          </w:tcPr>
          <w:p>
            <w:pPr>
              <w:widowControl/>
              <w:jc w:val="left"/>
              <w:rPr>
                <w:rFonts w:hint="eastAsia" w:ascii="仿宋_GB2312" w:hAnsi="宋体" w:eastAsia="仿宋_GB2312" w:cs="宋体"/>
                <w:color w:val="auto"/>
                <w:kern w:val="0"/>
                <w:sz w:val="24"/>
                <w:highlight w:val="none"/>
                <w:lang w:val="en-US" w:eastAsia="zh-CN"/>
              </w:rPr>
            </w:pPr>
          </w:p>
        </w:tc>
        <w:tc>
          <w:tcPr>
            <w:tcW w:w="507" w:type="dxa"/>
            <w:noWrap w:val="0"/>
            <w:vAlign w:val="top"/>
          </w:tcPr>
          <w:p>
            <w:pPr>
              <w:widowControl/>
              <w:jc w:val="left"/>
              <w:outlineLvl w:val="1"/>
              <w:rPr>
                <w:rFonts w:ascii="仿宋_GB2312" w:hAnsi="宋体" w:eastAsia="仿宋_GB2312"/>
                <w:color w:val="auto"/>
                <w:kern w:val="0"/>
                <w:sz w:val="32"/>
                <w:szCs w:val="32"/>
                <w:highlight w:val="none"/>
              </w:rPr>
            </w:pPr>
          </w:p>
        </w:tc>
        <w:tc>
          <w:tcPr>
            <w:tcW w:w="44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备注：本单位2024年无项目，此表为空。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呼图壁县大丰镇卫生院2024年预算无政府性基金预算支出，此表为空。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呼图壁县大丰镇卫生院2024年预算未安排国有资本经营预算支出，此表为空。</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呼图壁县大丰镇卫生院</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呼图壁县大丰镇卫生院2024年预算未安排</w:t>
      </w:r>
      <w:r>
        <w:rPr>
          <w:rFonts w:hint="eastAsia" w:ascii="仿宋_GB2312" w:hAnsi="宋体" w:eastAsia="仿宋_GB2312"/>
          <w:b/>
          <w:color w:val="auto"/>
          <w:kern w:val="0"/>
          <w:sz w:val="32"/>
          <w:szCs w:val="32"/>
          <w:highlight w:val="none"/>
        </w:rPr>
        <w:t>“三公”经费</w:t>
      </w:r>
      <w:r>
        <w:rPr>
          <w:rFonts w:hint="eastAsia" w:ascii="仿宋_GB2312" w:hAnsi="宋体" w:eastAsia="仿宋_GB2312"/>
          <w:b/>
          <w:color w:val="auto"/>
          <w:kern w:val="0"/>
          <w:sz w:val="32"/>
          <w:szCs w:val="32"/>
          <w:highlight w:val="none"/>
          <w:lang w:val="en-US" w:eastAsia="zh-CN"/>
        </w:rPr>
        <w:t>预算</w:t>
      </w:r>
      <w:r>
        <w:rPr>
          <w:rFonts w:hint="eastAsia" w:ascii="仿宋_GB2312" w:hAnsi="宋体" w:eastAsia="仿宋_GB2312"/>
          <w:b/>
          <w:color w:val="auto"/>
          <w:kern w:val="0"/>
          <w:sz w:val="32"/>
          <w:szCs w:val="32"/>
          <w:highlight w:val="none"/>
        </w:rPr>
        <w:t>支出</w:t>
      </w:r>
      <w:r>
        <w:rPr>
          <w:rFonts w:hint="eastAsia" w:ascii="仿宋_GB2312" w:hAnsi="宋体" w:eastAsia="仿宋_GB2312"/>
          <w:b/>
          <w:color w:val="auto"/>
          <w:kern w:val="0"/>
          <w:sz w:val="32"/>
          <w:szCs w:val="32"/>
          <w:highlight w:val="none"/>
          <w:lang w:eastAsia="zh-CN"/>
        </w:rPr>
        <w:t>，此表为空。</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昌州财办社【2022】17号  2023年自治区计划生育服务补助资金</w:t>
            </w:r>
          </w:p>
        </w:tc>
        <w:tc>
          <w:tcPr>
            <w:tcW w:w="850"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0.07</w:t>
            </w:r>
          </w:p>
        </w:tc>
        <w:tc>
          <w:tcPr>
            <w:tcW w:w="1054"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0.07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0.07</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both"/>
              <w:rPr>
                <w:rFonts w:hint="default" w:ascii="仿宋" w:hAnsi="仿宋" w:eastAsia="仿宋" w:cs="仿宋_GB2312"/>
                <w:bCs/>
                <w:color w:val="auto"/>
                <w:kern w:val="0"/>
                <w:sz w:val="28"/>
                <w:szCs w:val="2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呼图壁县大丰镇卫生院</w:t>
      </w:r>
      <w:r>
        <w:rPr>
          <w:rFonts w:hint="eastAsia" w:ascii="仿宋_GB2312" w:hAnsi="宋体" w:eastAsia="仿宋_GB2312"/>
          <w:color w:val="auto"/>
          <w:kern w:val="0"/>
          <w:sz w:val="24"/>
          <w:highlight w:val="none"/>
        </w:rPr>
        <w:t xml:space="preserve"> </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仿宋_GB2312" w:hAnsi="宋体" w:eastAsia="仿宋_GB2312"/>
          <w:color w:val="auto"/>
          <w:kern w:val="0"/>
          <w:sz w:val="24"/>
          <w:highlight w:val="none"/>
        </w:rPr>
        <w:t xml:space="preserve"> </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呼图壁县大丰镇卫生院</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所有收入和支出均纳入部门（单位）预算管理。收支总预算</w:t>
      </w:r>
      <w:r>
        <w:rPr>
          <w:rFonts w:hint="eastAsia" w:ascii="仿宋_GB2312" w:hAnsi="宋体" w:eastAsia="仿宋_GB2312" w:cs="宋体"/>
          <w:color w:val="auto"/>
          <w:kern w:val="0"/>
          <w:sz w:val="32"/>
          <w:szCs w:val="32"/>
          <w:highlight w:val="none"/>
          <w:lang w:val="en-US" w:eastAsia="zh-CN"/>
        </w:rPr>
        <w:t>996.21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收入预算包括：一般公共服务支出</w:t>
      </w:r>
      <w:r>
        <w:rPr>
          <w:rFonts w:hint="eastAsia" w:ascii="仿宋_GB2312" w:hAnsi="宋体" w:eastAsia="仿宋_GB2312" w:cs="宋体"/>
          <w:color w:val="auto"/>
          <w:kern w:val="0"/>
          <w:sz w:val="32"/>
          <w:szCs w:val="32"/>
          <w:highlight w:val="none"/>
          <w:lang w:val="en-US" w:eastAsia="zh-CN"/>
        </w:rPr>
        <w:t>356.34万元、单位资金639.8万元、上年结转结余0.07万元。</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320" w:firstLineChars="1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38.13万元、卫生健康支出292.02万元、住房保障支出26.26万元。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宋体" w:eastAsia="仿宋_GB2312" w:cs="宋体"/>
          <w:b/>
          <w:color w:val="FF0000"/>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呼图壁县大丰镇卫生院</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996.14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356.34</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35.77</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54.32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yellow"/>
          <w:lang w:eastAsia="zh-CN"/>
        </w:rPr>
        <w:t>增长</w:t>
      </w:r>
      <w:r>
        <w:rPr>
          <w:rFonts w:hint="eastAsia" w:ascii="仿宋_GB2312" w:hAnsi="宋体" w:eastAsia="仿宋_GB2312" w:cs="宋体"/>
          <w:color w:val="auto"/>
          <w:kern w:val="0"/>
          <w:sz w:val="32"/>
          <w:szCs w:val="32"/>
          <w:highlight w:val="yellow"/>
          <w:lang w:val="en-US" w:eastAsia="zh-CN"/>
        </w:rPr>
        <w:t>17.99%，</w:t>
      </w:r>
      <w:r>
        <w:rPr>
          <w:rFonts w:hint="eastAsia" w:ascii="仿宋_GB2312" w:hAnsi="宋体" w:eastAsia="仿宋_GB2312" w:cs="宋体"/>
          <w:kern w:val="0"/>
          <w:sz w:val="32"/>
          <w:szCs w:val="32"/>
          <w:highlight w:val="none"/>
          <w:lang w:val="en-US" w:eastAsia="zh-CN"/>
        </w:rPr>
        <w:t>全体在职人员基础性绩效资金增加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639.8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64.23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251.17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64.63 %，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办公增加经费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yellow"/>
        </w:rPr>
        <w:t>占</w:t>
      </w:r>
      <w:r>
        <w:rPr>
          <w:rFonts w:hint="eastAsia" w:ascii="仿宋_GB2312" w:hAnsi="宋体" w:eastAsia="仿宋_GB2312" w:cs="宋体"/>
          <w:color w:val="auto"/>
          <w:kern w:val="0"/>
          <w:sz w:val="32"/>
          <w:szCs w:val="32"/>
          <w:highlight w:val="yellow"/>
          <w:lang w:val="en-US" w:eastAsia="zh-CN"/>
        </w:rPr>
        <w:t>0.02</w:t>
      </w:r>
      <w:r>
        <w:rPr>
          <w:rFonts w:hint="eastAsia" w:ascii="仿宋_GB2312" w:hAnsi="宋体" w:eastAsia="仿宋_GB2312" w:cs="宋体"/>
          <w:color w:val="auto"/>
          <w:kern w:val="0"/>
          <w:sz w:val="32"/>
          <w:szCs w:val="32"/>
          <w:highlight w:val="yellow"/>
        </w:rPr>
        <w:t xml:space="preserve"> %</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增加0.07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增加100%，</w:t>
      </w:r>
      <w:r>
        <w:rPr>
          <w:rFonts w:hint="eastAsia" w:ascii="仿宋_GB2312" w:hAnsi="宋体" w:eastAsia="仿宋_GB2312" w:cs="宋体"/>
          <w:color w:val="auto"/>
          <w:kern w:val="0"/>
          <w:sz w:val="32"/>
          <w:szCs w:val="32"/>
          <w:highlight w:val="none"/>
        </w:rPr>
        <w:t>主要原因是主要原因是</w:t>
      </w:r>
      <w:r>
        <w:rPr>
          <w:rFonts w:hint="eastAsia" w:ascii="仿宋_GB2312" w:hAnsi="宋体" w:eastAsia="仿宋_GB2312" w:cs="宋体"/>
          <w:color w:val="auto"/>
          <w:kern w:val="0"/>
          <w:sz w:val="32"/>
          <w:szCs w:val="32"/>
          <w:highlight w:val="none"/>
          <w:lang w:val="en-US" w:eastAsia="zh-CN"/>
        </w:rPr>
        <w:t>2023年项目资金下达后未全部支付；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呼图壁县雀尔沟镇卫生院</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996.21</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766.14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76.9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474.12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162.36 %，</w:t>
      </w:r>
      <w:r>
        <w:rPr>
          <w:rFonts w:hint="eastAsia" w:ascii="仿宋_GB2312" w:hAnsi="宋体" w:eastAsia="仿宋_GB2312" w:cs="宋体"/>
          <w:kern w:val="0"/>
          <w:sz w:val="32"/>
          <w:szCs w:val="32"/>
          <w:highlight w:val="none"/>
          <w:lang w:val="en-US" w:eastAsia="zh-CN"/>
        </w:rPr>
        <w:t>全体在职人员基础性绩效资金增加</w:t>
      </w:r>
      <w:r>
        <w:rPr>
          <w:rFonts w:hint="eastAsia" w:ascii="仿宋_GB2312" w:hAnsi="宋体" w:eastAsia="仿宋_GB2312" w:cs="宋体"/>
          <w:kern w:val="0"/>
          <w:sz w:val="32"/>
          <w:szCs w:val="32"/>
          <w:highlight w:val="none"/>
          <w:lang w:eastAsia="zh-CN"/>
        </w:rPr>
        <w:t>，其社保公积金缴费有所增加；</w:t>
      </w:r>
      <w:r>
        <w:rPr>
          <w:rFonts w:hint="eastAsia" w:ascii="仿宋_GB2312" w:hAnsi="宋体" w:eastAsia="仿宋_GB2312" w:cs="宋体"/>
          <w:color w:val="auto"/>
          <w:kern w:val="0"/>
          <w:sz w:val="32"/>
          <w:szCs w:val="32"/>
          <w:highlight w:val="none"/>
          <w:lang w:eastAsia="zh-CN"/>
        </w:rPr>
        <w:t>单位基本户所有资金往来支出全部计划纳入财政平台管理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230.07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23.09</w:t>
      </w:r>
      <w:r>
        <w:rPr>
          <w:rFonts w:hint="eastAsia" w:ascii="仿宋_GB2312" w:hAnsi="宋体" w:eastAsia="仿宋_GB2312" w:cs="宋体"/>
          <w:color w:val="auto"/>
          <w:kern w:val="0"/>
          <w:sz w:val="32"/>
          <w:szCs w:val="32"/>
          <w:highlight w:val="none"/>
        </w:rPr>
        <w:t xml:space="preserve">%，比上年预算减少 </w:t>
      </w:r>
      <w:r>
        <w:rPr>
          <w:rFonts w:hint="eastAsia" w:ascii="仿宋_GB2312" w:hAnsi="宋体" w:eastAsia="仿宋_GB2312" w:cs="宋体"/>
          <w:color w:val="auto"/>
          <w:kern w:val="0"/>
          <w:sz w:val="32"/>
          <w:szCs w:val="32"/>
          <w:highlight w:val="none"/>
          <w:lang w:val="en-US" w:eastAsia="zh-CN"/>
        </w:rPr>
        <w:t>187.14</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44.86%，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2024年离退休人员的医疗周转金转入基本预算支出；单位资金转入基本支出预算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w:t>
      </w:r>
      <w:r>
        <w:rPr>
          <w:rFonts w:hint="eastAsia" w:ascii="仿宋_GB2312" w:hAnsi="宋体" w:eastAsia="仿宋_GB2312" w:cs="宋体"/>
          <w:color w:val="auto"/>
          <w:kern w:val="0"/>
          <w:sz w:val="32"/>
          <w:szCs w:val="32"/>
          <w:highlight w:val="none"/>
          <w:lang w:val="en-US" w:eastAsia="zh-CN"/>
        </w:rPr>
        <w:t>算373.04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356.41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38.13</w:t>
      </w:r>
      <w:r>
        <w:rPr>
          <w:rFonts w:hint="eastAsia" w:ascii="仿宋_GB2312" w:hAnsi="宋体" w:eastAsia="仿宋_GB2312" w:cs="宋体"/>
          <w:color w:val="auto"/>
          <w:kern w:val="0"/>
          <w:sz w:val="32"/>
          <w:szCs w:val="32"/>
          <w:highlight w:val="none"/>
        </w:rPr>
        <w:t>万元，卫生健康支出</w:t>
      </w:r>
      <w:r>
        <w:rPr>
          <w:rFonts w:hint="eastAsia" w:ascii="仿宋_GB2312" w:hAnsi="宋体" w:eastAsia="仿宋_GB2312" w:cs="宋体"/>
          <w:color w:val="auto"/>
          <w:kern w:val="0"/>
          <w:sz w:val="32"/>
          <w:szCs w:val="32"/>
          <w:highlight w:val="none"/>
          <w:lang w:val="en-US" w:eastAsia="zh-CN"/>
        </w:rPr>
        <w:t>292.02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住房保障支出26.27</w:t>
      </w:r>
      <w:r>
        <w:rPr>
          <w:rFonts w:hint="eastAsia" w:ascii="仿宋_GB2312" w:hAnsi="宋体" w:eastAsia="仿宋_GB2312" w:cs="宋体"/>
          <w:color w:val="auto"/>
          <w:kern w:val="0"/>
          <w:sz w:val="32"/>
          <w:szCs w:val="32"/>
          <w:highlight w:val="none"/>
        </w:rPr>
        <w:t>元。</w:t>
      </w:r>
      <w:r>
        <w:rPr>
          <w:rFonts w:hint="eastAsia" w:ascii="仿宋_GB2312" w:hAnsi="宋体" w:eastAsia="仿宋_GB2312" w:cs="宋体"/>
          <w:color w:val="auto"/>
          <w:kern w:val="0"/>
          <w:sz w:val="32"/>
          <w:szCs w:val="32"/>
          <w:highlight w:val="none"/>
          <w:lang w:val="en-US" w:eastAsia="zh-CN"/>
        </w:rPr>
        <w:t>项目支出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宋体" w:eastAsia="仿宋_GB2312" w:cs="宋体"/>
          <w:color w:val="auto"/>
          <w:kern w:val="0"/>
          <w:sz w:val="32"/>
          <w:szCs w:val="32"/>
          <w:highlight w:val="none"/>
          <w:lang w:val="en-US" w:eastAsia="zh-CN"/>
        </w:rPr>
        <w:t>356.41</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356.34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81.03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29.43</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人员增加，工资调整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0.07</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宋体" w:eastAsia="仿宋_GB2312" w:cs="宋体"/>
          <w:color w:val="auto"/>
          <w:kern w:val="0"/>
          <w:sz w:val="32"/>
          <w:szCs w:val="32"/>
          <w:highlight w:val="none"/>
          <w:lang w:val="en-US" w:eastAsia="zh-CN"/>
        </w:rPr>
        <w:t>26.63</w:t>
      </w:r>
      <w:r>
        <w:rPr>
          <w:rFonts w:hint="eastAsia" w:ascii="仿宋_GB2312" w:hAnsi="仿宋_GB2312" w:eastAsia="仿宋_GB2312" w:cs="仿宋_GB2312"/>
          <w:color w:val="auto"/>
          <w:kern w:val="0"/>
          <w:sz w:val="32"/>
          <w:szCs w:val="32"/>
          <w:highlight w:val="none"/>
        </w:rPr>
        <w:t>万元，下降</w:t>
      </w:r>
      <w:r>
        <w:rPr>
          <w:rFonts w:hint="eastAsia" w:ascii="仿宋_GB2312" w:hAnsi="宋体" w:eastAsia="仿宋_GB2312" w:cs="宋体"/>
          <w:color w:val="auto"/>
          <w:kern w:val="0"/>
          <w:sz w:val="32"/>
          <w:szCs w:val="32"/>
          <w:highlight w:val="none"/>
          <w:lang w:val="en-US" w:eastAsia="zh-CN"/>
        </w:rPr>
        <w:t>99.74</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专项比2023年减少了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38.13</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 xml:space="preserve">占 </w:t>
      </w:r>
      <w:r>
        <w:rPr>
          <w:rFonts w:hint="eastAsia" w:ascii="仿宋_GB2312" w:hAnsi="仿宋_GB2312" w:eastAsia="仿宋_GB2312" w:cs="仿宋_GB2312"/>
          <w:color w:val="auto"/>
          <w:kern w:val="0"/>
          <w:sz w:val="32"/>
          <w:szCs w:val="32"/>
          <w:highlight w:val="none"/>
          <w:lang w:val="en-US" w:eastAsia="zh-CN"/>
        </w:rPr>
        <w:t>10.66</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 xml:space="preserve"> 292.02</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 xml:space="preserve">占 </w:t>
      </w:r>
      <w:r>
        <w:rPr>
          <w:rFonts w:hint="eastAsia" w:ascii="仿宋_GB2312" w:hAnsi="仿宋_GB2312" w:eastAsia="仿宋_GB2312" w:cs="仿宋_GB2312"/>
          <w:color w:val="auto"/>
          <w:kern w:val="0"/>
          <w:sz w:val="32"/>
          <w:szCs w:val="32"/>
          <w:highlight w:val="none"/>
          <w:lang w:val="en-US" w:eastAsia="zh-CN"/>
        </w:rPr>
        <w:t>81.93</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3、住房保障支出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26.261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 xml:space="preserve">占 </w:t>
      </w:r>
      <w:r>
        <w:rPr>
          <w:rFonts w:hint="eastAsia" w:ascii="仿宋_GB2312" w:hAnsi="仿宋_GB2312" w:eastAsia="仿宋_GB2312" w:cs="仿宋_GB2312"/>
          <w:color w:val="auto"/>
          <w:kern w:val="0"/>
          <w:sz w:val="32"/>
          <w:szCs w:val="32"/>
          <w:highlight w:val="none"/>
          <w:lang w:val="en-US" w:eastAsia="zh-CN"/>
        </w:rPr>
        <w:t>7.34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4、项目支出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1.例：</w:t>
      </w:r>
      <w:r>
        <w:rPr>
          <w:rFonts w:hint="eastAsia" w:ascii="仿宋_GB2312" w:hAnsi="仿宋_GB2312" w:eastAsia="仿宋_GB2312" w:cs="仿宋_GB2312"/>
          <w:color w:val="auto"/>
          <w:kern w:val="0"/>
          <w:sz w:val="32"/>
          <w:szCs w:val="32"/>
          <w:highlight w:val="none"/>
          <w:lang w:eastAsia="zh-CN"/>
        </w:rPr>
        <w:t>社会保障和就业支出、</w:t>
      </w:r>
      <w:r>
        <w:rPr>
          <w:rFonts w:hint="eastAsia" w:ascii="仿宋_GB2312" w:hAnsi="仿宋_GB2312" w:eastAsia="仿宋_GB2312" w:cs="仿宋_GB2312"/>
          <w:color w:val="auto"/>
          <w:kern w:val="0"/>
          <w:sz w:val="32"/>
          <w:szCs w:val="32"/>
          <w:highlight w:val="none"/>
        </w:rPr>
        <w:t>行政事业单位养老支出</w:t>
      </w:r>
      <w:r>
        <w:rPr>
          <w:rFonts w:hint="eastAsia" w:ascii="仿宋_GB2312" w:hAnsi="仿宋_GB2312" w:eastAsia="仿宋_GB2312" w:cs="仿宋_GB2312"/>
          <w:color w:val="auto"/>
          <w:kern w:val="0"/>
          <w:sz w:val="32"/>
          <w:szCs w:val="32"/>
          <w:highlight w:val="none"/>
          <w:lang w:eastAsia="zh-CN"/>
        </w:rPr>
        <w:t>、事业单位离退休、机关事业单位职业年金缴费支出，2024年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38.13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14.16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59.07</w:t>
      </w:r>
      <w:r>
        <w:rPr>
          <w:rFonts w:hint="eastAsia" w:ascii="仿宋_GB2312" w:hAnsi="仿宋_GB2312" w:eastAsia="仿宋_GB2312" w:cs="仿宋_GB2312"/>
          <w:color w:val="auto"/>
          <w:kern w:val="0"/>
          <w:sz w:val="32"/>
          <w:szCs w:val="32"/>
          <w:highlight w:val="none"/>
        </w:rPr>
        <w:t xml:space="preserve"> %，主要原因是： </w:t>
      </w:r>
      <w:r>
        <w:rPr>
          <w:rFonts w:hint="eastAsia" w:ascii="仿宋_GB2312" w:hAnsi="仿宋_GB2312" w:eastAsia="仿宋_GB2312" w:cs="仿宋_GB2312"/>
          <w:color w:val="auto"/>
          <w:kern w:val="0"/>
          <w:sz w:val="32"/>
          <w:szCs w:val="32"/>
          <w:highlight w:val="none"/>
          <w:lang w:val="en-US" w:eastAsia="zh-CN"/>
        </w:rPr>
        <w:t>工资调整，基数上调。</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eastAsia="zh-CN"/>
        </w:rPr>
        <w:t>卫生健康支出（</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）基层医疗卫生机构（</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lang w:eastAsia="zh-CN"/>
        </w:rPr>
        <w:t>）乡镇卫生院（</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292.02</w:t>
      </w:r>
      <w:r>
        <w:rPr>
          <w:rFonts w:hint="eastAsia" w:ascii="仿宋_GB2312" w:hAnsi="仿宋_GB2312" w:eastAsia="仿宋_GB2312" w:cs="仿宋_GB2312"/>
          <w:color w:val="auto"/>
          <w:kern w:val="0"/>
          <w:sz w:val="32"/>
          <w:szCs w:val="32"/>
          <w:highlight w:val="none"/>
        </w:rPr>
        <w:t xml:space="preserve">万元，比上年预算增加 </w:t>
      </w:r>
      <w:r>
        <w:rPr>
          <w:rFonts w:hint="eastAsia" w:ascii="仿宋_GB2312" w:hAnsi="仿宋_GB2312" w:eastAsia="仿宋_GB2312" w:cs="仿宋_GB2312"/>
          <w:color w:val="auto"/>
          <w:kern w:val="0"/>
          <w:sz w:val="32"/>
          <w:szCs w:val="32"/>
          <w:highlight w:val="none"/>
          <w:lang w:val="en-US" w:eastAsia="zh-CN"/>
        </w:rPr>
        <w:t>81.32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38.6</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工资调整，基数上调。</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lang w:eastAsia="zh-CN"/>
        </w:rPr>
        <w:t>卫生健康支出（</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）计划生育事务（</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lang w:eastAsia="zh-CN"/>
        </w:rPr>
        <w:t>）、计划生育服务（</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0.07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0.07</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加100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2023年没有些项专项拨款。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卫生健康支出（</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）行政事业单位医疗（</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lang w:eastAsia="zh-CN"/>
        </w:rPr>
        <w:t>）行政事业单位医疗（</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20.21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0.93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4.40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在职人员减少。</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卫生健康支出（</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）行政事业单位医疗（</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lang w:eastAsia="zh-CN"/>
        </w:rPr>
        <w:t>）公务员医疗补助（</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4.63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增加0.08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yellow"/>
          <w:lang w:val="en-US" w:eastAsia="zh-CN"/>
        </w:rPr>
        <w:t>增加0.02</w:t>
      </w:r>
      <w:r>
        <w:rPr>
          <w:rFonts w:hint="eastAsia" w:ascii="仿宋_GB2312" w:hAnsi="仿宋_GB2312" w:eastAsia="仿宋_GB2312" w:cs="仿宋_GB2312"/>
          <w:color w:val="auto"/>
          <w:kern w:val="0"/>
          <w:sz w:val="32"/>
          <w:szCs w:val="32"/>
          <w:highlight w:val="yellow"/>
        </w:rPr>
        <w:t xml:space="preserve"> %</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在职人员</w:t>
      </w:r>
      <w:r>
        <w:rPr>
          <w:rFonts w:hint="eastAsia" w:ascii="仿宋_GB2312" w:hAnsi="宋体" w:eastAsia="仿宋_GB2312" w:cs="宋体"/>
          <w:kern w:val="0"/>
          <w:sz w:val="32"/>
          <w:szCs w:val="32"/>
          <w:highlight w:val="none"/>
          <w:lang w:val="en-US" w:eastAsia="zh-CN"/>
        </w:rPr>
        <w:t>基础性绩效奖励增加，</w:t>
      </w:r>
      <w:r>
        <w:rPr>
          <w:rFonts w:hint="eastAsia" w:ascii="仿宋_GB2312" w:hAnsi="仿宋_GB2312" w:eastAsia="仿宋_GB2312" w:cs="仿宋_GB2312"/>
          <w:color w:val="auto"/>
          <w:kern w:val="0"/>
          <w:sz w:val="32"/>
          <w:szCs w:val="32"/>
          <w:highlight w:val="none"/>
          <w:lang w:val="en-US" w:eastAsia="zh-CN"/>
        </w:rPr>
        <w:t>社保增加调整。</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6 .</w:t>
      </w:r>
      <w:r>
        <w:rPr>
          <w:rFonts w:hint="eastAsia" w:ascii="仿宋_GB2312" w:hAnsi="仿宋_GB2312" w:eastAsia="仿宋_GB2312" w:cs="仿宋_GB2312"/>
          <w:color w:val="auto"/>
          <w:kern w:val="0"/>
          <w:sz w:val="32"/>
          <w:szCs w:val="32"/>
          <w:highlight w:val="none"/>
          <w:lang w:eastAsia="zh-CN"/>
        </w:rPr>
        <w:t>其他行政事业单位医疗支出2024年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0.12</w:t>
      </w:r>
      <w:r>
        <w:rPr>
          <w:rFonts w:hint="eastAsia" w:ascii="仿宋_GB2312" w:hAnsi="仿宋_GB2312" w:eastAsia="仿宋_GB2312" w:cs="仿宋_GB2312"/>
          <w:color w:val="auto"/>
          <w:kern w:val="0"/>
          <w:sz w:val="32"/>
          <w:szCs w:val="32"/>
          <w:highlight w:val="none"/>
        </w:rPr>
        <w:t xml:space="preserve">万元，比上年预算增加 </w:t>
      </w:r>
      <w:r>
        <w:rPr>
          <w:rFonts w:hint="eastAsia" w:ascii="仿宋_GB2312" w:hAnsi="仿宋_GB2312" w:eastAsia="仿宋_GB2312" w:cs="仿宋_GB2312"/>
          <w:color w:val="auto"/>
          <w:kern w:val="0"/>
          <w:sz w:val="32"/>
          <w:szCs w:val="32"/>
          <w:highlight w:val="none"/>
          <w:lang w:val="en-US" w:eastAsia="zh-CN"/>
        </w:rPr>
        <w:t>0.07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140</w:t>
      </w:r>
      <w:r>
        <w:rPr>
          <w:rFonts w:hint="eastAsia" w:ascii="仿宋_GB2312" w:hAnsi="仿宋_GB2312" w:eastAsia="仿宋_GB2312" w:cs="仿宋_GB2312"/>
          <w:color w:val="auto"/>
          <w:kern w:val="0"/>
          <w:sz w:val="32"/>
          <w:szCs w:val="32"/>
          <w:highlight w:val="none"/>
        </w:rPr>
        <w:t xml:space="preserve">%，主要原因是：   </w:t>
      </w:r>
      <w:r>
        <w:rPr>
          <w:rFonts w:hint="eastAsia" w:ascii="仿宋_GB2312" w:hAnsi="仿宋_GB2312" w:eastAsia="仿宋_GB2312" w:cs="仿宋_GB2312"/>
          <w:color w:val="auto"/>
          <w:kern w:val="0"/>
          <w:sz w:val="32"/>
          <w:szCs w:val="32"/>
          <w:highlight w:val="none"/>
          <w:lang w:val="en-US" w:eastAsia="zh-CN"/>
        </w:rPr>
        <w:t>工资调整，基数上调。</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7 .</w:t>
      </w:r>
      <w:r>
        <w:rPr>
          <w:rFonts w:hint="eastAsia" w:ascii="仿宋_GB2312" w:hAnsi="仿宋_GB2312" w:eastAsia="仿宋_GB2312" w:cs="仿宋_GB2312"/>
          <w:color w:val="auto"/>
          <w:kern w:val="0"/>
          <w:sz w:val="32"/>
          <w:szCs w:val="32"/>
          <w:highlight w:val="none"/>
          <w:lang w:eastAsia="zh-CN"/>
        </w:rPr>
        <w:t>住房</w:t>
      </w:r>
      <w:r>
        <w:rPr>
          <w:rFonts w:hint="eastAsia" w:ascii="仿宋_GB2312" w:hAnsi="仿宋_GB2312" w:eastAsia="仿宋_GB2312" w:cs="仿宋_GB2312"/>
          <w:color w:val="auto"/>
          <w:kern w:val="0"/>
          <w:sz w:val="32"/>
          <w:szCs w:val="32"/>
          <w:highlight w:val="none"/>
          <w:lang w:val="en-US" w:eastAsia="zh-CN"/>
        </w:rPr>
        <w:t>保障支出、住房改革支出、</w:t>
      </w:r>
      <w:r>
        <w:rPr>
          <w:rFonts w:hint="eastAsia" w:ascii="仿宋_GB2312" w:hAnsi="仿宋_GB2312" w:eastAsia="仿宋_GB2312" w:cs="仿宋_GB2312"/>
          <w:color w:val="auto"/>
          <w:kern w:val="0"/>
          <w:sz w:val="32"/>
          <w:szCs w:val="32"/>
          <w:highlight w:val="none"/>
          <w:lang w:eastAsia="zh-CN"/>
        </w:rPr>
        <w:t>住房公积金，2024年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26.26</w:t>
      </w:r>
      <w:r>
        <w:rPr>
          <w:rFonts w:hint="eastAsia" w:ascii="仿宋_GB2312" w:hAnsi="仿宋_GB2312" w:eastAsia="仿宋_GB2312" w:cs="仿宋_GB2312"/>
          <w:color w:val="auto"/>
          <w:kern w:val="0"/>
          <w:sz w:val="32"/>
          <w:szCs w:val="32"/>
          <w:highlight w:val="none"/>
        </w:rPr>
        <w:t xml:space="preserve">万元，比上年预算增加 </w:t>
      </w:r>
      <w:r>
        <w:rPr>
          <w:rFonts w:hint="eastAsia" w:ascii="仿宋_GB2312" w:hAnsi="仿宋_GB2312" w:eastAsia="仿宋_GB2312" w:cs="仿宋_GB2312"/>
          <w:color w:val="auto"/>
          <w:kern w:val="0"/>
          <w:sz w:val="32"/>
          <w:szCs w:val="32"/>
          <w:highlight w:val="none"/>
          <w:lang w:val="en-US" w:eastAsia="zh-CN"/>
        </w:rPr>
        <w:t>6.76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34.67</w:t>
      </w:r>
      <w:r>
        <w:rPr>
          <w:rFonts w:hint="eastAsia" w:ascii="仿宋_GB2312" w:hAnsi="仿宋_GB2312" w:eastAsia="仿宋_GB2312" w:cs="仿宋_GB2312"/>
          <w:color w:val="auto"/>
          <w:kern w:val="0"/>
          <w:sz w:val="32"/>
          <w:szCs w:val="32"/>
          <w:highlight w:val="none"/>
        </w:rPr>
        <w:t xml:space="preserve"> %，主要原因是： </w:t>
      </w:r>
      <w:r>
        <w:rPr>
          <w:rFonts w:hint="eastAsia" w:ascii="仿宋_GB2312" w:hAnsi="仿宋_GB2312" w:eastAsia="仿宋_GB2312" w:cs="仿宋_GB2312"/>
          <w:color w:val="auto"/>
          <w:kern w:val="0"/>
          <w:sz w:val="32"/>
          <w:szCs w:val="32"/>
          <w:highlight w:val="none"/>
          <w:lang w:val="en-US" w:eastAsia="zh-CN"/>
        </w:rPr>
        <w:t>工资调整，基数上调。</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宋体" w:eastAsia="仿宋_GB2312" w:cs="宋体"/>
          <w:color w:val="auto"/>
          <w:spacing w:val="-6"/>
          <w:kern w:val="0"/>
          <w:sz w:val="32"/>
          <w:szCs w:val="32"/>
          <w:highlight w:val="none"/>
        </w:rPr>
      </w:pP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356.34</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343.79</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医疗费、其他工资福利支出、退休费、生活补助、对个人和家庭的补助</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其他对个人和家庭的补助等。</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公用经费  </w:t>
      </w:r>
      <w:r>
        <w:rPr>
          <w:rFonts w:hint="eastAsia" w:ascii="仿宋_GB2312" w:hAnsi="宋体" w:eastAsia="仿宋_GB2312" w:cs="宋体"/>
          <w:color w:val="auto"/>
          <w:kern w:val="0"/>
          <w:sz w:val="32"/>
          <w:szCs w:val="32"/>
          <w:highlight w:val="none"/>
          <w:lang w:val="en-US" w:eastAsia="zh-CN"/>
        </w:rPr>
        <w:t>12.55</w:t>
      </w:r>
      <w:r>
        <w:rPr>
          <w:rFonts w:hint="eastAsia" w:ascii="仿宋_GB2312" w:hAnsi="宋体" w:eastAsia="仿宋_GB2312" w:cs="宋体"/>
          <w:color w:val="auto"/>
          <w:kern w:val="0"/>
          <w:sz w:val="32"/>
          <w:szCs w:val="32"/>
          <w:highlight w:val="none"/>
        </w:rPr>
        <w:t>万元，主要包括：办公费、印刷费、手续费、水费、电费、邮电费、取暖费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差旅费、因公出国（境）费、维修（护）费、租赁费、会议费、培训费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工会经费、其他交通费用、税金及附加费用、其他商品和服务支出、办公设备购置、专用设备购置等。</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本单位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呼图壁县雀尔沟镇卫生院</w:t>
      </w:r>
      <w:r>
        <w:rPr>
          <w:rFonts w:hint="eastAsia" w:ascii="仿宋_GB2312" w:hAnsi="仿宋_GB2312" w:eastAsia="仿宋_GB2312" w:cs="仿宋_GB2312"/>
          <w:color w:val="auto"/>
          <w:kern w:val="0"/>
          <w:sz w:val="32"/>
          <w:szCs w:val="32"/>
          <w:highlight w:val="none"/>
          <w:lang w:eastAsia="zh-CN"/>
        </w:rPr>
        <w:t>2024年没有使用政府性基金预算拨款安排的支出，政府性基金预</w:t>
      </w:r>
      <w:r>
        <w:rPr>
          <w:rFonts w:hint="eastAsia" w:ascii="仿宋_GB2312" w:hAnsi="仿宋_GB2312" w:eastAsia="仿宋_GB2312" w:cs="仿宋_GB2312"/>
          <w:color w:val="auto"/>
          <w:kern w:val="0"/>
          <w:sz w:val="32"/>
          <w:szCs w:val="32"/>
          <w:highlight w:val="none"/>
        </w:rPr>
        <w:t>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呼图壁县大丰镇卫生院</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其中：因公出国（境）费减少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增长下降</w:t>
      </w:r>
      <w:r>
        <w:rPr>
          <w:rFonts w:hint="eastAsia" w:ascii="仿宋_GB2312" w:hAnsi="宋体" w:eastAsia="仿宋_GB2312" w:cs="宋体"/>
          <w:color w:val="auto"/>
          <w:kern w:val="0"/>
          <w:sz w:val="32"/>
          <w:szCs w:val="32"/>
          <w:highlight w:val="none"/>
          <w:lang w:val="en-US" w:eastAsia="zh-CN"/>
        </w:rPr>
        <w:t xml:space="preserve"> 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2024年无</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2024年无</w:t>
      </w:r>
      <w:r>
        <w:rPr>
          <w:rFonts w:hint="eastAsia" w:ascii="仿宋_GB2312" w:hAnsi="宋体" w:eastAsia="仿宋_GB2312" w:cs="宋体"/>
          <w:color w:val="auto"/>
          <w:kern w:val="0"/>
          <w:sz w:val="32"/>
          <w:szCs w:val="32"/>
          <w:highlight w:val="none"/>
        </w:rPr>
        <w:t xml:space="preserve">公务用车购置费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 xml:space="preserve"> 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rPr>
        <w:t>公务用车运行费 ；公务接待费减少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预算未安排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呼图壁县大丰镇卫生院</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w:t>
      </w:r>
      <w:r>
        <w:rPr>
          <w:rFonts w:hint="eastAsia" w:ascii="楷体_GB2312" w:hAnsi="楷体_GB2312" w:eastAsia="楷体_GB2312" w:cs="楷体_GB2312"/>
          <w:b/>
          <w:bCs w:val="0"/>
          <w:color w:val="auto"/>
          <w:kern w:val="0"/>
          <w:sz w:val="32"/>
          <w:szCs w:val="32"/>
          <w:highlight w:val="none"/>
          <w:lang w:val="en-US" w:eastAsia="zh-CN"/>
        </w:rPr>
        <w:t>大丰</w:t>
      </w:r>
      <w:r>
        <w:rPr>
          <w:rFonts w:hint="eastAsia" w:ascii="仿宋_GB2312" w:hAnsi="仿宋_GB2312" w:eastAsia="仿宋_GB2312" w:cs="仿宋_GB2312"/>
          <w:color w:val="auto"/>
          <w:kern w:val="0"/>
          <w:sz w:val="32"/>
          <w:szCs w:val="32"/>
          <w:highlight w:val="none"/>
          <w:lang w:val="en-US" w:eastAsia="zh-CN"/>
        </w:rPr>
        <w:t>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lang w:eastAsia="zh-CN"/>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lang w:eastAsia="zh-CN"/>
        </w:rPr>
        <w:t>预算支出情况表为空</w:t>
      </w:r>
      <w:r>
        <w:rPr>
          <w:rFonts w:hint="eastAsia" w:ascii="仿宋_GB2312" w:hAnsi="仿宋_GB2312" w:eastAsia="仿宋_GB2312" w:cs="仿宋_GB2312"/>
          <w:color w:val="auto"/>
          <w:kern w:val="0"/>
          <w:sz w:val="32"/>
          <w:szCs w:val="32"/>
          <w:highlight w:val="none"/>
        </w:rPr>
        <w:t>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呼图壁县大丰镇卫生院2</w:t>
      </w:r>
      <w:r>
        <w:rPr>
          <w:rFonts w:hint="eastAsia" w:ascii="仿宋_GB2312" w:hAnsi="仿宋_GB2312" w:eastAsia="仿宋_GB2312" w:cs="仿宋_GB2312"/>
          <w:color w:val="auto"/>
          <w:kern w:val="0"/>
          <w:sz w:val="32"/>
          <w:szCs w:val="32"/>
          <w:highlight w:val="none"/>
          <w:lang w:eastAsia="zh-CN"/>
        </w:rPr>
        <w:t>024年</w:t>
      </w:r>
      <w:r>
        <w:rPr>
          <w:rFonts w:hint="eastAsia" w:ascii="仿宋_GB2312" w:hAnsi="仿宋_GB2312" w:eastAsia="仿宋_GB2312" w:cs="仿宋_GB2312"/>
          <w:color w:val="auto"/>
          <w:kern w:val="0"/>
          <w:sz w:val="32"/>
          <w:szCs w:val="32"/>
          <w:highlight w:val="none"/>
          <w:lang w:val="en-US" w:eastAsia="zh-CN"/>
        </w:rPr>
        <w:t>上年结转结余0.07万元，包括：财政拨款0.07万元，非财政拨款0万元，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昌州财办社【2022】17号  2023年自治区计划生育服务补助资金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项目）0.07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主要用于：计划生育服务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12.55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减少0.58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减少4.42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办公设备老化。</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52.3</w:t>
      </w:r>
      <w:r>
        <w:rPr>
          <w:rFonts w:hint="eastAsia" w:ascii="仿宋_GB2312" w:hAnsi="仿宋_GB2312" w:eastAsia="仿宋_GB2312" w:cs="仿宋_GB2312"/>
          <w:color w:val="auto"/>
          <w:kern w:val="0"/>
          <w:sz w:val="32"/>
          <w:szCs w:val="32"/>
          <w:highlight w:val="none"/>
        </w:rPr>
        <w:t xml:space="preserve">万元，其中：政府采购货物预算 </w:t>
      </w:r>
      <w:r>
        <w:rPr>
          <w:rFonts w:hint="eastAsia" w:ascii="仿宋_GB2312" w:hAnsi="仿宋_GB2312" w:eastAsia="仿宋_GB2312" w:cs="仿宋_GB2312"/>
          <w:color w:val="auto"/>
          <w:kern w:val="0"/>
          <w:sz w:val="32"/>
          <w:szCs w:val="32"/>
          <w:highlight w:val="none"/>
          <w:lang w:val="en-US" w:eastAsia="zh-CN"/>
        </w:rPr>
        <w:t>22.48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16.1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val="en-US" w:eastAsia="zh-CN"/>
        </w:rPr>
        <w:t>呼图壁县大丰镇卫生院</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52.3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52.3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呼图壁县大丰镇卫生院</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3004.6</w:t>
      </w:r>
      <w:r>
        <w:rPr>
          <w:rFonts w:hint="eastAsia" w:ascii="仿宋_GB2312" w:hAnsi="仿宋_GB2312" w:eastAsia="仿宋_GB2312" w:cs="仿宋_GB2312"/>
          <w:color w:val="auto"/>
          <w:kern w:val="0"/>
          <w:sz w:val="32"/>
          <w:szCs w:val="32"/>
          <w:highlight w:val="none"/>
        </w:rPr>
        <w:t xml:space="preserve"> 平方米，价值  </w:t>
      </w:r>
      <w:r>
        <w:rPr>
          <w:rFonts w:hint="eastAsia" w:ascii="仿宋_GB2312" w:hAnsi="仿宋_GB2312" w:eastAsia="仿宋_GB2312" w:cs="仿宋_GB2312"/>
          <w:color w:val="auto"/>
          <w:kern w:val="0"/>
          <w:sz w:val="32"/>
          <w:szCs w:val="32"/>
          <w:highlight w:val="none"/>
          <w:lang w:val="en-US" w:eastAsia="zh-CN"/>
        </w:rPr>
        <w:t>530.95</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2.车辆 </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27.34</w:t>
      </w:r>
      <w:r>
        <w:rPr>
          <w:rFonts w:hint="eastAsia" w:ascii="仿宋_GB2312" w:hAnsi="仿宋_GB2312" w:eastAsia="仿宋_GB2312" w:cs="仿宋_GB2312"/>
          <w:color w:val="auto"/>
          <w:kern w:val="0"/>
          <w:sz w:val="32"/>
          <w:szCs w:val="32"/>
          <w:highlight w:val="none"/>
        </w:rPr>
        <w:t xml:space="preserve"> 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27.34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7.94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316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台（套），部门（单位）价值100万元以上大型设备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部门（单位）预算未安排购置车辆经费（或安排购置车辆经费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整体预算绩效目标1个，涉及金额356.41万元；当年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涉及预算金额356.41万元；当年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呼图壁县大丰镇卫生院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柴云</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18167730776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eastAsia="宋体" w:cs="宋体"/>
                <w:i w:val="0"/>
                <w:iCs w:val="0"/>
                <w:color w:val="000000"/>
                <w:sz w:val="20"/>
                <w:szCs w:val="20"/>
                <w:u w:val="none"/>
                <w:lang w:val="en-US" w:eastAsia="zh-CN"/>
              </w:rPr>
              <w:t>大丰</w:t>
            </w:r>
            <w:r>
              <w:rPr>
                <w:rFonts w:hint="eastAsia" w:ascii="宋体" w:hAnsi="宋体" w:eastAsia="宋体" w:cs="宋体"/>
                <w:i w:val="0"/>
                <w:iCs w:val="0"/>
                <w:color w:val="000000"/>
                <w:sz w:val="20"/>
                <w:szCs w:val="20"/>
                <w:u w:val="none"/>
              </w:rPr>
              <w:t>卫生院是一个公益一类综合性医疗机构，其任务是雀尔沟镇各项医疗卫生工作，组织领导群众卫生运动，培养卫生技术人员。并对村卫生室进行指导工作。是农村医疗网点行重要工作，担负着医疗防疫、个中个中保健重要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356.41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基本公共卫生服务人口数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13722</w:t>
            </w:r>
            <w:r>
              <w:rPr>
                <w:rFonts w:hint="eastAsia" w:ascii="宋体" w:hAnsi="宋体" w:eastAsia="宋体" w:cs="宋体"/>
                <w:i w:val="0"/>
                <w:iCs w:val="0"/>
                <w:color w:val="000000"/>
                <w:sz w:val="20"/>
                <w:szCs w:val="20"/>
                <w:u w:val="none"/>
              </w:rPr>
              <w:t>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全民体检人数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4475</w:t>
            </w:r>
            <w:r>
              <w:rPr>
                <w:rFonts w:hint="eastAsia" w:ascii="宋体" w:hAnsi="宋体" w:eastAsia="宋体" w:cs="宋体"/>
                <w:i w:val="0"/>
                <w:iCs w:val="0"/>
                <w:color w:val="000000"/>
                <w:sz w:val="20"/>
                <w:szCs w:val="20"/>
                <w:u w:val="none"/>
              </w:rPr>
              <w:t>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exac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基本公共卫生服务项目数量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&gt;=14</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乡村医生培训次数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8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1"/>
        <w:gridCol w:w="971"/>
        <w:gridCol w:w="971"/>
        <w:gridCol w:w="972"/>
        <w:gridCol w:w="972"/>
        <w:gridCol w:w="972"/>
        <w:gridCol w:w="972"/>
        <w:gridCol w:w="972"/>
        <w:gridCol w:w="20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6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6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9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呼图壁县大丰镇卫生院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2024年基本公共卫生服务项目补助资金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3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柴云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94.43</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94.43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3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2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免费向城乡居民提供基本公共卫生服务；开展对重点疾病及危害因素监测，有效控制疾病流行，为指定相关政策提供科学依据。助力国家脱贫攻坚，保持重点地方病防治措施全面落实；开展职业病监测，最大限度地保护放射工作人员、患者和公众的健康权益；同时推进妇幼卫生、健康素养促进、医养结合和老年健康服务、卫生应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209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老年人健康管理建档数量</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老年人健康管理率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&gt;=70%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开展业务指导完成率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项目执行及时率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城乡居民公共卫生差距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显著缩小</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群众满意度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2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yellow"/>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楷体_GB2312" w:hAnsi="宋体" w:eastAsia="楷体_GB2312" w:cs="宋体"/>
          <w:b/>
          <w:kern w:val="0"/>
          <w:sz w:val="32"/>
          <w:szCs w:val="32"/>
          <w:highlight w:val="yellow"/>
          <w:lang w:val="en-US" w:eastAsia="zh-CN"/>
        </w:rPr>
      </w:pPr>
      <w:bookmarkStart w:id="0" w:name="_GoBack"/>
      <w:r>
        <w:rPr>
          <w:rFonts w:hint="eastAsia" w:ascii="仿宋_GB2312" w:hAnsi="宋体" w:eastAsia="仿宋_GB2312" w:cs="宋体"/>
          <w:color w:val="auto"/>
          <w:kern w:val="0"/>
          <w:sz w:val="32"/>
          <w:szCs w:val="32"/>
          <w:highlight w:val="yellow"/>
          <w:lang w:eastAsia="zh-CN"/>
        </w:rPr>
        <w:t>呼图壁县</w:t>
      </w:r>
      <w:r>
        <w:rPr>
          <w:rFonts w:hint="eastAsia" w:ascii="仿宋_GB2312" w:hAnsi="宋体" w:eastAsia="仿宋_GB2312" w:cs="宋体"/>
          <w:color w:val="auto"/>
          <w:kern w:val="0"/>
          <w:sz w:val="32"/>
          <w:szCs w:val="32"/>
          <w:highlight w:val="yellow"/>
          <w:lang w:val="en-US" w:eastAsia="zh-CN"/>
        </w:rPr>
        <w:t>大丰卫生</w:t>
      </w:r>
      <w:r>
        <w:rPr>
          <w:rFonts w:hint="eastAsia" w:ascii="仿宋_GB2312" w:hAnsi="宋体" w:eastAsia="仿宋_GB2312" w:cs="宋体"/>
          <w:color w:val="auto"/>
          <w:kern w:val="0"/>
          <w:sz w:val="32"/>
          <w:szCs w:val="32"/>
          <w:highlight w:val="yellow"/>
          <w:lang w:eastAsia="zh-CN"/>
        </w:rPr>
        <w:t>院</w:t>
      </w:r>
      <w:r>
        <w:rPr>
          <w:rFonts w:hint="eastAsia" w:ascii="仿宋_GB2312" w:hAnsi="仿宋_GB2312" w:eastAsia="仿宋_GB2312" w:cs="仿宋_GB2312"/>
          <w:color w:val="auto"/>
          <w:kern w:val="0"/>
          <w:sz w:val="32"/>
          <w:szCs w:val="32"/>
          <w:highlight w:val="yellow"/>
          <w:lang w:eastAsia="zh-CN"/>
        </w:rPr>
        <w:t>2024年</w:t>
      </w:r>
      <w:r>
        <w:rPr>
          <w:rFonts w:hint="eastAsia" w:ascii="仿宋_GB2312" w:hAnsi="仿宋_GB2312" w:eastAsia="仿宋_GB2312" w:cs="仿宋_GB2312"/>
          <w:color w:val="auto"/>
          <w:kern w:val="0"/>
          <w:sz w:val="32"/>
          <w:szCs w:val="32"/>
          <w:highlight w:val="yellow"/>
          <w:lang w:val="en-US" w:eastAsia="zh-CN"/>
        </w:rPr>
        <w:t>单位资金</w:t>
      </w:r>
      <w:r>
        <w:rPr>
          <w:rFonts w:hint="eastAsia" w:ascii="仿宋_GB2312" w:hAnsi="仿宋_GB2312" w:eastAsia="仿宋_GB2312" w:cs="仿宋_GB2312"/>
          <w:color w:val="auto"/>
          <w:kern w:val="0"/>
          <w:sz w:val="32"/>
          <w:szCs w:val="32"/>
          <w:highlight w:val="yellow"/>
        </w:rPr>
        <w:t>预算</w:t>
      </w:r>
      <w:r>
        <w:rPr>
          <w:rFonts w:hint="eastAsia" w:ascii="仿宋_GB2312" w:hAnsi="仿宋_GB2312" w:eastAsia="仿宋_GB2312" w:cs="仿宋_GB2312"/>
          <w:color w:val="auto"/>
          <w:kern w:val="0"/>
          <w:sz w:val="32"/>
          <w:szCs w:val="32"/>
          <w:highlight w:val="yellow"/>
          <w:lang w:val="en-US" w:eastAsia="zh-CN"/>
        </w:rPr>
        <w:t>356.41</w:t>
      </w:r>
      <w:r>
        <w:rPr>
          <w:rFonts w:hint="eastAsia" w:ascii="仿宋_GB2312" w:hAnsi="仿宋_GB2312" w:eastAsia="仿宋_GB2312" w:cs="仿宋_GB2312"/>
          <w:color w:val="auto"/>
          <w:kern w:val="0"/>
          <w:sz w:val="32"/>
          <w:szCs w:val="32"/>
          <w:highlight w:val="yellow"/>
        </w:rPr>
        <w:t>万元，比上年预算增加</w:t>
      </w:r>
      <w:r>
        <w:rPr>
          <w:rFonts w:hint="eastAsia" w:ascii="仿宋_GB2312" w:hAnsi="仿宋_GB2312" w:eastAsia="仿宋_GB2312" w:cs="仿宋_GB2312"/>
          <w:color w:val="auto"/>
          <w:kern w:val="0"/>
          <w:sz w:val="32"/>
          <w:szCs w:val="32"/>
          <w:highlight w:val="yellow"/>
          <w:lang w:val="en-US" w:eastAsia="zh-CN"/>
        </w:rPr>
        <w:t>81.03</w:t>
      </w:r>
      <w:r>
        <w:rPr>
          <w:rFonts w:hint="eastAsia" w:ascii="仿宋_GB2312" w:hAnsi="仿宋_GB2312" w:eastAsia="仿宋_GB2312" w:cs="仿宋_GB2312"/>
          <w:color w:val="auto"/>
          <w:kern w:val="0"/>
          <w:sz w:val="32"/>
          <w:szCs w:val="32"/>
          <w:highlight w:val="yellow"/>
        </w:rPr>
        <w:t>万元，增长</w:t>
      </w:r>
      <w:r>
        <w:rPr>
          <w:rFonts w:hint="eastAsia" w:ascii="仿宋_GB2312" w:hAnsi="仿宋_GB2312" w:eastAsia="仿宋_GB2312" w:cs="仿宋_GB2312"/>
          <w:color w:val="auto"/>
          <w:kern w:val="0"/>
          <w:sz w:val="32"/>
          <w:szCs w:val="32"/>
          <w:highlight w:val="yellow"/>
          <w:lang w:val="en-US" w:eastAsia="zh-CN"/>
        </w:rPr>
        <w:t>29.43</w:t>
      </w:r>
      <w:r>
        <w:rPr>
          <w:rFonts w:hint="eastAsia" w:ascii="仿宋_GB2312" w:hAnsi="仿宋_GB2312" w:eastAsia="仿宋_GB2312" w:cs="仿宋_GB2312"/>
          <w:color w:val="auto"/>
          <w:kern w:val="0"/>
          <w:sz w:val="32"/>
          <w:szCs w:val="32"/>
          <w:highlight w:val="yellow"/>
        </w:rPr>
        <w:t>%。主要原因是</w:t>
      </w:r>
      <w:r>
        <w:rPr>
          <w:rFonts w:hint="eastAsia" w:ascii="仿宋_GB2312" w:hAnsi="宋体" w:eastAsia="仿宋_GB2312" w:cs="宋体"/>
          <w:kern w:val="0"/>
          <w:sz w:val="32"/>
          <w:szCs w:val="32"/>
          <w:highlight w:val="yellow"/>
          <w:lang w:val="en-US" w:eastAsia="zh-CN"/>
        </w:rPr>
        <w:t>全体在职人员基础性绩效资金增加</w:t>
      </w:r>
      <w:r>
        <w:rPr>
          <w:rFonts w:hint="eastAsia" w:ascii="仿宋_GB2312" w:hAnsi="宋体" w:eastAsia="仿宋_GB2312" w:cs="宋体"/>
          <w:kern w:val="0"/>
          <w:sz w:val="32"/>
          <w:szCs w:val="32"/>
          <w:highlight w:val="yellow"/>
          <w:lang w:eastAsia="zh-CN"/>
        </w:rPr>
        <w:t>，其社保公积金缴费有所增加</w:t>
      </w:r>
      <w:r>
        <w:rPr>
          <w:rFonts w:hint="eastAsia" w:ascii="仿宋_GB2312" w:hAnsi="仿宋_GB2312" w:eastAsia="仿宋_GB2312" w:cs="仿宋_GB2312"/>
          <w:color w:val="auto"/>
          <w:kern w:val="0"/>
          <w:sz w:val="32"/>
          <w:szCs w:val="32"/>
          <w:highlight w:val="yellow"/>
          <w:lang w:val="en-US" w:eastAsia="zh-CN"/>
        </w:rPr>
        <w:t>。</w:t>
      </w:r>
    </w:p>
    <w:bookmarkEnd w:id="0"/>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呼图壁县大丰镇卫生院</w:t>
      </w:r>
      <w:r>
        <w:rPr>
          <w:rFonts w:hint="eastAsia" w:ascii="仿宋_GB2312" w:hAnsi="宋体" w:eastAsia="仿宋_GB2312" w:cs="宋体"/>
          <w:kern w:val="0"/>
          <w:sz w:val="32"/>
          <w:szCs w:val="32"/>
          <w:highlight w:val="none"/>
        </w:rPr>
        <w:t>（单位）</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二0二四</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27</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386ED6"/>
    <w:multiLevelType w:val="singleLevel"/>
    <w:tmpl w:val="A1386ED6"/>
    <w:lvl w:ilvl="0" w:tentative="0">
      <w:start w:val="7"/>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abstractNum w:abstractNumId="2">
    <w:nsid w:val="7F72F571"/>
    <w:multiLevelType w:val="singleLevel"/>
    <w:tmpl w:val="7F72F571"/>
    <w:lvl w:ilvl="0" w:tentative="0">
      <w:start w:val="8"/>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3MDNiMjljYjNkNTY0M2I5MGQ0ZjU3ZDIzNTY3OGIifQ=="/>
  </w:docVars>
  <w:rsids>
    <w:rsidRoot w:val="10587512"/>
    <w:rsid w:val="00142300"/>
    <w:rsid w:val="00270BE1"/>
    <w:rsid w:val="003550AC"/>
    <w:rsid w:val="00BC532C"/>
    <w:rsid w:val="00E9656B"/>
    <w:rsid w:val="00EE2224"/>
    <w:rsid w:val="010D4EEF"/>
    <w:rsid w:val="010F7748"/>
    <w:rsid w:val="011A2A76"/>
    <w:rsid w:val="016C339A"/>
    <w:rsid w:val="018F7C10"/>
    <w:rsid w:val="01E74ACC"/>
    <w:rsid w:val="0247556A"/>
    <w:rsid w:val="02624152"/>
    <w:rsid w:val="0283628C"/>
    <w:rsid w:val="02AA5414"/>
    <w:rsid w:val="02AE1145"/>
    <w:rsid w:val="03394157"/>
    <w:rsid w:val="03C84489"/>
    <w:rsid w:val="04267B2D"/>
    <w:rsid w:val="049416A8"/>
    <w:rsid w:val="05397FD9"/>
    <w:rsid w:val="05CA5F5E"/>
    <w:rsid w:val="065E015D"/>
    <w:rsid w:val="06845730"/>
    <w:rsid w:val="06C54CB0"/>
    <w:rsid w:val="06FF013D"/>
    <w:rsid w:val="070E6657"/>
    <w:rsid w:val="071E7CCD"/>
    <w:rsid w:val="076B3AA9"/>
    <w:rsid w:val="07966986"/>
    <w:rsid w:val="07A55306"/>
    <w:rsid w:val="08450B28"/>
    <w:rsid w:val="089A364A"/>
    <w:rsid w:val="08C41377"/>
    <w:rsid w:val="08ED5C7E"/>
    <w:rsid w:val="0A4C57C8"/>
    <w:rsid w:val="0AE24024"/>
    <w:rsid w:val="0B247F12"/>
    <w:rsid w:val="0BA90CAF"/>
    <w:rsid w:val="0BF56298"/>
    <w:rsid w:val="0C43616D"/>
    <w:rsid w:val="0D6E5FD0"/>
    <w:rsid w:val="0DE85169"/>
    <w:rsid w:val="0E12182B"/>
    <w:rsid w:val="0E9208E7"/>
    <w:rsid w:val="0EF347E7"/>
    <w:rsid w:val="0F197C22"/>
    <w:rsid w:val="0F254CC5"/>
    <w:rsid w:val="0F924AFD"/>
    <w:rsid w:val="0FC81CD8"/>
    <w:rsid w:val="0FFE5B17"/>
    <w:rsid w:val="10587512"/>
    <w:rsid w:val="10916BDA"/>
    <w:rsid w:val="109E6C9D"/>
    <w:rsid w:val="10DF71DD"/>
    <w:rsid w:val="10EF257C"/>
    <w:rsid w:val="10F92125"/>
    <w:rsid w:val="10FA07C7"/>
    <w:rsid w:val="11A75C48"/>
    <w:rsid w:val="12D80AC7"/>
    <w:rsid w:val="12E34E3B"/>
    <w:rsid w:val="12E67AC4"/>
    <w:rsid w:val="12FD1A33"/>
    <w:rsid w:val="1379754E"/>
    <w:rsid w:val="1380268A"/>
    <w:rsid w:val="13A4490A"/>
    <w:rsid w:val="13C702B9"/>
    <w:rsid w:val="14245BCD"/>
    <w:rsid w:val="143B7739"/>
    <w:rsid w:val="14495172"/>
    <w:rsid w:val="14D211EC"/>
    <w:rsid w:val="14FF62E1"/>
    <w:rsid w:val="152F3C74"/>
    <w:rsid w:val="15913383"/>
    <w:rsid w:val="15A2607E"/>
    <w:rsid w:val="15B939EF"/>
    <w:rsid w:val="164754A6"/>
    <w:rsid w:val="16952078"/>
    <w:rsid w:val="1697741D"/>
    <w:rsid w:val="16D231FD"/>
    <w:rsid w:val="1732414C"/>
    <w:rsid w:val="179E2CDD"/>
    <w:rsid w:val="17A27AB4"/>
    <w:rsid w:val="18003D99"/>
    <w:rsid w:val="184F2733"/>
    <w:rsid w:val="187F2A1E"/>
    <w:rsid w:val="18952734"/>
    <w:rsid w:val="19726F19"/>
    <w:rsid w:val="1A626F8D"/>
    <w:rsid w:val="1A91517D"/>
    <w:rsid w:val="1ADA52D8"/>
    <w:rsid w:val="1AF40EA6"/>
    <w:rsid w:val="1B754A9E"/>
    <w:rsid w:val="1BA7312E"/>
    <w:rsid w:val="1BEB54C3"/>
    <w:rsid w:val="1C3C6084"/>
    <w:rsid w:val="1C896A53"/>
    <w:rsid w:val="1CEB6DC6"/>
    <w:rsid w:val="1CFB0597"/>
    <w:rsid w:val="1D3A7D4E"/>
    <w:rsid w:val="1D3E1AFE"/>
    <w:rsid w:val="1D5B1FD4"/>
    <w:rsid w:val="1DAC0BCF"/>
    <w:rsid w:val="1DFE2D37"/>
    <w:rsid w:val="1E4B06F4"/>
    <w:rsid w:val="1E4F395F"/>
    <w:rsid w:val="1EB61656"/>
    <w:rsid w:val="1F1970AB"/>
    <w:rsid w:val="1F2F69AA"/>
    <w:rsid w:val="1F6164D5"/>
    <w:rsid w:val="1F74398A"/>
    <w:rsid w:val="1F99463C"/>
    <w:rsid w:val="1F9D643B"/>
    <w:rsid w:val="1FE50445"/>
    <w:rsid w:val="205C002D"/>
    <w:rsid w:val="20A00415"/>
    <w:rsid w:val="20BF4C6D"/>
    <w:rsid w:val="20DD55C0"/>
    <w:rsid w:val="20E26732"/>
    <w:rsid w:val="212E3725"/>
    <w:rsid w:val="213129F9"/>
    <w:rsid w:val="214100E4"/>
    <w:rsid w:val="2186530F"/>
    <w:rsid w:val="22970BAB"/>
    <w:rsid w:val="22BD7457"/>
    <w:rsid w:val="22DB78DD"/>
    <w:rsid w:val="23671171"/>
    <w:rsid w:val="237D6BE6"/>
    <w:rsid w:val="240E783E"/>
    <w:rsid w:val="241E5CD3"/>
    <w:rsid w:val="24294678"/>
    <w:rsid w:val="244D65B8"/>
    <w:rsid w:val="2492221D"/>
    <w:rsid w:val="24D6045E"/>
    <w:rsid w:val="25487728"/>
    <w:rsid w:val="254C061E"/>
    <w:rsid w:val="2556149D"/>
    <w:rsid w:val="25D7082F"/>
    <w:rsid w:val="25EA61DD"/>
    <w:rsid w:val="262437AD"/>
    <w:rsid w:val="265D2576"/>
    <w:rsid w:val="26B4291F"/>
    <w:rsid w:val="26E769FA"/>
    <w:rsid w:val="26EA4EFE"/>
    <w:rsid w:val="272F6449"/>
    <w:rsid w:val="27E23A29"/>
    <w:rsid w:val="282F658A"/>
    <w:rsid w:val="28304227"/>
    <w:rsid w:val="28E5650E"/>
    <w:rsid w:val="293B2E83"/>
    <w:rsid w:val="29712D49"/>
    <w:rsid w:val="2973086F"/>
    <w:rsid w:val="2979445E"/>
    <w:rsid w:val="29917557"/>
    <w:rsid w:val="29DC49F4"/>
    <w:rsid w:val="2A012DF7"/>
    <w:rsid w:val="2AFC4894"/>
    <w:rsid w:val="2B275501"/>
    <w:rsid w:val="2B6666E7"/>
    <w:rsid w:val="2CA803F5"/>
    <w:rsid w:val="2D2E4FE7"/>
    <w:rsid w:val="2D480265"/>
    <w:rsid w:val="2D977453"/>
    <w:rsid w:val="2D9D3D2A"/>
    <w:rsid w:val="2EA9088F"/>
    <w:rsid w:val="2EEA002A"/>
    <w:rsid w:val="2EF22236"/>
    <w:rsid w:val="2F43624E"/>
    <w:rsid w:val="2F6027D8"/>
    <w:rsid w:val="2FD1777C"/>
    <w:rsid w:val="2FDB6B9B"/>
    <w:rsid w:val="30993B0E"/>
    <w:rsid w:val="316C04ED"/>
    <w:rsid w:val="31CD2387"/>
    <w:rsid w:val="32241DFD"/>
    <w:rsid w:val="32715B68"/>
    <w:rsid w:val="32794A1C"/>
    <w:rsid w:val="328316AD"/>
    <w:rsid w:val="33021B41"/>
    <w:rsid w:val="335072D3"/>
    <w:rsid w:val="344D6161"/>
    <w:rsid w:val="345633A9"/>
    <w:rsid w:val="34CA2C3F"/>
    <w:rsid w:val="34EC597A"/>
    <w:rsid w:val="34FD1935"/>
    <w:rsid w:val="351E4E05"/>
    <w:rsid w:val="3579545F"/>
    <w:rsid w:val="359D4169"/>
    <w:rsid w:val="35F51740"/>
    <w:rsid w:val="3625361F"/>
    <w:rsid w:val="36274EBB"/>
    <w:rsid w:val="36644D76"/>
    <w:rsid w:val="36713D85"/>
    <w:rsid w:val="36B25E75"/>
    <w:rsid w:val="37932A75"/>
    <w:rsid w:val="37977565"/>
    <w:rsid w:val="37992C39"/>
    <w:rsid w:val="37DD5222"/>
    <w:rsid w:val="38221AD8"/>
    <w:rsid w:val="38637D01"/>
    <w:rsid w:val="38D94467"/>
    <w:rsid w:val="38F874EA"/>
    <w:rsid w:val="38FD2F65"/>
    <w:rsid w:val="3A573895"/>
    <w:rsid w:val="3AC5600A"/>
    <w:rsid w:val="3B451940"/>
    <w:rsid w:val="3B815EB0"/>
    <w:rsid w:val="3B9D3C7E"/>
    <w:rsid w:val="3BE17176"/>
    <w:rsid w:val="3BEF490F"/>
    <w:rsid w:val="3DD0207E"/>
    <w:rsid w:val="3E46434D"/>
    <w:rsid w:val="3E5F1F3D"/>
    <w:rsid w:val="3EA03A5D"/>
    <w:rsid w:val="3ECF7E9E"/>
    <w:rsid w:val="3F871C1D"/>
    <w:rsid w:val="3FD15E98"/>
    <w:rsid w:val="3FDF4D23"/>
    <w:rsid w:val="40721522"/>
    <w:rsid w:val="40EB2E68"/>
    <w:rsid w:val="41691DE4"/>
    <w:rsid w:val="41D75F28"/>
    <w:rsid w:val="426D2A6A"/>
    <w:rsid w:val="42E752AE"/>
    <w:rsid w:val="43326C4D"/>
    <w:rsid w:val="434E5D43"/>
    <w:rsid w:val="435A5694"/>
    <w:rsid w:val="43C26223"/>
    <w:rsid w:val="43C50361"/>
    <w:rsid w:val="43D8307E"/>
    <w:rsid w:val="44732203"/>
    <w:rsid w:val="44962078"/>
    <w:rsid w:val="44B6565C"/>
    <w:rsid w:val="450E0CAE"/>
    <w:rsid w:val="45331DD8"/>
    <w:rsid w:val="45704895"/>
    <w:rsid w:val="459534C4"/>
    <w:rsid w:val="46101C61"/>
    <w:rsid w:val="46845A12"/>
    <w:rsid w:val="46AA3508"/>
    <w:rsid w:val="46CE3131"/>
    <w:rsid w:val="47695B70"/>
    <w:rsid w:val="477912EF"/>
    <w:rsid w:val="47C00CCC"/>
    <w:rsid w:val="47DE272E"/>
    <w:rsid w:val="487F29FA"/>
    <w:rsid w:val="494F7907"/>
    <w:rsid w:val="495229B9"/>
    <w:rsid w:val="4AE675EC"/>
    <w:rsid w:val="4B047121"/>
    <w:rsid w:val="4B86056C"/>
    <w:rsid w:val="4C0055E5"/>
    <w:rsid w:val="4C3677AE"/>
    <w:rsid w:val="4C4D4AF8"/>
    <w:rsid w:val="4C706B3A"/>
    <w:rsid w:val="4CA3296A"/>
    <w:rsid w:val="4CB6509F"/>
    <w:rsid w:val="4CDD40CE"/>
    <w:rsid w:val="4CE94821"/>
    <w:rsid w:val="4D63624F"/>
    <w:rsid w:val="4D77554E"/>
    <w:rsid w:val="4DF4654D"/>
    <w:rsid w:val="4E831BE9"/>
    <w:rsid w:val="4EB30EE8"/>
    <w:rsid w:val="4EEE7E8D"/>
    <w:rsid w:val="4F006502"/>
    <w:rsid w:val="4FA7451F"/>
    <w:rsid w:val="500E6A43"/>
    <w:rsid w:val="50307459"/>
    <w:rsid w:val="50395DF8"/>
    <w:rsid w:val="508257A8"/>
    <w:rsid w:val="5087129F"/>
    <w:rsid w:val="50B272C7"/>
    <w:rsid w:val="513343BD"/>
    <w:rsid w:val="517D5E7F"/>
    <w:rsid w:val="51891C71"/>
    <w:rsid w:val="51A229D8"/>
    <w:rsid w:val="51C15CED"/>
    <w:rsid w:val="51CE7F16"/>
    <w:rsid w:val="51DF5D2C"/>
    <w:rsid w:val="52200FA6"/>
    <w:rsid w:val="52285DEB"/>
    <w:rsid w:val="52AD62F0"/>
    <w:rsid w:val="52E86650"/>
    <w:rsid w:val="530F6FAB"/>
    <w:rsid w:val="53A019B1"/>
    <w:rsid w:val="541F557F"/>
    <w:rsid w:val="546308FE"/>
    <w:rsid w:val="547C41CC"/>
    <w:rsid w:val="54AA0D3A"/>
    <w:rsid w:val="551A2BB9"/>
    <w:rsid w:val="55664405"/>
    <w:rsid w:val="556656D0"/>
    <w:rsid w:val="55CE5FB6"/>
    <w:rsid w:val="568A12E5"/>
    <w:rsid w:val="56E2112C"/>
    <w:rsid w:val="574F29FA"/>
    <w:rsid w:val="576B4F64"/>
    <w:rsid w:val="57A06990"/>
    <w:rsid w:val="586D62C7"/>
    <w:rsid w:val="58AB10BE"/>
    <w:rsid w:val="58E714A3"/>
    <w:rsid w:val="58FB18C3"/>
    <w:rsid w:val="5ACF76B3"/>
    <w:rsid w:val="5AF34ABD"/>
    <w:rsid w:val="5B1E2A0B"/>
    <w:rsid w:val="5B4F552B"/>
    <w:rsid w:val="5B7A63F2"/>
    <w:rsid w:val="5BE01022"/>
    <w:rsid w:val="5C3C5BCF"/>
    <w:rsid w:val="5C480BD8"/>
    <w:rsid w:val="5C8A67DC"/>
    <w:rsid w:val="5CDE0EA8"/>
    <w:rsid w:val="5D39627C"/>
    <w:rsid w:val="5DA01B06"/>
    <w:rsid w:val="5DB54563"/>
    <w:rsid w:val="5ED954E9"/>
    <w:rsid w:val="5F2346ED"/>
    <w:rsid w:val="5FAB2C1E"/>
    <w:rsid w:val="5FF86454"/>
    <w:rsid w:val="607A54CE"/>
    <w:rsid w:val="60CE5344"/>
    <w:rsid w:val="60FC5816"/>
    <w:rsid w:val="61086613"/>
    <w:rsid w:val="615B5FE1"/>
    <w:rsid w:val="6244171B"/>
    <w:rsid w:val="62511B8C"/>
    <w:rsid w:val="62750BEC"/>
    <w:rsid w:val="62A9164B"/>
    <w:rsid w:val="62D54147"/>
    <w:rsid w:val="62EC09DD"/>
    <w:rsid w:val="63463725"/>
    <w:rsid w:val="6408782B"/>
    <w:rsid w:val="644864CC"/>
    <w:rsid w:val="645A1743"/>
    <w:rsid w:val="645D0D30"/>
    <w:rsid w:val="649B6646"/>
    <w:rsid w:val="64F3558A"/>
    <w:rsid w:val="65150413"/>
    <w:rsid w:val="65322CBF"/>
    <w:rsid w:val="65BB267B"/>
    <w:rsid w:val="65CA3108"/>
    <w:rsid w:val="660B1A57"/>
    <w:rsid w:val="66114977"/>
    <w:rsid w:val="66D30FC3"/>
    <w:rsid w:val="67D77904"/>
    <w:rsid w:val="68CC52CB"/>
    <w:rsid w:val="68DE4FFE"/>
    <w:rsid w:val="691E15C9"/>
    <w:rsid w:val="694B58D7"/>
    <w:rsid w:val="6995201C"/>
    <w:rsid w:val="69B30239"/>
    <w:rsid w:val="69CE4E15"/>
    <w:rsid w:val="6A6F6242"/>
    <w:rsid w:val="6A7E6841"/>
    <w:rsid w:val="6B2018FE"/>
    <w:rsid w:val="6B637A3C"/>
    <w:rsid w:val="6B6802FC"/>
    <w:rsid w:val="6B7F3246"/>
    <w:rsid w:val="6B922FE7"/>
    <w:rsid w:val="6BE94A51"/>
    <w:rsid w:val="6C496BAA"/>
    <w:rsid w:val="6C975BF0"/>
    <w:rsid w:val="6D220DE2"/>
    <w:rsid w:val="6D7C6B93"/>
    <w:rsid w:val="6EF07839"/>
    <w:rsid w:val="6F282B2F"/>
    <w:rsid w:val="6F63000B"/>
    <w:rsid w:val="6FCF63C4"/>
    <w:rsid w:val="70246C53"/>
    <w:rsid w:val="707359D8"/>
    <w:rsid w:val="70903082"/>
    <w:rsid w:val="71B06B42"/>
    <w:rsid w:val="71CF083D"/>
    <w:rsid w:val="71D174EA"/>
    <w:rsid w:val="72411660"/>
    <w:rsid w:val="72B56DCF"/>
    <w:rsid w:val="730606ED"/>
    <w:rsid w:val="734D0CA3"/>
    <w:rsid w:val="737C0613"/>
    <w:rsid w:val="73A476DB"/>
    <w:rsid w:val="7423107F"/>
    <w:rsid w:val="74BF4D8C"/>
    <w:rsid w:val="74E20BD1"/>
    <w:rsid w:val="75B570E6"/>
    <w:rsid w:val="76AB4A2F"/>
    <w:rsid w:val="76DC4D0E"/>
    <w:rsid w:val="76EE0B02"/>
    <w:rsid w:val="77BA6C36"/>
    <w:rsid w:val="77CB2545"/>
    <w:rsid w:val="780A1873"/>
    <w:rsid w:val="787D11B8"/>
    <w:rsid w:val="78AE484C"/>
    <w:rsid w:val="78DA1198"/>
    <w:rsid w:val="791412EC"/>
    <w:rsid w:val="792C5912"/>
    <w:rsid w:val="795F4876"/>
    <w:rsid w:val="79915775"/>
    <w:rsid w:val="79AC4EBF"/>
    <w:rsid w:val="79B17BC5"/>
    <w:rsid w:val="7AA6121D"/>
    <w:rsid w:val="7B486307"/>
    <w:rsid w:val="7B5A49B8"/>
    <w:rsid w:val="7CEA3B1A"/>
    <w:rsid w:val="7CFD1305"/>
    <w:rsid w:val="7D016812"/>
    <w:rsid w:val="7E8B30DA"/>
    <w:rsid w:val="7EEF18BB"/>
    <w:rsid w:val="7EFD4FD2"/>
    <w:rsid w:val="7F1E5CFC"/>
    <w:rsid w:val="7FAD3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8326</Words>
  <Characters>10232</Characters>
  <Lines>0</Lines>
  <Paragraphs>0</Paragraphs>
  <TotalTime>1</TotalTime>
  <ScaleCrop>false</ScaleCrop>
  <LinksUpToDate>false</LinksUpToDate>
  <CharactersWithSpaces>11429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2024-07-16T09:42:25Z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6B92E19E160A41BEACD8E61D503A1D99_13</vt:lpwstr>
  </property>
</Properties>
</file>