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ind w:firstLine="2640" w:firstLineChars="600"/>
        <w:jc w:val="both"/>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呼图壁县雀尔沟卫生院</w:t>
      </w:r>
    </w:p>
    <w:p>
      <w:pPr>
        <w:widowControl/>
        <w:spacing w:before="100" w:beforeAutospacing="1" w:after="100" w:afterAutospacing="1"/>
        <w:ind w:firstLine="3080" w:firstLineChars="700"/>
        <w:jc w:val="left"/>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呼图壁县雀尔沟卫生院</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w:t>
      </w:r>
      <w:r>
        <w:rPr>
          <w:rFonts w:hint="eastAsia" w:ascii="仿宋_GB2312" w:hAnsi="仿宋_GB2312" w:eastAsia="仿宋_GB2312" w:cs="仿宋_GB2312"/>
          <w:color w:val="auto"/>
          <w:kern w:val="0"/>
          <w:sz w:val="32"/>
          <w:szCs w:val="32"/>
          <w:highlight w:val="none"/>
          <w:lang w:eastAsia="zh-CN"/>
        </w:rPr>
        <w:t>024年</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呼图壁县雀尔沟卫生院</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呼图壁县雀尔沟卫生院</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default" w:ascii="仿宋_GB2312" w:hAnsi="宋体" w:eastAsia="仿宋_GB2312" w:cs="宋体"/>
          <w:bCs/>
          <w:color w:val="auto"/>
          <w:kern w:val="0"/>
          <w:sz w:val="32"/>
          <w:szCs w:val="32"/>
          <w:highlight w:val="none"/>
          <w:lang w:val="en-US"/>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呼图壁县雀尔沟镇卫生院是一个公益一类综合医疗机构。其任务是雀尔沟镇各项医疗卫生工作，组织领导群众卫生运动，培养卫生技术人员。并对村卫生室进行指导工作。是农村医疗网点的重要工作，担负着医疗防疫、保健的重要任务。是属于执行事业单位会计制度的一组预算单位。</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2"/>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从预算单位构成看，</w:t>
      </w:r>
      <w:r>
        <w:rPr>
          <w:rFonts w:hint="eastAsia" w:ascii="仿宋_GB2312" w:hAnsi="仿宋_GB2312" w:eastAsia="仿宋_GB2312" w:cs="仿宋_GB2312"/>
          <w:color w:val="auto"/>
          <w:kern w:val="0"/>
          <w:sz w:val="32"/>
          <w:szCs w:val="32"/>
          <w:highlight w:val="none"/>
          <w:lang w:val="en-US" w:eastAsia="zh-CN"/>
        </w:rPr>
        <w:t>呼图壁县雀尔沟镇卫生院</w:t>
      </w:r>
      <w:r>
        <w:rPr>
          <w:rFonts w:hint="eastAsia" w:ascii="仿宋_GB2312" w:hAnsi="宋体" w:eastAsia="仿宋_GB2312" w:cs="宋体"/>
          <w:color w:val="auto"/>
          <w:kern w:val="0"/>
          <w:sz w:val="32"/>
          <w:szCs w:val="32"/>
          <w:highlight w:val="none"/>
        </w:rPr>
        <w:t>的预算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rPr>
        <w:t>下属预算单位</w:t>
      </w:r>
      <w:r>
        <w:rPr>
          <w:rFonts w:hint="eastAsia" w:ascii="仿宋_GB2312" w:hAnsi="宋体" w:eastAsia="仿宋_GB2312" w:cs="宋体"/>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呼图壁县雀尔沟卫生院</w:t>
      </w:r>
      <w:r>
        <w:rPr>
          <w:rFonts w:hint="eastAsia" w:ascii="仿宋_GB2312" w:hAnsi="宋体" w:eastAsia="仿宋_GB2312" w:cs="宋体"/>
          <w:color w:val="auto"/>
          <w:kern w:val="0"/>
          <w:sz w:val="32"/>
          <w:szCs w:val="32"/>
          <w:highlight w:val="none"/>
        </w:rPr>
        <w:t>的预算</w:t>
      </w:r>
      <w:r>
        <w:rPr>
          <w:rFonts w:hint="eastAsia" w:ascii="仿宋_GB2312" w:hAnsi="宋体" w:eastAsia="仿宋_GB2312" w:cs="宋体"/>
          <w:color w:val="auto"/>
          <w:kern w:val="0"/>
          <w:sz w:val="32"/>
          <w:szCs w:val="32"/>
          <w:highlight w:val="none"/>
          <w:lang w:val="en-US" w:eastAsia="zh-CN"/>
        </w:rPr>
        <w:t>就是</w:t>
      </w:r>
      <w:r>
        <w:rPr>
          <w:rFonts w:hint="eastAsia" w:ascii="仿宋_GB2312" w:hAnsi="宋体" w:eastAsia="仿宋_GB2312" w:cs="宋体"/>
          <w:color w:val="auto"/>
          <w:kern w:val="0"/>
          <w:sz w:val="32"/>
          <w:szCs w:val="32"/>
          <w:highlight w:val="none"/>
        </w:rPr>
        <w:t>本级预算</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left="638" w:leftChars="304" w:firstLine="0" w:firstLineChars="0"/>
        <w:jc w:val="both"/>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呼图壁县雀尔沟镇卫生院</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w:t>
      </w:r>
      <w:r>
        <w:rPr>
          <w:rFonts w:hint="eastAsia" w:ascii="仿宋_GB2312" w:hAnsi="宋体" w:eastAsia="仿宋_GB2312" w:cs="宋体"/>
          <w:color w:val="auto"/>
          <w:kern w:val="0"/>
          <w:sz w:val="32"/>
          <w:szCs w:val="32"/>
          <w:highlight w:val="none"/>
          <w:lang w:val="en-US" w:eastAsia="zh-CN"/>
        </w:rPr>
        <w:t>三</w:t>
      </w:r>
      <w:r>
        <w:rPr>
          <w:rFonts w:hint="eastAsia" w:ascii="仿宋_GB2312" w:hAnsi="黑体" w:eastAsia="仿宋_GB2312" w:cs="宋体"/>
          <w:bCs/>
          <w:color w:val="auto"/>
          <w:kern w:val="0"/>
          <w:sz w:val="32"/>
          <w:szCs w:val="32"/>
          <w:highlight w:val="none"/>
        </w:rPr>
        <w:t>个处室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科室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，分</w:t>
      </w:r>
      <w:r>
        <w:rPr>
          <w:rFonts w:hint="eastAsia" w:ascii="仿宋_GB2312" w:hAnsi="黑体" w:eastAsia="仿宋_GB2312" w:cs="宋体"/>
          <w:bCs/>
          <w:color w:val="auto"/>
          <w:kern w:val="0"/>
          <w:sz w:val="32"/>
          <w:szCs w:val="32"/>
          <w:highlight w:val="none"/>
          <w:lang w:val="en-US" w:eastAsia="zh-CN"/>
        </w:rPr>
        <w:t>别</w:t>
      </w:r>
      <w:r>
        <w:rPr>
          <w:rFonts w:hint="eastAsia" w:ascii="仿宋_GB2312" w:hAnsi="黑体" w:eastAsia="仿宋_GB2312" w:cs="宋体"/>
          <w:bCs/>
          <w:color w:val="auto"/>
          <w:kern w:val="0"/>
          <w:sz w:val="32"/>
          <w:szCs w:val="32"/>
          <w:highlight w:val="none"/>
        </w:rPr>
        <w:t>是</w:t>
      </w:r>
      <w:r>
        <w:rPr>
          <w:rFonts w:hint="eastAsia" w:ascii="仿宋_GB2312" w:hAnsi="黑体" w:eastAsia="仿宋_GB2312" w:cs="宋体"/>
          <w:bCs/>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left="638" w:leftChars="304" w:firstLine="0" w:firstLineChars="0"/>
        <w:jc w:val="left"/>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一、职能科室：包括财务科、综合业务办、护理部；</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二、医技科室：包括药剂科、检验科、功能科、放射科；</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三、临床科室：包括内儿科门诊、住院部、公共卫生科。</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呼图壁县雀尔沟镇卫生院单位</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24人</w:t>
      </w:r>
      <w:r>
        <w:rPr>
          <w:rFonts w:hint="eastAsia" w:ascii="仿宋_GB2312" w:hAnsi="宋体" w:eastAsia="仿宋_GB2312" w:cs="宋体"/>
          <w:color w:val="auto"/>
          <w:kern w:val="0"/>
          <w:sz w:val="32"/>
          <w:szCs w:val="32"/>
          <w:highlight w:val="none"/>
        </w:rPr>
        <w:t xml:space="preserve">，实有人数 </w:t>
      </w:r>
      <w:r>
        <w:rPr>
          <w:rFonts w:hint="eastAsia" w:ascii="仿宋_GB2312" w:hAnsi="宋体" w:eastAsia="仿宋_GB2312" w:cs="宋体"/>
          <w:color w:val="auto"/>
          <w:kern w:val="0"/>
          <w:sz w:val="32"/>
          <w:szCs w:val="32"/>
          <w:highlight w:val="none"/>
          <w:lang w:val="en-US" w:eastAsia="zh-CN"/>
        </w:rPr>
        <w:t>36</w:t>
      </w:r>
      <w:r>
        <w:rPr>
          <w:rFonts w:hint="eastAsia" w:ascii="仿宋_GB2312" w:hAnsi="宋体" w:eastAsia="仿宋_GB2312" w:cs="宋体"/>
          <w:color w:val="auto"/>
          <w:kern w:val="0"/>
          <w:sz w:val="32"/>
          <w:szCs w:val="32"/>
          <w:highlight w:val="none"/>
        </w:rPr>
        <w:t xml:space="preserve">   人，其中：在职 </w:t>
      </w:r>
      <w:r>
        <w:rPr>
          <w:rFonts w:hint="eastAsia" w:ascii="仿宋_GB2312" w:hAnsi="宋体" w:eastAsia="仿宋_GB2312" w:cs="宋体"/>
          <w:color w:val="auto"/>
          <w:kern w:val="0"/>
          <w:sz w:val="32"/>
          <w:szCs w:val="32"/>
          <w:highlight w:val="none"/>
          <w:lang w:val="en-US" w:eastAsia="zh-CN"/>
        </w:rPr>
        <w:t>22</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 退休</w:t>
      </w:r>
      <w:r>
        <w:rPr>
          <w:rFonts w:hint="eastAsia" w:ascii="仿宋_GB2312" w:hAnsi="宋体" w:eastAsia="仿宋_GB2312" w:cs="宋体"/>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人，减少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w:t>
      </w: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呼图壁县雀尔沟卫生院</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呼图壁县雀尔沟卫生院</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044"/>
        <w:gridCol w:w="1386"/>
        <w:gridCol w:w="2590"/>
        <w:gridCol w:w="1642"/>
      </w:tblGrid>
      <w:tr>
        <w:tblPrEx>
          <w:tblCellMar>
            <w:top w:w="0" w:type="dxa"/>
            <w:left w:w="108" w:type="dxa"/>
            <w:bottom w:w="0" w:type="dxa"/>
            <w:right w:w="108" w:type="dxa"/>
          </w:tblCellMar>
        </w:tblPrEx>
        <w:trPr>
          <w:trHeight w:val="360" w:hRule="atLeast"/>
        </w:trPr>
        <w:tc>
          <w:tcPr>
            <w:tcW w:w="4430"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232"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59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6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386" w:type="dxa"/>
            <w:tcBorders>
              <w:top w:val="nil"/>
              <w:left w:val="nil"/>
              <w:bottom w:val="single" w:color="auto" w:sz="4" w:space="0"/>
              <w:right w:val="single" w:color="auto" w:sz="4" w:space="0"/>
            </w:tcBorders>
            <w:noWrap w:val="0"/>
            <w:vAlign w:val="center"/>
          </w:tcPr>
          <w:p>
            <w:pPr>
              <w:widowControl/>
              <w:tabs>
                <w:tab w:val="left" w:pos="571"/>
                <w:tab w:val="right" w:pos="1187"/>
              </w:tabs>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840.73</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372.83</w:t>
            </w:r>
          </w:p>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372.83</w:t>
            </w: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38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90.60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685.68</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467.90</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0.21</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0.21</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0.21</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64.66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rPr>
          <w:trHeight w:val="312" w:hRule="exact"/>
        </w:trPr>
        <w:tc>
          <w:tcPr>
            <w:tcW w:w="3044"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3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64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rPr>
          <w:trHeight w:val="312" w:hRule="exact"/>
        </w:trPr>
        <w:tc>
          <w:tcPr>
            <w:tcW w:w="3044"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3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840.94</w:t>
            </w:r>
          </w:p>
        </w:tc>
        <w:tc>
          <w:tcPr>
            <w:tcW w:w="2590" w:type="dxa"/>
            <w:tcBorders>
              <w:top w:val="nil"/>
              <w:left w:val="nil"/>
              <w:bottom w:val="single" w:color="auto" w:sz="4" w:space="0"/>
              <w:right w:val="single" w:color="auto" w:sz="4" w:space="0"/>
            </w:tcBorders>
            <w:noWrap w:val="0"/>
            <w:vAlign w:val="center"/>
          </w:tcPr>
          <w:p>
            <w:pPr>
              <w:widowControl/>
              <w:spacing w:line="280" w:lineRule="exact"/>
              <w:jc w:val="center"/>
              <w:textAlignment w:val="center"/>
              <w:rPr>
                <w:rFonts w:hint="eastAsia" w:ascii="仿宋_GB2312" w:hAnsi="宋体" w:eastAsia="仿宋_GB2312" w:cs="宋体"/>
                <w:color w:val="auto"/>
                <w:kern w:val="0"/>
                <w:sz w:val="18"/>
                <w:szCs w:val="18"/>
                <w:highlight w:val="none"/>
                <w:lang w:bidi="ar"/>
              </w:rPr>
            </w:pPr>
            <w:r>
              <w:rPr>
                <w:rFonts w:hint="eastAsia" w:ascii="仿宋_GB2312" w:hAnsi="宋体" w:eastAsia="仿宋_GB2312" w:cs="宋体"/>
                <w:b/>
                <w:bCs/>
                <w:color w:val="auto"/>
                <w:kern w:val="0"/>
                <w:sz w:val="20"/>
                <w:szCs w:val="20"/>
                <w:highlight w:val="none"/>
              </w:rPr>
              <w:t>支  出  总  计</w:t>
            </w:r>
          </w:p>
        </w:tc>
        <w:tc>
          <w:tcPr>
            <w:tcW w:w="164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840.94</w:t>
            </w:r>
          </w:p>
        </w:tc>
      </w:tr>
      <w:tr>
        <w:trPr>
          <w:trHeight w:val="365" w:hRule="atLeast"/>
        </w:trPr>
        <w:tc>
          <w:tcPr>
            <w:tcW w:w="3044"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2590"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lang w:val="en-US" w:eastAsia="zh-CN"/>
        </w:rPr>
        <w:t>呼图壁县雀尔沟卫生院</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呼图壁县雀尔沟镇卫生院</w:t>
      </w:r>
      <w:r>
        <w:rPr>
          <w:rFonts w:hint="eastAsia" w:ascii="仿宋_GB2312" w:hAnsi="宋体" w:eastAsia="仿宋_GB2312"/>
          <w:color w:val="auto"/>
          <w:kern w:val="0"/>
          <w:sz w:val="24"/>
          <w:highlight w:val="none"/>
        </w:rPr>
        <w:t xml:space="preserve">                              单位：万元</w:t>
      </w:r>
    </w:p>
    <w:tbl>
      <w:tblPr>
        <w:tblStyle w:val="5"/>
        <w:tblW w:w="9878" w:type="dxa"/>
        <w:tblInd w:w="-630" w:type="dxa"/>
        <w:tblLayout w:type="fixed"/>
        <w:tblCellMar>
          <w:top w:w="0" w:type="dxa"/>
          <w:left w:w="108" w:type="dxa"/>
          <w:bottom w:w="0" w:type="dxa"/>
          <w:right w:w="108" w:type="dxa"/>
        </w:tblCellMar>
      </w:tblPr>
      <w:tblGrid>
        <w:gridCol w:w="585"/>
        <w:gridCol w:w="450"/>
        <w:gridCol w:w="435"/>
        <w:gridCol w:w="948"/>
        <w:gridCol w:w="837"/>
        <w:gridCol w:w="765"/>
        <w:gridCol w:w="840"/>
        <w:gridCol w:w="630"/>
        <w:gridCol w:w="615"/>
        <w:gridCol w:w="622"/>
        <w:gridCol w:w="386"/>
        <w:gridCol w:w="880"/>
        <w:gridCol w:w="440"/>
        <w:gridCol w:w="534"/>
        <w:gridCol w:w="598"/>
        <w:gridCol w:w="313"/>
      </w:tblGrid>
      <w:tr>
        <w:tblPrEx>
          <w:tblCellMar>
            <w:top w:w="0" w:type="dxa"/>
            <w:left w:w="108" w:type="dxa"/>
            <w:bottom w:w="0" w:type="dxa"/>
            <w:right w:w="108" w:type="dxa"/>
          </w:tblCellMar>
        </w:tblPrEx>
        <w:trPr>
          <w:trHeight w:val="1003" w:hRule="atLeast"/>
        </w:trPr>
        <w:tc>
          <w:tcPr>
            <w:tcW w:w="147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48" w:type="dxa"/>
            <w:vMerge w:val="restart"/>
            <w:tcBorders>
              <w:top w:val="single" w:color="auto" w:sz="4" w:space="0"/>
              <w:left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37" w:type="dxa"/>
            <w:vMerge w:val="restart"/>
            <w:tcBorders>
              <w:top w:val="single" w:color="auto" w:sz="4" w:space="0"/>
              <w:left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38"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40"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4"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8"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13"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85"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48" w:type="dxa"/>
            <w:vMerge w:val="continue"/>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37" w:type="dxa"/>
            <w:vMerge w:val="continue"/>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2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8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40" w:type="dxa"/>
            <w:vMerge w:val="continue"/>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4" w:type="dxa"/>
            <w:vMerge w:val="continue"/>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8" w:type="dxa"/>
            <w:vMerge w:val="continue"/>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13" w:type="dxa"/>
            <w:vMerge w:val="continue"/>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898" w:hRule="atLeast"/>
        </w:trPr>
        <w:tc>
          <w:tcPr>
            <w:tcW w:w="585"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w:t>
            </w: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435"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948"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社会保障和就业支出</w:t>
            </w:r>
          </w:p>
        </w:tc>
        <w:tc>
          <w:tcPr>
            <w:tcW w:w="83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905</w:t>
            </w:r>
            <w:r>
              <w:rPr>
                <w:rFonts w:hint="eastAsia" w:ascii="仿宋_GB2312" w:eastAsia="仿宋_GB2312"/>
                <w:color w:val="auto"/>
                <w:sz w:val="20"/>
                <w:szCs w:val="20"/>
                <w:highlight w:val="none"/>
                <w:lang w:val="en-US" w:eastAsia="zh-CN"/>
              </w:rPr>
              <w:t>.</w:t>
            </w:r>
            <w:r>
              <w:rPr>
                <w:rFonts w:hint="eastAsia" w:ascii="仿宋_GB2312" w:eastAsia="仿宋_GB2312"/>
                <w:color w:val="auto"/>
                <w:sz w:val="20"/>
                <w:szCs w:val="20"/>
                <w:highlight w:val="none"/>
              </w:rPr>
              <w:t>98</w:t>
            </w:r>
          </w:p>
        </w:tc>
        <w:tc>
          <w:tcPr>
            <w:tcW w:w="76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44</w:t>
            </w:r>
            <w:r>
              <w:rPr>
                <w:rFonts w:hint="eastAsia" w:ascii="仿宋_GB2312" w:eastAsia="仿宋_GB2312"/>
                <w:color w:val="auto"/>
                <w:sz w:val="20"/>
                <w:szCs w:val="20"/>
                <w:highlight w:val="none"/>
                <w:lang w:eastAsia="zh-CN"/>
              </w:rPr>
              <w:t>.</w:t>
            </w:r>
            <w:r>
              <w:rPr>
                <w:rFonts w:hint="eastAsia" w:ascii="仿宋_GB2312" w:eastAsia="仿宋_GB2312"/>
                <w:color w:val="auto"/>
                <w:sz w:val="20"/>
                <w:szCs w:val="20"/>
                <w:highlight w:val="none"/>
              </w:rPr>
              <w:t>6</w:t>
            </w:r>
            <w:r>
              <w:rPr>
                <w:rFonts w:hint="eastAsia" w:ascii="仿宋_GB2312" w:eastAsia="仿宋_GB2312"/>
                <w:color w:val="auto"/>
                <w:sz w:val="20"/>
                <w:szCs w:val="20"/>
                <w:highlight w:val="none"/>
                <w:lang w:val="en-US" w:eastAsia="zh-CN"/>
              </w:rPr>
              <w:t>2</w:t>
            </w:r>
          </w:p>
        </w:tc>
        <w:tc>
          <w:tcPr>
            <w:tcW w:w="84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44</w:t>
            </w:r>
            <w:r>
              <w:rPr>
                <w:rFonts w:hint="eastAsia" w:ascii="仿宋_GB2312" w:eastAsia="仿宋_GB2312"/>
                <w:color w:val="auto"/>
                <w:sz w:val="20"/>
                <w:szCs w:val="20"/>
                <w:highlight w:val="none"/>
                <w:lang w:eastAsia="zh-CN"/>
              </w:rPr>
              <w:t>.</w:t>
            </w:r>
            <w:r>
              <w:rPr>
                <w:rFonts w:hint="eastAsia" w:ascii="仿宋_GB2312" w:eastAsia="仿宋_GB2312"/>
                <w:color w:val="auto"/>
                <w:sz w:val="20"/>
                <w:szCs w:val="20"/>
                <w:highlight w:val="none"/>
              </w:rPr>
              <w:t>6</w:t>
            </w:r>
            <w:r>
              <w:rPr>
                <w:rFonts w:hint="eastAsia" w:ascii="仿宋_GB2312" w:eastAsia="仿宋_GB2312"/>
                <w:color w:val="auto"/>
                <w:sz w:val="20"/>
                <w:szCs w:val="20"/>
                <w:highlight w:val="none"/>
                <w:lang w:val="en-US" w:eastAsia="zh-CN"/>
              </w:rPr>
              <w:t>2</w:t>
            </w: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6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905</w:t>
            </w:r>
            <w:r>
              <w:rPr>
                <w:rFonts w:hint="eastAsia" w:ascii="仿宋_GB2312" w:eastAsia="仿宋_GB2312"/>
                <w:color w:val="auto"/>
                <w:sz w:val="20"/>
                <w:szCs w:val="20"/>
                <w:highlight w:val="none"/>
                <w:lang w:val="en-US" w:eastAsia="zh-CN"/>
              </w:rPr>
              <w:t>.</w:t>
            </w:r>
            <w:r>
              <w:rPr>
                <w:rFonts w:hint="eastAsia" w:ascii="仿宋_GB2312" w:eastAsia="仿宋_GB2312"/>
                <w:color w:val="auto"/>
                <w:sz w:val="20"/>
                <w:szCs w:val="20"/>
                <w:highlight w:val="none"/>
              </w:rPr>
              <w:t>98</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44</w:t>
            </w:r>
            <w:r>
              <w:rPr>
                <w:rFonts w:hint="eastAsia" w:ascii="仿宋_GB2312" w:eastAsia="仿宋_GB2312"/>
                <w:color w:val="auto"/>
                <w:sz w:val="20"/>
                <w:szCs w:val="20"/>
                <w:highlight w:val="none"/>
                <w:lang w:eastAsia="zh-CN"/>
              </w:rPr>
              <w:t>.</w:t>
            </w:r>
            <w:r>
              <w:rPr>
                <w:rFonts w:hint="eastAsia" w:ascii="仿宋_GB2312" w:eastAsia="仿宋_GB2312"/>
                <w:color w:val="auto"/>
                <w:sz w:val="20"/>
                <w:szCs w:val="20"/>
                <w:highlight w:val="none"/>
              </w:rPr>
              <w:t>6</w:t>
            </w:r>
            <w:r>
              <w:rPr>
                <w:rFonts w:hint="eastAsia" w:ascii="仿宋_GB2312" w:eastAsia="仿宋_GB2312"/>
                <w:color w:val="auto"/>
                <w:sz w:val="20"/>
                <w:szCs w:val="20"/>
                <w:highlight w:val="none"/>
                <w:lang w:val="en-US" w:eastAsia="zh-CN"/>
              </w:rPr>
              <w:t>2</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44</w:t>
            </w:r>
            <w:r>
              <w:rPr>
                <w:rFonts w:hint="eastAsia" w:ascii="仿宋_GB2312" w:eastAsia="仿宋_GB2312"/>
                <w:color w:val="auto"/>
                <w:sz w:val="20"/>
                <w:szCs w:val="20"/>
                <w:highlight w:val="none"/>
                <w:lang w:eastAsia="zh-CN"/>
              </w:rPr>
              <w:t>.</w:t>
            </w:r>
            <w:r>
              <w:rPr>
                <w:rFonts w:hint="eastAsia" w:ascii="仿宋_GB2312" w:eastAsia="仿宋_GB2312"/>
                <w:color w:val="auto"/>
                <w:sz w:val="20"/>
                <w:szCs w:val="20"/>
                <w:highlight w:val="none"/>
              </w:rPr>
              <w:t>6</w:t>
            </w:r>
            <w:r>
              <w:rPr>
                <w:rFonts w:hint="eastAsia" w:ascii="仿宋_GB2312" w:eastAsia="仿宋_GB2312"/>
                <w:color w:val="auto"/>
                <w:sz w:val="20"/>
                <w:szCs w:val="20"/>
                <w:highlight w:val="none"/>
                <w:lang w:val="en-US" w:eastAsia="zh-CN"/>
              </w:rPr>
              <w:t>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7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事业单位离退休</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10</w:t>
            </w:r>
            <w:r>
              <w:rPr>
                <w:rFonts w:hint="eastAsia" w:ascii="仿宋_GB2312" w:eastAsia="仿宋_GB2312"/>
                <w:color w:val="auto"/>
                <w:sz w:val="20"/>
                <w:szCs w:val="20"/>
                <w:highlight w:val="none"/>
                <w:lang w:eastAsia="zh-CN"/>
              </w:rPr>
              <w:t>.</w:t>
            </w:r>
            <w:r>
              <w:rPr>
                <w:rFonts w:hint="eastAsia" w:ascii="仿宋_GB2312" w:eastAsia="仿宋_GB2312"/>
                <w:color w:val="auto"/>
                <w:sz w:val="20"/>
                <w:szCs w:val="20"/>
                <w:highlight w:val="none"/>
              </w:rPr>
              <w:t>98</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10</w:t>
            </w:r>
            <w:r>
              <w:rPr>
                <w:rFonts w:hint="eastAsia" w:ascii="仿宋_GB2312" w:eastAsia="仿宋_GB2312"/>
                <w:color w:val="auto"/>
                <w:sz w:val="20"/>
                <w:szCs w:val="20"/>
                <w:highlight w:val="none"/>
                <w:lang w:eastAsia="zh-CN"/>
              </w:rPr>
              <w:t>.</w:t>
            </w:r>
            <w:r>
              <w:rPr>
                <w:rFonts w:hint="eastAsia" w:ascii="仿宋_GB2312" w:eastAsia="仿宋_GB2312"/>
                <w:color w:val="auto"/>
                <w:sz w:val="20"/>
                <w:szCs w:val="20"/>
                <w:highlight w:val="none"/>
              </w:rPr>
              <w:t>98</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10</w:t>
            </w:r>
            <w:r>
              <w:rPr>
                <w:rFonts w:hint="eastAsia" w:ascii="仿宋_GB2312" w:eastAsia="仿宋_GB2312"/>
                <w:color w:val="auto"/>
                <w:sz w:val="20"/>
                <w:szCs w:val="20"/>
                <w:highlight w:val="none"/>
                <w:lang w:eastAsia="zh-CN"/>
              </w:rPr>
              <w:t>.</w:t>
            </w:r>
            <w:r>
              <w:rPr>
                <w:rFonts w:hint="eastAsia" w:ascii="仿宋_GB2312" w:eastAsia="仿宋_GB2312"/>
                <w:color w:val="auto"/>
                <w:sz w:val="20"/>
                <w:szCs w:val="20"/>
                <w:highlight w:val="none"/>
              </w:rPr>
              <w:t>980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396"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宋体"/>
                <w:color w:val="auto"/>
                <w:sz w:val="20"/>
                <w:szCs w:val="20"/>
                <w:highlight w:val="none"/>
                <w:lang w:val="en-US" w:eastAsia="zh-CN"/>
              </w:rPr>
            </w:pPr>
            <w:r>
              <w:rPr>
                <w:rFonts w:hint="eastAsia" w:ascii="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94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机关事业单位基本养老保险缴费支出</w:t>
            </w:r>
          </w:p>
        </w:tc>
        <w:tc>
          <w:tcPr>
            <w:tcW w:w="83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77.367</w:t>
            </w:r>
          </w:p>
        </w:tc>
        <w:tc>
          <w:tcPr>
            <w:tcW w:w="76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33.64</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33.64</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42"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机关事业单位职业年金缴费支出</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2.25</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2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4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卫生健康支出</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68.57</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300.10</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300.10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467.90</w:t>
            </w: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0.21</w:t>
            </w: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基层医疗卫生机构</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635.85</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278.53</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278.53</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467.90</w:t>
            </w: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0.21</w:t>
            </w: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乡镇卫生院</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635.85</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278.53</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278.53</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467.90</w:t>
            </w: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0.21</w:t>
            </w: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r>
              <w:rPr>
                <w:rFonts w:hint="eastAsia" w:ascii="仿宋_GB2312" w:eastAsia="仿宋_GB2312"/>
                <w:color w:val="auto"/>
                <w:sz w:val="20"/>
                <w:szCs w:val="20"/>
                <w:highlight w:val="yellow"/>
              </w:rPr>
              <w:t>210</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yellow"/>
                <w:lang w:val="en-US" w:eastAsia="zh-CN"/>
              </w:rPr>
            </w:pPr>
          </w:p>
          <w:p>
            <w:pPr>
              <w:jc w:val="center"/>
              <w:rPr>
                <w:rFonts w:hint="default" w:ascii="仿宋_GB2312" w:hAnsi="宋体" w:eastAsia="仿宋_GB2312" w:cs="宋体"/>
                <w:color w:val="auto"/>
                <w:sz w:val="20"/>
                <w:szCs w:val="20"/>
                <w:highlight w:val="yellow"/>
                <w:lang w:val="en-US" w:eastAsia="zh-CN"/>
              </w:rPr>
            </w:pPr>
            <w:r>
              <w:rPr>
                <w:rFonts w:hint="eastAsia" w:ascii="仿宋_GB2312" w:hAnsi="宋体" w:eastAsia="仿宋_GB2312" w:cs="宋体"/>
                <w:color w:val="auto"/>
                <w:sz w:val="20"/>
                <w:szCs w:val="20"/>
                <w:highlight w:val="yellow"/>
                <w:lang w:val="en-US" w:eastAsia="zh-CN"/>
              </w:rPr>
              <w:t>07</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计划生育事务</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0.21</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r>
              <w:rPr>
                <w:rFonts w:hint="eastAsia" w:ascii="仿宋_GB2312" w:eastAsia="仿宋_GB2312"/>
                <w:color w:val="auto"/>
                <w:sz w:val="20"/>
                <w:szCs w:val="20"/>
                <w:highlight w:val="yellow"/>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yellow"/>
                <w:lang w:val="en-US" w:eastAsia="zh-CN"/>
              </w:rPr>
            </w:pPr>
            <w:r>
              <w:rPr>
                <w:rFonts w:hint="eastAsia" w:ascii="仿宋_GB2312" w:hAnsi="宋体" w:eastAsia="仿宋_GB2312" w:cs="宋体"/>
                <w:color w:val="auto"/>
                <w:sz w:val="20"/>
                <w:szCs w:val="20"/>
                <w:highlight w:val="yellow"/>
                <w:lang w:val="en-US" w:eastAsia="zh-CN"/>
              </w:rPr>
              <w:t>07</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yellow"/>
                <w:lang w:val="en-US" w:eastAsia="zh-CN"/>
              </w:rPr>
            </w:pPr>
            <w:r>
              <w:rPr>
                <w:rFonts w:hint="eastAsia" w:ascii="仿宋_GB2312" w:hAnsi="宋体" w:eastAsia="仿宋_GB2312" w:cs="宋体"/>
                <w:color w:val="auto"/>
                <w:sz w:val="20"/>
                <w:szCs w:val="20"/>
                <w:highlight w:val="yellow"/>
                <w:lang w:val="en-US" w:eastAsia="zh-CN"/>
              </w:rPr>
              <w:t>17</w:t>
            </w: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计划生育服务</w:t>
            </w:r>
          </w:p>
        </w:tc>
        <w:tc>
          <w:tcPr>
            <w:tcW w:w="83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0.21</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r>
              <w:rPr>
                <w:rFonts w:hint="eastAsia" w:ascii="仿宋_GB2312" w:eastAsia="仿宋_GB2312"/>
                <w:color w:val="auto"/>
                <w:sz w:val="20"/>
                <w:szCs w:val="20"/>
                <w:highlight w:val="yellow"/>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yellow"/>
                <w:lang w:val="en-US" w:eastAsia="zh-CN"/>
              </w:rPr>
            </w:pPr>
            <w:r>
              <w:rPr>
                <w:rFonts w:hint="eastAsia" w:ascii="仿宋_GB2312" w:hAnsi="宋体" w:eastAsia="仿宋_GB2312" w:cs="宋体"/>
                <w:color w:val="auto"/>
                <w:sz w:val="20"/>
                <w:szCs w:val="20"/>
                <w:highlight w:val="yellow"/>
                <w:lang w:val="en-US" w:eastAsia="zh-CN"/>
              </w:rPr>
              <w:t>11</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行政事业单位医疗</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49.63</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21.58</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21.58</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r>
              <w:rPr>
                <w:rFonts w:hint="eastAsia" w:ascii="仿宋_GB2312" w:eastAsia="仿宋_GB2312"/>
                <w:color w:val="auto"/>
                <w:sz w:val="20"/>
                <w:szCs w:val="20"/>
                <w:highlight w:val="yellow"/>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yellow"/>
                <w:lang w:val="en-US"/>
              </w:rPr>
            </w:pPr>
            <w:r>
              <w:rPr>
                <w:rFonts w:hint="eastAsia" w:ascii="仿宋_GB2312" w:eastAsia="仿宋_GB2312"/>
                <w:color w:val="auto"/>
                <w:sz w:val="20"/>
                <w:szCs w:val="20"/>
                <w:highlight w:val="yellow"/>
                <w:lang w:val="en-US" w:eastAsia="zh-CN"/>
              </w:rPr>
              <w:t>11</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yellow"/>
                <w:lang w:val="en-US" w:eastAsia="zh-CN"/>
              </w:rPr>
            </w:pPr>
            <w:r>
              <w:rPr>
                <w:rFonts w:hint="eastAsia" w:ascii="仿宋_GB2312" w:hAnsi="宋体" w:eastAsia="仿宋_GB2312" w:cs="宋体"/>
                <w:color w:val="auto"/>
                <w:sz w:val="20"/>
                <w:szCs w:val="20"/>
                <w:highlight w:val="yellow"/>
                <w:lang w:val="en-US" w:eastAsia="zh-CN"/>
              </w:rPr>
              <w:t>02</w:t>
            </w: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事业单位医疗</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38.856</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16.82</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16.82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r>
              <w:rPr>
                <w:rFonts w:hint="eastAsia" w:ascii="仿宋_GB2312" w:eastAsia="仿宋_GB2312"/>
                <w:color w:val="auto"/>
                <w:sz w:val="20"/>
                <w:szCs w:val="20"/>
                <w:highlight w:val="yellow"/>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yellow"/>
                <w:lang w:val="en-US" w:eastAsia="zh-CN"/>
              </w:rPr>
            </w:pPr>
            <w:r>
              <w:rPr>
                <w:rFonts w:hint="eastAsia" w:ascii="仿宋_GB2312" w:hAnsi="宋体" w:eastAsia="仿宋_GB2312" w:cs="宋体"/>
                <w:color w:val="auto"/>
                <w:sz w:val="20"/>
                <w:szCs w:val="20"/>
                <w:highlight w:val="yellow"/>
                <w:lang w:val="en-US" w:eastAsia="zh-CN"/>
              </w:rPr>
              <w:t>11</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yellow"/>
                <w:lang w:val="en-US" w:eastAsia="zh-CN"/>
              </w:rPr>
            </w:pPr>
            <w:r>
              <w:rPr>
                <w:rFonts w:hint="eastAsia" w:ascii="仿宋_GB2312" w:hAnsi="宋体" w:eastAsia="仿宋_GB2312" w:cs="宋体"/>
                <w:color w:val="auto"/>
                <w:sz w:val="20"/>
                <w:szCs w:val="20"/>
                <w:highlight w:val="yellow"/>
                <w:lang w:val="en-US" w:eastAsia="zh-CN"/>
              </w:rPr>
              <w:t>03</w:t>
            </w: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公务员医疗补助</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10.64</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4.63</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4.63</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r>
              <w:rPr>
                <w:rFonts w:hint="eastAsia" w:ascii="仿宋_GB2312" w:eastAsia="仿宋_GB2312"/>
                <w:color w:val="auto"/>
                <w:sz w:val="20"/>
                <w:szCs w:val="20"/>
                <w:highlight w:val="yellow"/>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yellow"/>
                <w:lang w:val="en-US" w:eastAsia="zh-CN"/>
              </w:rPr>
            </w:pPr>
            <w:r>
              <w:rPr>
                <w:rFonts w:hint="eastAsia" w:ascii="仿宋_GB2312" w:hAnsi="宋体" w:eastAsia="仿宋_GB2312" w:cs="宋体"/>
                <w:color w:val="auto"/>
                <w:sz w:val="20"/>
                <w:szCs w:val="20"/>
                <w:highlight w:val="yellow"/>
                <w:lang w:val="en-US" w:eastAsia="zh-CN"/>
              </w:rPr>
              <w:t>11</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yellow"/>
                <w:lang w:val="en-US" w:eastAsia="zh-CN"/>
              </w:rPr>
            </w:pPr>
            <w:r>
              <w:rPr>
                <w:rFonts w:hint="eastAsia" w:ascii="仿宋_GB2312" w:hAnsi="宋体" w:eastAsia="仿宋_GB2312" w:cs="宋体"/>
                <w:color w:val="auto"/>
                <w:sz w:val="20"/>
                <w:szCs w:val="20"/>
                <w:highlight w:val="yellow"/>
                <w:lang w:val="en-US" w:eastAsia="zh-CN"/>
              </w:rPr>
              <w:t>99</w:t>
            </w: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其他行政事业单位医疗支出</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0.13</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0.13</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0.13</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r>
              <w:rPr>
                <w:rFonts w:hint="eastAsia" w:ascii="仿宋_GB2312" w:eastAsia="仿宋_GB2312"/>
                <w:color w:val="auto"/>
                <w:sz w:val="20"/>
                <w:szCs w:val="20"/>
                <w:highlight w:val="yellow"/>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yellow"/>
              </w:rPr>
            </w:pPr>
          </w:p>
        </w:tc>
        <w:tc>
          <w:tcPr>
            <w:tcW w:w="94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64.66</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28.11</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28.11</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02</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yellow"/>
              </w:rPr>
            </w:pPr>
          </w:p>
        </w:tc>
        <w:tc>
          <w:tcPr>
            <w:tcW w:w="94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住房改革支出</w:t>
            </w:r>
          </w:p>
        </w:tc>
        <w:tc>
          <w:tcPr>
            <w:tcW w:w="83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64.66</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64.66</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64.66</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02</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01</w:t>
            </w:r>
          </w:p>
        </w:tc>
        <w:tc>
          <w:tcPr>
            <w:tcW w:w="948"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22"/>
                <w:szCs w:val="22"/>
                <w:u w:val="none"/>
                <w:lang w:val="en-US" w:eastAsia="zh-CN" w:bidi="ar-SA"/>
              </w:rPr>
            </w:pPr>
            <w:r>
              <w:rPr>
                <w:rFonts w:hint="eastAsia" w:ascii="仿宋_GB2312" w:eastAsia="仿宋_GB2312"/>
                <w:color w:val="auto"/>
                <w:sz w:val="20"/>
                <w:szCs w:val="20"/>
                <w:highlight w:val="none"/>
              </w:rPr>
              <w:t>住房</w:t>
            </w:r>
            <w:r>
              <w:rPr>
                <w:rFonts w:hint="eastAsia" w:ascii="仿宋_GB2312" w:eastAsia="仿宋_GB2312"/>
                <w:color w:val="auto"/>
                <w:sz w:val="20"/>
                <w:szCs w:val="20"/>
                <w:highlight w:val="none"/>
                <w:lang w:val="en-US" w:eastAsia="zh-CN"/>
              </w:rPr>
              <w:t>公积金</w:t>
            </w:r>
          </w:p>
        </w:tc>
        <w:tc>
          <w:tcPr>
            <w:tcW w:w="83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64.66</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64.66</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64.66</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rPr>
          <w:trHeight w:val="465"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94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w:t>
            </w:r>
          </w:p>
        </w:tc>
        <w:tc>
          <w:tcPr>
            <w:tcW w:w="8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840.94</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372.83</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372.83</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8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44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c>
          <w:tcPr>
            <w:tcW w:w="53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467.90</w:t>
            </w:r>
          </w:p>
        </w:tc>
        <w:tc>
          <w:tcPr>
            <w:tcW w:w="59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0.21</w:t>
            </w:r>
          </w:p>
        </w:tc>
        <w:tc>
          <w:tcPr>
            <w:tcW w:w="31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呼图壁县雀尔沟卫生院</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呼图壁县雀尔沟镇卫生院</w:t>
      </w:r>
      <w:r>
        <w:rPr>
          <w:rFonts w:hint="eastAsia" w:ascii="仿宋_GB2312" w:hAnsi="宋体" w:eastAsia="仿宋_GB2312"/>
          <w:color w:val="auto"/>
          <w:kern w:val="0"/>
          <w:sz w:val="24"/>
          <w:highlight w:val="none"/>
        </w:rPr>
        <w:t xml:space="preserve">                      单位：万</w:t>
      </w:r>
      <w:r>
        <w:rPr>
          <w:rFonts w:hint="eastAsia" w:ascii="仿宋_GB2312" w:hAnsi="宋体" w:eastAsia="仿宋_GB2312"/>
          <w:color w:val="auto"/>
          <w:kern w:val="0"/>
          <w:sz w:val="24"/>
          <w:highlight w:val="none"/>
          <w:lang w:val="en-US" w:eastAsia="zh-CN"/>
        </w:rPr>
        <w:t>元</w:t>
      </w:r>
    </w:p>
    <w:tbl>
      <w:tblPr>
        <w:tblStyle w:val="5"/>
        <w:tblW w:w="9420" w:type="dxa"/>
        <w:tblInd w:w="-240" w:type="dxa"/>
        <w:tblLayout w:type="fixed"/>
        <w:tblCellMar>
          <w:top w:w="0" w:type="dxa"/>
          <w:left w:w="108" w:type="dxa"/>
          <w:bottom w:w="0" w:type="dxa"/>
          <w:right w:w="108" w:type="dxa"/>
        </w:tblCellMar>
      </w:tblPr>
      <w:tblGrid>
        <w:gridCol w:w="916"/>
        <w:gridCol w:w="418"/>
        <w:gridCol w:w="418"/>
        <w:gridCol w:w="2411"/>
        <w:gridCol w:w="1728"/>
        <w:gridCol w:w="1754"/>
        <w:gridCol w:w="1775"/>
      </w:tblGrid>
      <w:tr>
        <w:tblPrEx>
          <w:tblCellMar>
            <w:top w:w="0" w:type="dxa"/>
            <w:left w:w="108" w:type="dxa"/>
            <w:bottom w:w="0" w:type="dxa"/>
            <w:right w:w="108" w:type="dxa"/>
          </w:tblCellMar>
        </w:tblPrEx>
        <w:trPr>
          <w:trHeight w:val="328" w:hRule="atLeast"/>
        </w:trPr>
        <w:tc>
          <w:tcPr>
            <w:tcW w:w="416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257"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rPr>
          <w:trHeight w:val="480" w:hRule="atLeast"/>
        </w:trPr>
        <w:tc>
          <w:tcPr>
            <w:tcW w:w="175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1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5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77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9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1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5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7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社会保障和就业支出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90.06</w:t>
            </w:r>
            <w:r>
              <w:rPr>
                <w:rFonts w:hint="eastAsia" w:ascii="仿宋_GB2312" w:eastAsia="仿宋_GB2312"/>
                <w:color w:val="auto"/>
                <w:sz w:val="20"/>
                <w:szCs w:val="20"/>
                <w:highlight w:val="none"/>
              </w:rPr>
              <w:t>　</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行政事业单位养老支出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90.06</w:t>
            </w:r>
            <w:r>
              <w:rPr>
                <w:rFonts w:hint="eastAsia" w:ascii="仿宋_GB2312" w:eastAsia="仿宋_GB2312"/>
                <w:color w:val="auto"/>
                <w:sz w:val="20"/>
                <w:szCs w:val="20"/>
                <w:highlight w:val="none"/>
              </w:rPr>
              <w:t>　　</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事业单位离退休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10.98</w:t>
            </w:r>
            <w:r>
              <w:rPr>
                <w:rFonts w:hint="eastAsia" w:ascii="仿宋_GB2312" w:eastAsia="仿宋_GB2312"/>
                <w:color w:val="auto"/>
                <w:sz w:val="20"/>
                <w:szCs w:val="20"/>
                <w:highlight w:val="none"/>
              </w:rPr>
              <w:t>　</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机关事业单位职业年金缴费支出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77.37</w:t>
            </w:r>
            <w:r>
              <w:rPr>
                <w:rFonts w:hint="eastAsia" w:ascii="仿宋_GB2312" w:eastAsia="仿宋_GB2312"/>
                <w:color w:val="auto"/>
                <w:sz w:val="20"/>
                <w:szCs w:val="20"/>
                <w:highlight w:val="none"/>
              </w:rPr>
              <w:t>　</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06</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机关事业单位职业年金缴费支出</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2.25</w:t>
            </w:r>
            <w:r>
              <w:rPr>
                <w:rFonts w:hint="eastAsia" w:ascii="仿宋_GB2312" w:eastAsia="仿宋_GB2312"/>
                <w:color w:val="auto"/>
                <w:sz w:val="20"/>
                <w:szCs w:val="20"/>
                <w:highlight w:val="none"/>
              </w:rPr>
              <w:t>　</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卫生健康支出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685.68</w:t>
            </w:r>
            <w:r>
              <w:rPr>
                <w:rFonts w:hint="eastAsia" w:ascii="仿宋_GB2312" w:eastAsia="仿宋_GB2312"/>
                <w:color w:val="auto"/>
                <w:sz w:val="20"/>
                <w:szCs w:val="20"/>
                <w:highlight w:val="none"/>
              </w:rPr>
              <w:t>　</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宋体" w:hAnsi="宋体" w:cs="宋体"/>
                <w:color w:val="auto"/>
                <w:kern w:val="0"/>
                <w:sz w:val="20"/>
                <w:szCs w:val="20"/>
                <w:highlight w:val="none"/>
                <w:lang w:val="en-US" w:eastAsia="zh-CN"/>
              </w:rPr>
              <w:t>180.21</w:t>
            </w: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基层医疗卫生机构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635.85</w:t>
            </w:r>
            <w:r>
              <w:rPr>
                <w:rFonts w:hint="eastAsia" w:ascii="仿宋_GB2312" w:eastAsia="仿宋_GB2312"/>
                <w:color w:val="auto"/>
                <w:sz w:val="20"/>
                <w:szCs w:val="20"/>
                <w:highlight w:val="none"/>
              </w:rPr>
              <w:t>　</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宋体" w:hAnsi="宋体" w:cs="宋体"/>
                <w:color w:val="auto"/>
                <w:kern w:val="0"/>
                <w:sz w:val="20"/>
                <w:szCs w:val="20"/>
                <w:highlight w:val="none"/>
                <w:lang w:val="en-US" w:eastAsia="zh-CN"/>
              </w:rPr>
              <w:t>180</w:t>
            </w:r>
          </w:p>
        </w:tc>
      </w:tr>
      <w:tr>
        <w:tblPrEx>
          <w:tblCellMar>
            <w:top w:w="0" w:type="dxa"/>
            <w:left w:w="108" w:type="dxa"/>
            <w:bottom w:w="0" w:type="dxa"/>
            <w:right w:w="108" w:type="dxa"/>
          </w:tblCellMar>
        </w:tblPrEx>
        <w:trPr>
          <w:trHeight w:val="36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乡镇卫生院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635.85</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宋体" w:hAnsi="宋体" w:cs="宋体"/>
                <w:color w:val="auto"/>
                <w:kern w:val="0"/>
                <w:sz w:val="20"/>
                <w:szCs w:val="20"/>
                <w:highlight w:val="none"/>
                <w:lang w:val="en-US" w:eastAsia="zh-CN"/>
              </w:rPr>
              <w:t>180</w:t>
            </w:r>
          </w:p>
        </w:tc>
      </w:tr>
      <w:tr>
        <w:tblPrEx>
          <w:tblCellMar>
            <w:top w:w="0" w:type="dxa"/>
            <w:left w:w="108" w:type="dxa"/>
            <w:bottom w:w="0" w:type="dxa"/>
            <w:right w:w="108" w:type="dxa"/>
          </w:tblCellMar>
        </w:tblPrEx>
        <w:trPr>
          <w:trHeight w:val="3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yellow"/>
              </w:rPr>
            </w:pPr>
            <w:r>
              <w:rPr>
                <w:rFonts w:hint="eastAsia" w:ascii="仿宋_GB2312" w:eastAsia="仿宋_GB2312"/>
                <w:color w:val="auto"/>
                <w:sz w:val="20"/>
                <w:szCs w:val="20"/>
                <w:highlight w:val="yellow"/>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07</w:t>
            </w:r>
            <w:r>
              <w:rPr>
                <w:rFonts w:hint="eastAsia" w:ascii="仿宋_GB2312" w:eastAsia="仿宋_GB2312"/>
                <w:color w:val="auto"/>
                <w:sz w:val="20"/>
                <w:szCs w:val="20"/>
                <w:highlight w:val="yellow"/>
              </w:rPr>
              <w:t>　</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yellow"/>
              </w:rPr>
            </w:pPr>
            <w:r>
              <w:rPr>
                <w:rFonts w:hint="eastAsia" w:ascii="仿宋_GB2312" w:eastAsia="仿宋_GB2312"/>
                <w:color w:val="auto"/>
                <w:sz w:val="20"/>
                <w:szCs w:val="20"/>
                <w:highlight w:val="yellow"/>
              </w:rPr>
              <w:t>　</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计划生育事务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0.21</w:t>
            </w:r>
            <w:r>
              <w:rPr>
                <w:rFonts w:hint="eastAsia" w:ascii="仿宋_GB2312" w:eastAsia="仿宋_GB2312"/>
                <w:color w:val="auto"/>
                <w:sz w:val="20"/>
                <w:szCs w:val="20"/>
                <w:highlight w:val="none"/>
              </w:rPr>
              <w:t>　</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宋体" w:hAnsi="宋体" w:cs="宋体"/>
                <w:color w:val="auto"/>
                <w:kern w:val="0"/>
                <w:sz w:val="20"/>
                <w:szCs w:val="20"/>
                <w:highlight w:val="none"/>
                <w:lang w:val="en-US" w:eastAsia="zh-CN"/>
              </w:rPr>
              <w:t>0.21</w:t>
            </w: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07</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17</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计划生育服务</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0.21</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宋体" w:hAnsi="宋体" w:cs="宋体"/>
                <w:color w:val="auto"/>
                <w:kern w:val="0"/>
                <w:sz w:val="20"/>
                <w:szCs w:val="20"/>
                <w:highlight w:val="none"/>
                <w:lang w:val="en-US" w:eastAsia="zh-CN"/>
              </w:rPr>
              <w:t>0.21</w:t>
            </w: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11</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yellow"/>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行政事业单位医疗</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49.63</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11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02</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事业单位医疗</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38.86</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11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03</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公务员医疗补助</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10.64</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11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99</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其他行政事业单位医疗支出</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0.13</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221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yellow"/>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64.66</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221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02</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yellow"/>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住房改革支出</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64.66</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221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02</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yellow"/>
                <w:lang w:val="en-US" w:eastAsia="zh-CN"/>
              </w:rPr>
            </w:pPr>
            <w:r>
              <w:rPr>
                <w:rFonts w:hint="eastAsia" w:ascii="仿宋_GB2312" w:eastAsia="仿宋_GB2312"/>
                <w:color w:val="auto"/>
                <w:sz w:val="20"/>
                <w:szCs w:val="20"/>
                <w:highlight w:val="yellow"/>
                <w:lang w:val="en-US" w:eastAsia="zh-CN"/>
              </w:rPr>
              <w:t>01</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172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64.66</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eastAsia="仿宋_GB2312"/>
                <w:color w:val="auto"/>
                <w:sz w:val="20"/>
                <w:szCs w:val="20"/>
                <w:highlight w:val="none"/>
                <w:lang w:val="en-US" w:eastAsia="zh-CN"/>
              </w:rPr>
            </w:pPr>
            <w:r>
              <w:rPr>
                <w:rFonts w:hint="eastAsia" w:ascii="宋体" w:hAnsi="宋体" w:cs="宋体"/>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jc w:val="left"/>
              <w:rPr>
                <w:rFonts w:hint="default" w:ascii="仿宋_GB2312" w:eastAsia="仿宋_GB2312"/>
                <w:color w:val="auto"/>
                <w:sz w:val="20"/>
                <w:szCs w:val="20"/>
                <w:highlight w:val="none"/>
                <w:lang w:val="en-US" w:eastAsia="zh-CN"/>
              </w:rPr>
            </w:pPr>
            <w:r>
              <w:rPr>
                <w:rFonts w:hint="eastAsia" w:ascii="宋体" w:hAnsi="宋体" w:cs="宋体"/>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r>
              <w:rPr>
                <w:rFonts w:hint="eastAsia" w:ascii="宋体" w:hAnsi="宋体" w:cs="宋体"/>
                <w:color w:val="auto"/>
                <w:kern w:val="0"/>
                <w:sz w:val="20"/>
                <w:szCs w:val="20"/>
                <w:highlight w:val="none"/>
              </w:rPr>
              <w:t>　</w:t>
            </w:r>
          </w:p>
        </w:tc>
        <w:tc>
          <w:tcPr>
            <w:tcW w:w="2411"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r>
              <w:rPr>
                <w:rFonts w:hint="eastAsia" w:ascii="宋体" w:hAnsi="宋体" w:cs="宋体"/>
                <w:color w:val="auto"/>
                <w:kern w:val="0"/>
                <w:sz w:val="20"/>
                <w:szCs w:val="20"/>
                <w:highlight w:val="none"/>
              </w:rPr>
              <w:t>　</w:t>
            </w:r>
          </w:p>
        </w:tc>
        <w:tc>
          <w:tcPr>
            <w:tcW w:w="1728"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r>
              <w:rPr>
                <w:rFonts w:hint="eastAsia" w:ascii="宋体" w:hAnsi="宋体" w:cs="宋体"/>
                <w:color w:val="auto"/>
                <w:kern w:val="0"/>
                <w:sz w:val="20"/>
                <w:szCs w:val="20"/>
                <w:highlight w:val="none"/>
              </w:rPr>
              <w:t>　</w:t>
            </w:r>
          </w:p>
        </w:tc>
        <w:tc>
          <w:tcPr>
            <w:tcW w:w="1754" w:type="dxa"/>
            <w:tcBorders>
              <w:top w:val="nil"/>
              <w:left w:val="nil"/>
              <w:bottom w:val="single" w:color="auto" w:sz="4" w:space="0"/>
              <w:right w:val="single" w:color="auto" w:sz="4" w:space="0"/>
            </w:tcBorders>
            <w:noWrap w:val="0"/>
            <w:vAlign w:val="center"/>
          </w:tcPr>
          <w:p>
            <w:pPr>
              <w:widowControl/>
              <w:jc w:val="left"/>
              <w:rPr>
                <w:rFonts w:hint="default" w:ascii="仿宋_GB2312" w:eastAsia="仿宋_GB2312"/>
                <w:color w:val="auto"/>
                <w:sz w:val="20"/>
                <w:szCs w:val="20"/>
                <w:highlight w:val="none"/>
                <w:lang w:val="en-US" w:eastAsia="zh-CN"/>
              </w:rPr>
            </w:pPr>
            <w:r>
              <w:rPr>
                <w:rFonts w:hint="eastAsia" w:ascii="宋体" w:hAnsi="宋体" w:cs="宋体"/>
                <w:color w:val="auto"/>
                <w:kern w:val="0"/>
                <w:sz w:val="20"/>
                <w:szCs w:val="20"/>
                <w:highlight w:val="none"/>
              </w:rPr>
              <w:t>　</w:t>
            </w:r>
          </w:p>
        </w:tc>
        <w:tc>
          <w:tcPr>
            <w:tcW w:w="1775" w:type="dxa"/>
            <w:tcBorders>
              <w:top w:val="nil"/>
              <w:left w:val="nil"/>
              <w:bottom w:val="single" w:color="auto" w:sz="4" w:space="0"/>
              <w:right w:val="single" w:color="auto" w:sz="4" w:space="0"/>
            </w:tcBorders>
            <w:noWrap w:val="0"/>
            <w:vAlign w:val="center"/>
          </w:tcPr>
          <w:p>
            <w:pPr>
              <w:widowControl/>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p>
        </w:tc>
        <w:tc>
          <w:tcPr>
            <w:tcW w:w="418"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p>
        </w:tc>
        <w:tc>
          <w:tcPr>
            <w:tcW w:w="1728"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widowControl/>
              <w:jc w:val="left"/>
              <w:rPr>
                <w:rFonts w:hint="default" w:ascii="仿宋_GB2312" w:eastAsia="仿宋_GB2312"/>
                <w:color w:val="auto"/>
                <w:sz w:val="20"/>
                <w:szCs w:val="20"/>
                <w:highlight w:val="none"/>
                <w:lang w:val="en-US" w:eastAsia="zh-CN"/>
              </w:rPr>
            </w:pPr>
          </w:p>
        </w:tc>
        <w:tc>
          <w:tcPr>
            <w:tcW w:w="1775" w:type="dxa"/>
            <w:tcBorders>
              <w:top w:val="nil"/>
              <w:left w:val="nil"/>
              <w:bottom w:val="single" w:color="auto" w:sz="4" w:space="0"/>
              <w:right w:val="single" w:color="auto" w:sz="4" w:space="0"/>
            </w:tcBorders>
            <w:noWrap w:val="0"/>
            <w:vAlign w:val="center"/>
          </w:tcPr>
          <w:p>
            <w:pPr>
              <w:widowControl/>
              <w:jc w:val="left"/>
              <w:rPr>
                <w:rFonts w:hint="default" w:ascii="仿宋_GB2312" w:hAnsi="Times New Roman" w:eastAsia="仿宋_GB2312" w:cs="Times New Roman"/>
                <w:color w:val="auto"/>
                <w:kern w:val="2"/>
                <w:sz w:val="20"/>
                <w:szCs w:val="20"/>
                <w:highlight w:val="none"/>
                <w:lang w:val="en-US" w:eastAsia="zh-CN" w:bidi="ar-SA"/>
              </w:rPr>
            </w:pPr>
          </w:p>
        </w:tc>
      </w:tr>
      <w:tr>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1775"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7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1775"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358"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top"/>
          </w:tcPr>
          <w:p>
            <w:pPr>
              <w:rPr>
                <w:rFonts w:hint="eastAsia" w:ascii="仿宋_GB2312" w:eastAsia="仿宋_GB2312"/>
                <w:color w:val="auto"/>
                <w:sz w:val="20"/>
                <w:szCs w:val="20"/>
                <w:highlight w:val="none"/>
              </w:rPr>
            </w:pPr>
          </w:p>
        </w:tc>
        <w:tc>
          <w:tcPr>
            <w:tcW w:w="17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1775"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411"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合  计</w:t>
            </w:r>
          </w:p>
        </w:tc>
        <w:tc>
          <w:tcPr>
            <w:tcW w:w="17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widowControl/>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宋体" w:hAnsi="宋体" w:cs="宋体"/>
                <w:color w:val="auto"/>
                <w:kern w:val="0"/>
                <w:sz w:val="20"/>
                <w:szCs w:val="20"/>
                <w:highlight w:val="none"/>
                <w:lang w:val="en-US" w:eastAsia="zh-CN"/>
              </w:rPr>
              <w:t>840.94</w:t>
            </w:r>
          </w:p>
        </w:tc>
        <w:tc>
          <w:tcPr>
            <w:tcW w:w="1775" w:type="dxa"/>
            <w:tcBorders>
              <w:top w:val="nil"/>
              <w:left w:val="nil"/>
              <w:bottom w:val="single" w:color="auto" w:sz="4" w:space="0"/>
              <w:right w:val="single" w:color="auto" w:sz="4" w:space="0"/>
            </w:tcBorders>
            <w:noWrap w:val="0"/>
            <w:vAlign w:val="center"/>
          </w:tcPr>
          <w:p>
            <w:pPr>
              <w:widowControl/>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宋体" w:hAnsi="宋体" w:cs="宋体"/>
                <w:color w:val="auto"/>
                <w:kern w:val="0"/>
                <w:sz w:val="20"/>
                <w:szCs w:val="20"/>
                <w:highlight w:val="none"/>
                <w:lang w:val="en-US" w:eastAsia="zh-CN"/>
              </w:rPr>
              <w:t>180.21</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lang w:val="en-US" w:eastAsia="zh-CN"/>
        </w:rPr>
        <w:t>呼图壁县雀尔沟镇卫生</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373.04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373.04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42.62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42.62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300.31</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300.31</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28.11</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28.11</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373.04</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373.04</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916"/>
        <w:gridCol w:w="493"/>
        <w:gridCol w:w="496"/>
        <w:gridCol w:w="2329"/>
        <w:gridCol w:w="622"/>
        <w:gridCol w:w="952"/>
        <w:gridCol w:w="206"/>
        <w:gridCol w:w="1547"/>
        <w:gridCol w:w="165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34"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呼图壁县雀尔沟镇卫生院</w:t>
            </w:r>
            <w:r>
              <w:rPr>
                <w:rFonts w:hint="eastAsia" w:ascii="仿宋_GB2312" w:hAnsi="宋体" w:eastAsia="仿宋_GB2312"/>
                <w:color w:val="auto"/>
                <w:kern w:val="0"/>
                <w:sz w:val="24"/>
                <w:highlight w:val="none"/>
              </w:rPr>
              <w:t xml:space="preserve">   </w:t>
            </w:r>
          </w:p>
        </w:tc>
        <w:tc>
          <w:tcPr>
            <w:tcW w:w="622"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5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00" w:type="dxa"/>
            <w:gridSpan w:val="2"/>
            <w:tcBorders>
              <w:top w:val="nil"/>
              <w:left w:val="nil"/>
              <w:bottom w:val="nil"/>
              <w:right w:val="nil"/>
            </w:tcBorders>
            <w:noWrap w:val="0"/>
            <w:vAlign w:val="center"/>
          </w:tcPr>
          <w:p>
            <w:pPr>
              <w:widowControl/>
              <w:ind w:firstLine="1200" w:firstLineChars="5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34"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8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90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2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7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5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5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9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2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7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5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5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仿宋_GB2312" w:hAnsi="宋体" w:eastAsia="仿宋_GB2312" w:cs="宋体"/>
                <w:b/>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rPr>
                <w:rFonts w:ascii="仿宋_GB2312" w:hAnsi="宋体" w:eastAsia="仿宋_GB2312" w:cs="宋体"/>
                <w:b/>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rPr>
                <w:rFonts w:ascii="仿宋_GB2312" w:hAnsi="宋体" w:eastAsia="仿宋_GB2312" w:cs="宋体"/>
                <w:b/>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社会保障和就业支出　</w:t>
            </w:r>
          </w:p>
        </w:tc>
        <w:tc>
          <w:tcPr>
            <w:tcW w:w="1574" w:type="dxa"/>
            <w:gridSpan w:val="2"/>
            <w:tcBorders>
              <w:top w:val="nil"/>
              <w:left w:val="nil"/>
              <w:bottom w:val="single" w:color="auto" w:sz="4" w:space="0"/>
              <w:right w:val="single" w:color="auto" w:sz="4" w:space="0"/>
            </w:tcBorders>
            <w:noWrap w:val="0"/>
            <w:vAlign w:val="center"/>
          </w:tcPr>
          <w:p>
            <w:pP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44.62</w:t>
            </w:r>
          </w:p>
        </w:tc>
        <w:tc>
          <w:tcPr>
            <w:tcW w:w="1753" w:type="dxa"/>
            <w:gridSpan w:val="2"/>
            <w:tcBorders>
              <w:top w:val="nil"/>
              <w:left w:val="nil"/>
              <w:bottom w:val="single" w:color="auto" w:sz="4" w:space="0"/>
              <w:right w:val="single" w:color="auto" w:sz="4" w:space="0"/>
            </w:tcBorders>
            <w:noWrap w:val="0"/>
            <w:vAlign w:val="center"/>
          </w:tcPr>
          <w:p>
            <w:pP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44.62</w:t>
            </w:r>
          </w:p>
        </w:tc>
        <w:tc>
          <w:tcPr>
            <w:tcW w:w="1653" w:type="dxa"/>
            <w:tcBorders>
              <w:top w:val="nil"/>
              <w:left w:val="nil"/>
              <w:bottom w:val="single" w:color="auto" w:sz="4" w:space="0"/>
              <w:right w:val="single" w:color="auto" w:sz="4" w:space="0"/>
            </w:tcBorders>
            <w:noWrap w:val="0"/>
            <w:vAlign w:val="center"/>
          </w:tcPr>
          <w:p>
            <w:pPr>
              <w:rPr>
                <w:rFonts w:ascii="仿宋_GB2312" w:hAnsi="宋体" w:eastAsia="仿宋_GB2312" w:cs="宋体"/>
                <w:b/>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行政事业单位养老支出　</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44.62</w:t>
            </w:r>
            <w:r>
              <w:rPr>
                <w:rFonts w:hint="eastAsia" w:ascii="仿宋_GB2312" w:eastAsia="仿宋_GB2312"/>
                <w:color w:val="auto"/>
                <w:sz w:val="20"/>
                <w:szCs w:val="20"/>
                <w:highlight w:val="none"/>
              </w:rPr>
              <w:t>　</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44.62</w:t>
            </w:r>
            <w:r>
              <w:rPr>
                <w:rFonts w:hint="eastAsia" w:ascii="仿宋_GB2312" w:eastAsia="仿宋_GB2312"/>
                <w:color w:val="auto"/>
                <w:sz w:val="20"/>
                <w:szCs w:val="20"/>
                <w:highlight w:val="none"/>
              </w:rPr>
              <w:t>　</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96"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事业单位离退休　</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10.98</w:t>
            </w:r>
            <w:r>
              <w:rPr>
                <w:rFonts w:hint="eastAsia" w:ascii="仿宋_GB2312" w:eastAsia="仿宋_GB2312"/>
                <w:color w:val="auto"/>
                <w:sz w:val="20"/>
                <w:szCs w:val="20"/>
                <w:highlight w:val="none"/>
              </w:rPr>
              <w:t>　</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10.98</w:t>
            </w:r>
            <w:r>
              <w:rPr>
                <w:rFonts w:hint="eastAsia" w:ascii="仿宋_GB2312" w:eastAsia="仿宋_GB2312"/>
                <w:color w:val="auto"/>
                <w:sz w:val="20"/>
                <w:szCs w:val="20"/>
                <w:highlight w:val="none"/>
              </w:rPr>
              <w:t>　</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05</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05</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机关事业单位职业年金缴费支出　</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33.64</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r>
              <w:rPr>
                <w:rFonts w:hint="eastAsia" w:ascii="仿宋_GB2312" w:eastAsia="仿宋_GB2312"/>
                <w:color w:val="auto"/>
                <w:sz w:val="20"/>
                <w:szCs w:val="20"/>
                <w:highlight w:val="none"/>
                <w:lang w:val="en-US" w:eastAsia="zh-CN"/>
              </w:rPr>
              <w:t>33.64</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卫生健康支出　</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300.31</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300.31</w:t>
            </w: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0.21</w:t>
            </w: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03</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基层医疗卫生机构　</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278.53</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r>
              <w:rPr>
                <w:rFonts w:hint="eastAsia" w:ascii="仿宋_GB2312" w:eastAsia="仿宋_GB2312"/>
                <w:color w:val="auto"/>
                <w:sz w:val="20"/>
                <w:szCs w:val="20"/>
                <w:highlight w:val="none"/>
                <w:lang w:val="en-US" w:eastAsia="zh-CN"/>
              </w:rPr>
              <w:t>278.53</w:t>
            </w: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乡镇卫生院　</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278.53</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278.53</w:t>
            </w: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yellow"/>
              </w:rPr>
            </w:pPr>
            <w:r>
              <w:rPr>
                <w:rFonts w:hint="eastAsia" w:ascii="仿宋_GB2312" w:eastAsia="仿宋_GB2312"/>
                <w:color w:val="auto"/>
                <w:sz w:val="20"/>
                <w:szCs w:val="20"/>
                <w:highlight w:val="yellow"/>
                <w:lang w:val="en-US" w:eastAsia="zh-CN"/>
              </w:rPr>
              <w:t>210</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yellow"/>
              </w:rPr>
            </w:pPr>
            <w:r>
              <w:rPr>
                <w:rFonts w:hint="eastAsia" w:ascii="仿宋_GB2312" w:eastAsia="仿宋_GB2312"/>
                <w:color w:val="auto"/>
                <w:sz w:val="20"/>
                <w:szCs w:val="20"/>
                <w:highlight w:val="yellow"/>
                <w:lang w:val="en-US" w:eastAsia="zh-CN"/>
              </w:rPr>
              <w:t>07</w:t>
            </w:r>
            <w:r>
              <w:rPr>
                <w:rFonts w:hint="eastAsia" w:ascii="仿宋_GB2312" w:eastAsia="仿宋_GB2312"/>
                <w:color w:val="auto"/>
                <w:sz w:val="20"/>
                <w:szCs w:val="20"/>
                <w:highlight w:val="yellow"/>
              </w:rPr>
              <w:t>　</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yellow"/>
              </w:rPr>
            </w:pPr>
            <w:r>
              <w:rPr>
                <w:rFonts w:hint="eastAsia" w:ascii="仿宋_GB2312" w:eastAsia="仿宋_GB2312"/>
                <w:color w:val="auto"/>
                <w:sz w:val="20"/>
                <w:szCs w:val="20"/>
                <w:highlight w:val="yellow"/>
              </w:rPr>
              <w:t>　</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计划生育事务　</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0.21</w:t>
            </w:r>
            <w:r>
              <w:rPr>
                <w:rFonts w:hint="eastAsia" w:ascii="仿宋_GB2312" w:eastAsia="仿宋_GB2312"/>
                <w:color w:val="auto"/>
                <w:sz w:val="20"/>
                <w:szCs w:val="20"/>
                <w:highlight w:val="none"/>
              </w:rPr>
              <w:t>　</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0.21</w:t>
            </w:r>
            <w:r>
              <w:rPr>
                <w:rFonts w:hint="eastAsia" w:ascii="仿宋_GB2312" w:eastAsia="仿宋_GB2312"/>
                <w:color w:val="auto"/>
                <w:sz w:val="20"/>
                <w:szCs w:val="20"/>
                <w:highlight w:val="none"/>
              </w:rPr>
              <w:t>　</w:t>
            </w: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0.21</w:t>
            </w: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yellow"/>
              </w:rPr>
            </w:pPr>
            <w:r>
              <w:rPr>
                <w:rFonts w:hint="eastAsia" w:ascii="仿宋_GB2312" w:eastAsia="仿宋_GB2312"/>
                <w:color w:val="auto"/>
                <w:sz w:val="20"/>
                <w:szCs w:val="20"/>
                <w:highlight w:val="yellow"/>
                <w:lang w:val="en-US" w:eastAsia="zh-CN"/>
              </w:rPr>
              <w:t>210</w:t>
            </w:r>
          </w:p>
        </w:tc>
        <w:tc>
          <w:tcPr>
            <w:tcW w:w="49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yellow"/>
                <w:lang w:val="en-US" w:eastAsia="zh-CN"/>
              </w:rPr>
            </w:pPr>
            <w:r>
              <w:rPr>
                <w:rFonts w:hint="eastAsia" w:ascii="宋体" w:hAnsi="宋体" w:cs="宋体"/>
                <w:color w:val="auto"/>
                <w:kern w:val="0"/>
                <w:sz w:val="20"/>
                <w:szCs w:val="20"/>
                <w:highlight w:val="yellow"/>
                <w:lang w:val="en-US" w:eastAsia="zh-CN"/>
              </w:rPr>
              <w:t>07</w:t>
            </w:r>
          </w:p>
        </w:tc>
        <w:tc>
          <w:tcPr>
            <w:tcW w:w="496"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yellow"/>
                <w:lang w:val="en-US" w:eastAsia="zh-CN"/>
              </w:rPr>
            </w:pPr>
            <w:r>
              <w:rPr>
                <w:rFonts w:hint="eastAsia" w:ascii="宋体" w:hAnsi="宋体" w:cs="宋体"/>
                <w:color w:val="auto"/>
                <w:kern w:val="0"/>
                <w:sz w:val="20"/>
                <w:szCs w:val="20"/>
                <w:highlight w:val="yellow"/>
                <w:lang w:val="en-US" w:eastAsia="zh-CN"/>
              </w:rPr>
              <w:t>17</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计划生育服务</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0.21</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0.21</w:t>
            </w: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0.21</w:t>
            </w: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yellow"/>
              </w:rPr>
            </w:pPr>
            <w:r>
              <w:rPr>
                <w:rFonts w:hint="eastAsia" w:ascii="仿宋_GB2312" w:eastAsia="仿宋_GB2312"/>
                <w:color w:val="auto"/>
                <w:sz w:val="20"/>
                <w:szCs w:val="20"/>
                <w:highlight w:val="yellow"/>
                <w:lang w:val="en-US" w:eastAsia="zh-CN"/>
              </w:rPr>
              <w:t>210</w:t>
            </w:r>
          </w:p>
        </w:tc>
        <w:tc>
          <w:tcPr>
            <w:tcW w:w="49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yellow"/>
                <w:lang w:val="en-US" w:eastAsia="zh-CN"/>
              </w:rPr>
            </w:pPr>
            <w:r>
              <w:rPr>
                <w:rFonts w:hint="eastAsia" w:ascii="宋体" w:hAnsi="宋体" w:cs="宋体"/>
                <w:color w:val="auto"/>
                <w:kern w:val="0"/>
                <w:sz w:val="20"/>
                <w:szCs w:val="20"/>
                <w:highlight w:val="yellow"/>
                <w:lang w:val="en-US" w:eastAsia="zh-CN"/>
              </w:rPr>
              <w:t>11</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yellow"/>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行政事业单位医疗</w:t>
            </w:r>
          </w:p>
        </w:tc>
        <w:tc>
          <w:tcPr>
            <w:tcW w:w="1574" w:type="dxa"/>
            <w:gridSpan w:val="2"/>
            <w:tcBorders>
              <w:top w:val="nil"/>
              <w:left w:val="nil"/>
              <w:bottom w:val="single" w:color="auto" w:sz="4" w:space="0"/>
              <w:right w:val="single" w:color="auto" w:sz="4" w:space="0"/>
            </w:tcBorders>
            <w:noWrap w:val="0"/>
            <w:vAlign w:val="center"/>
          </w:tcPr>
          <w:p>
            <w:pPr>
              <w:tabs>
                <w:tab w:val="center" w:pos="768"/>
              </w:tabs>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21.58</w:t>
            </w:r>
          </w:p>
        </w:tc>
        <w:tc>
          <w:tcPr>
            <w:tcW w:w="1753" w:type="dxa"/>
            <w:gridSpan w:val="2"/>
            <w:tcBorders>
              <w:top w:val="nil"/>
              <w:left w:val="nil"/>
              <w:bottom w:val="single" w:color="auto" w:sz="4" w:space="0"/>
              <w:right w:val="single" w:color="auto" w:sz="4" w:space="0"/>
            </w:tcBorders>
            <w:noWrap w:val="0"/>
            <w:vAlign w:val="center"/>
          </w:tcPr>
          <w:p>
            <w:pPr>
              <w:tabs>
                <w:tab w:val="center" w:pos="768"/>
              </w:tabs>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21.58</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yellow"/>
              </w:rPr>
            </w:pPr>
            <w:r>
              <w:rPr>
                <w:rFonts w:hint="eastAsia" w:ascii="仿宋_GB2312" w:eastAsia="仿宋_GB2312"/>
                <w:color w:val="auto"/>
                <w:sz w:val="20"/>
                <w:szCs w:val="20"/>
                <w:highlight w:val="yellow"/>
                <w:lang w:val="en-US" w:eastAsia="zh-CN"/>
              </w:rPr>
              <w:t>210</w:t>
            </w:r>
          </w:p>
        </w:tc>
        <w:tc>
          <w:tcPr>
            <w:tcW w:w="49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yellow"/>
                <w:lang w:val="en-US" w:eastAsia="zh-CN"/>
              </w:rPr>
            </w:pPr>
            <w:r>
              <w:rPr>
                <w:rFonts w:hint="eastAsia" w:ascii="宋体" w:hAnsi="宋体" w:cs="宋体"/>
                <w:color w:val="auto"/>
                <w:kern w:val="0"/>
                <w:sz w:val="20"/>
                <w:szCs w:val="20"/>
                <w:highlight w:val="yellow"/>
                <w:lang w:val="en-US" w:eastAsia="zh-CN"/>
              </w:rPr>
              <w:t>11</w:t>
            </w:r>
          </w:p>
        </w:tc>
        <w:tc>
          <w:tcPr>
            <w:tcW w:w="496"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yellow"/>
                <w:lang w:val="en-US" w:eastAsia="zh-CN"/>
              </w:rPr>
            </w:pPr>
            <w:r>
              <w:rPr>
                <w:rFonts w:hint="eastAsia" w:ascii="宋体" w:hAnsi="宋体" w:cs="宋体"/>
                <w:color w:val="auto"/>
                <w:kern w:val="0"/>
                <w:sz w:val="20"/>
                <w:szCs w:val="20"/>
                <w:highlight w:val="yellow"/>
                <w:lang w:val="en-US" w:eastAsia="zh-CN"/>
              </w:rPr>
              <w:t>02</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事业单位医疗</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16.82</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r>
              <w:rPr>
                <w:rFonts w:hint="eastAsia" w:ascii="仿宋_GB2312" w:eastAsia="仿宋_GB2312"/>
                <w:color w:val="auto"/>
                <w:sz w:val="20"/>
                <w:szCs w:val="20"/>
                <w:highlight w:val="none"/>
                <w:lang w:val="en-US" w:eastAsia="zh-CN"/>
              </w:rPr>
              <w:t>16.82</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yellow"/>
              </w:rPr>
            </w:pPr>
            <w:r>
              <w:rPr>
                <w:rFonts w:hint="eastAsia" w:ascii="仿宋_GB2312" w:eastAsia="仿宋_GB2312"/>
                <w:color w:val="auto"/>
                <w:sz w:val="20"/>
                <w:szCs w:val="20"/>
                <w:highlight w:val="yellow"/>
                <w:lang w:val="en-US" w:eastAsia="zh-CN"/>
              </w:rPr>
              <w:t>210</w:t>
            </w:r>
          </w:p>
        </w:tc>
        <w:tc>
          <w:tcPr>
            <w:tcW w:w="49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yellow"/>
                <w:lang w:val="en-US" w:eastAsia="zh-CN"/>
              </w:rPr>
            </w:pPr>
            <w:r>
              <w:rPr>
                <w:rFonts w:hint="eastAsia" w:ascii="宋体" w:hAnsi="宋体" w:cs="宋体"/>
                <w:color w:val="auto"/>
                <w:kern w:val="0"/>
                <w:sz w:val="20"/>
                <w:szCs w:val="20"/>
                <w:highlight w:val="yellow"/>
                <w:lang w:val="en-US" w:eastAsia="zh-CN"/>
              </w:rPr>
              <w:t>11</w:t>
            </w:r>
          </w:p>
        </w:tc>
        <w:tc>
          <w:tcPr>
            <w:tcW w:w="496"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yellow"/>
                <w:lang w:val="en-US" w:eastAsia="zh-CN"/>
              </w:rPr>
            </w:pPr>
            <w:r>
              <w:rPr>
                <w:rFonts w:hint="eastAsia" w:ascii="宋体" w:hAnsi="宋体" w:cs="宋体"/>
                <w:color w:val="auto"/>
                <w:kern w:val="0"/>
                <w:sz w:val="20"/>
                <w:szCs w:val="20"/>
                <w:highlight w:val="yellow"/>
                <w:lang w:val="en-US" w:eastAsia="zh-CN"/>
              </w:rPr>
              <w:t>03</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公务员医疗补助</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4.63</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r>
              <w:rPr>
                <w:rFonts w:hint="eastAsia" w:ascii="仿宋_GB2312" w:eastAsia="仿宋_GB2312"/>
                <w:color w:val="auto"/>
                <w:sz w:val="20"/>
                <w:szCs w:val="20"/>
                <w:highlight w:val="none"/>
                <w:lang w:val="en-US" w:eastAsia="zh-CN"/>
              </w:rPr>
              <w:t>4.63</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yellow"/>
              </w:rPr>
            </w:pPr>
            <w:r>
              <w:rPr>
                <w:rFonts w:hint="eastAsia" w:ascii="仿宋_GB2312" w:eastAsia="仿宋_GB2312"/>
                <w:color w:val="auto"/>
                <w:sz w:val="20"/>
                <w:szCs w:val="20"/>
                <w:highlight w:val="yellow"/>
                <w:lang w:val="en-US" w:eastAsia="zh-CN"/>
              </w:rPr>
              <w:t>210</w:t>
            </w:r>
          </w:p>
        </w:tc>
        <w:tc>
          <w:tcPr>
            <w:tcW w:w="49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yellow"/>
                <w:lang w:val="en-US" w:eastAsia="zh-CN"/>
              </w:rPr>
            </w:pPr>
            <w:r>
              <w:rPr>
                <w:rFonts w:hint="eastAsia" w:ascii="宋体" w:hAnsi="宋体" w:cs="宋体"/>
                <w:color w:val="auto"/>
                <w:kern w:val="0"/>
                <w:sz w:val="20"/>
                <w:szCs w:val="20"/>
                <w:highlight w:val="yellow"/>
                <w:lang w:val="en-US" w:eastAsia="zh-CN"/>
              </w:rPr>
              <w:t>11</w:t>
            </w:r>
          </w:p>
        </w:tc>
        <w:tc>
          <w:tcPr>
            <w:tcW w:w="496"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yellow"/>
                <w:lang w:val="en-US" w:eastAsia="zh-CN"/>
              </w:rPr>
            </w:pPr>
            <w:r>
              <w:rPr>
                <w:rFonts w:hint="eastAsia" w:ascii="宋体" w:hAnsi="宋体" w:cs="宋体"/>
                <w:color w:val="auto"/>
                <w:kern w:val="0"/>
                <w:sz w:val="20"/>
                <w:szCs w:val="20"/>
                <w:highlight w:val="yellow"/>
                <w:lang w:val="en-US" w:eastAsia="zh-CN"/>
              </w:rPr>
              <w:t>99</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其他行政事业单位医疗支出</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0.13</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0.13</w:t>
            </w:r>
          </w:p>
        </w:tc>
        <w:tc>
          <w:tcPr>
            <w:tcW w:w="1653" w:type="dxa"/>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住房保障支出</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28.11</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28.11</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lang w:eastAsia="zh-CN"/>
              </w:rPr>
              <w:t>住房改革支出</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28.11</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28.11</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住房公积金</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28.11</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28.11</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2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7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53"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7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53"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5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7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373.04</w:t>
            </w:r>
          </w:p>
        </w:tc>
        <w:tc>
          <w:tcPr>
            <w:tcW w:w="1753"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372.83</w:t>
            </w:r>
          </w:p>
        </w:tc>
        <w:tc>
          <w:tcPr>
            <w:tcW w:w="165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0.21</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呼图壁县雀尔沟镇卫生院</w:t>
            </w:r>
            <w:r>
              <w:rPr>
                <w:rFonts w:hint="eastAsia" w:ascii="仿宋_GB2312" w:hAnsi="宋体" w:eastAsia="仿宋_GB2312"/>
                <w:color w:val="auto"/>
                <w:kern w:val="0"/>
                <w:sz w:val="24"/>
                <w:highlight w:val="none"/>
              </w:rPr>
              <w:t xml:space="preserve">   </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346.32</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346.32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基本工资　</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80.73</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80.73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34.9</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34.9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奖金</w:t>
            </w:r>
          </w:p>
        </w:tc>
        <w:tc>
          <w:tcPr>
            <w:tcW w:w="1701" w:type="dxa"/>
            <w:gridSpan w:val="2"/>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70.11</w:t>
            </w:r>
            <w:r>
              <w:rPr>
                <w:rFonts w:hint="eastAsia" w:ascii="仿宋_GB2312" w:eastAsia="仿宋_GB2312"/>
                <w:color w:val="auto"/>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70.11</w:t>
            </w:r>
            <w:r>
              <w:rPr>
                <w:rFonts w:hint="eastAsia" w:ascii="仿宋_GB2312" w:eastAsia="仿宋_GB2312"/>
                <w:color w:val="auto"/>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07</w:t>
            </w:r>
            <w:r>
              <w:rPr>
                <w:rFonts w:hint="eastAsia" w:ascii="仿宋_GB2312" w:eastAsia="仿宋_GB2312"/>
                <w:color w:val="auto"/>
                <w:sz w:val="20"/>
                <w:szCs w:val="20"/>
                <w:highlight w:val="none"/>
              </w:rPr>
              <w:t>　</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绩效工资</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55.55</w:t>
            </w:r>
            <w:r>
              <w:rPr>
                <w:rFonts w:hint="eastAsia" w:ascii="仿宋_GB2312" w:eastAsia="仿宋_GB2312"/>
                <w:color w:val="auto"/>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55.55</w:t>
            </w:r>
            <w:r>
              <w:rPr>
                <w:rFonts w:hint="eastAsia" w:ascii="仿宋_GB2312" w:eastAsia="仿宋_GB2312"/>
                <w:color w:val="auto"/>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98"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33.64</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33.64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16.82</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16.82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公务员医疗补助缴费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4.6</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r>
              <w:rPr>
                <w:rFonts w:hint="eastAsia" w:ascii="仿宋_GB2312" w:eastAsia="仿宋_GB2312"/>
                <w:color w:val="auto"/>
                <w:sz w:val="20"/>
                <w:szCs w:val="20"/>
                <w:highlight w:val="none"/>
              </w:rPr>
              <w:t>　</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28.11</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28.11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19.8</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13.19</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13.19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印刷费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0.04</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电费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0.13</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1.41</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1.41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0.62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0.62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4.21</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4.21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w:t>
            </w:r>
            <w:r>
              <w:rPr>
                <w:rFonts w:hint="eastAsia" w:ascii="仿宋_GB2312" w:eastAsia="仿宋_GB2312"/>
                <w:color w:val="auto"/>
                <w:sz w:val="20"/>
                <w:szCs w:val="20"/>
                <w:highlight w:val="none"/>
              </w:rPr>
              <w:t>　</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其他交通费用</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13.33</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13.33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0.98</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0.98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2.3</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0.04</w:t>
            </w:r>
          </w:p>
        </w:tc>
        <w:tc>
          <w:tcPr>
            <w:tcW w:w="1701" w:type="dxa"/>
            <w:gridSpan w:val="2"/>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0.04</w:t>
            </w: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57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pPr>
              <w:ind w:firstLine="600" w:firstLineChars="300"/>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372.83</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359.64</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13.19</w:t>
            </w:r>
          </w:p>
        </w:tc>
      </w:tr>
      <w:tr>
        <w:tblPrEx>
          <w:tblCellMar>
            <w:top w:w="0" w:type="dxa"/>
            <w:left w:w="108" w:type="dxa"/>
            <w:bottom w:w="0" w:type="dxa"/>
            <w:right w:w="108" w:type="dxa"/>
          </w:tblCellMar>
        </w:tblPrEx>
        <w:trPr>
          <w:trHeight w:val="402" w:hRule="atLeast"/>
        </w:trPr>
        <w:tc>
          <w:tcPr>
            <w:tcW w:w="757" w:type="dxa"/>
            <w:vAlign w:val="center"/>
          </w:tcPr>
          <w:p>
            <w:pPr>
              <w:rPr>
                <w:rFonts w:hint="default" w:ascii="仿宋_GB2312" w:hAnsi="Times New Roman" w:eastAsia="仿宋_GB2312" w:cs="Times New Roman"/>
                <w:color w:val="auto"/>
                <w:kern w:val="2"/>
                <w:sz w:val="20"/>
                <w:szCs w:val="20"/>
                <w:highlight w:val="none"/>
                <w:lang w:val="en-US" w:eastAsia="zh-CN" w:bidi="ar-SA"/>
              </w:rPr>
            </w:pPr>
          </w:p>
        </w:tc>
        <w:tc>
          <w:tcPr>
            <w:tcW w:w="577" w:type="dxa"/>
            <w:vAlign w:val="center"/>
          </w:tcPr>
          <w:p>
            <w:pPr>
              <w:rPr>
                <w:rFonts w:hint="eastAsia" w:ascii="仿宋_GB2312" w:hAnsi="Times New Roman" w:eastAsia="仿宋_GB2312" w:cs="Times New Roman"/>
                <w:color w:val="auto"/>
                <w:kern w:val="2"/>
                <w:sz w:val="20"/>
                <w:szCs w:val="20"/>
                <w:highlight w:val="none"/>
                <w:lang w:val="en-US" w:eastAsia="zh-CN" w:bidi="ar-SA"/>
              </w:rPr>
            </w:pPr>
          </w:p>
        </w:tc>
        <w:tc>
          <w:tcPr>
            <w:tcW w:w="2891" w:type="dxa"/>
          </w:tcPr>
          <w:p>
            <w:pPr>
              <w:widowControl/>
              <w:jc w:val="center"/>
              <w:rPr>
                <w:rFonts w:ascii="宋体" w:hAnsi="宋体" w:cs="宋体"/>
                <w:color w:val="auto"/>
                <w:kern w:val="0"/>
                <w:sz w:val="20"/>
                <w:szCs w:val="20"/>
                <w:highlight w:val="none"/>
              </w:rPr>
            </w:pPr>
          </w:p>
        </w:tc>
        <w:tc>
          <w:tcPr>
            <w:tcW w:w="1701" w:type="dxa"/>
            <w:gridSpan w:val="2"/>
          </w:tcPr>
          <w:p>
            <w:pPr>
              <w:widowControl/>
              <w:jc w:val="left"/>
              <w:rPr>
                <w:rFonts w:ascii="宋体" w:hAnsi="宋体" w:cs="宋体"/>
                <w:color w:val="auto"/>
                <w:kern w:val="0"/>
                <w:sz w:val="20"/>
                <w:szCs w:val="20"/>
                <w:highlight w:val="none"/>
              </w:rPr>
            </w:pPr>
          </w:p>
        </w:tc>
        <w:tc>
          <w:tcPr>
            <w:tcW w:w="1701" w:type="dxa"/>
            <w:gridSpan w:val="2"/>
          </w:tcPr>
          <w:p>
            <w:pPr>
              <w:widowControl/>
              <w:jc w:val="left"/>
              <w:rPr>
                <w:rFonts w:ascii="宋体" w:hAnsi="宋体" w:cs="宋体"/>
                <w:color w:val="auto"/>
                <w:kern w:val="0"/>
                <w:sz w:val="20"/>
                <w:szCs w:val="20"/>
                <w:highlight w:val="none"/>
              </w:rPr>
            </w:pPr>
          </w:p>
        </w:tc>
        <w:tc>
          <w:tcPr>
            <w:tcW w:w="1701" w:type="dxa"/>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13"/>
        <w:gridCol w:w="658"/>
        <w:gridCol w:w="520"/>
        <w:gridCol w:w="520"/>
        <w:gridCol w:w="1692"/>
        <w:gridCol w:w="707"/>
        <w:gridCol w:w="281"/>
        <w:gridCol w:w="546"/>
        <w:gridCol w:w="583"/>
        <w:gridCol w:w="470"/>
        <w:gridCol w:w="280"/>
        <w:gridCol w:w="507"/>
        <w:gridCol w:w="226"/>
        <w:gridCol w:w="214"/>
        <w:gridCol w:w="419"/>
        <w:gridCol w:w="618"/>
        <w:gridCol w:w="419"/>
        <w:gridCol w:w="419"/>
        <w:gridCol w:w="383"/>
        <w:gridCol w:w="65"/>
      </w:tblGrid>
      <w:tr>
        <w:tblPrEx>
          <w:tblCellMar>
            <w:top w:w="0" w:type="dxa"/>
            <w:left w:w="108" w:type="dxa"/>
            <w:bottom w:w="0" w:type="dxa"/>
            <w:right w:w="108" w:type="dxa"/>
          </w:tblCellMar>
        </w:tblPrEx>
        <w:trPr>
          <w:gridBefore w:val="1"/>
          <w:gridAfter w:val="1"/>
          <w:wBefore w:w="13" w:type="dxa"/>
          <w:wAfter w:w="65" w:type="dxa"/>
          <w:trHeight w:val="375" w:hRule="atLeast"/>
        </w:trPr>
        <w:tc>
          <w:tcPr>
            <w:tcW w:w="9462"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3" w:type="dxa"/>
          <w:wAfter w:w="65" w:type="dxa"/>
          <w:trHeight w:val="405" w:hRule="atLeast"/>
        </w:trPr>
        <w:tc>
          <w:tcPr>
            <w:tcW w:w="437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呼图壁县雀尔沟镇卫生院</w:t>
            </w:r>
            <w:r>
              <w:rPr>
                <w:rFonts w:hint="eastAsia" w:ascii="仿宋_GB2312" w:hAnsi="宋体" w:eastAsia="仿宋_GB2312"/>
                <w:color w:val="auto"/>
                <w:kern w:val="0"/>
                <w:sz w:val="24"/>
                <w:highlight w:val="none"/>
              </w:rPr>
              <w:t xml:space="preserve">   </w:t>
            </w:r>
          </w:p>
        </w:tc>
        <w:tc>
          <w:tcPr>
            <w:tcW w:w="1599"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013"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2"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71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692"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707"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2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8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47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2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0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4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4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71"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2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2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69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0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2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2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0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Hans"/>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1692"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707"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827" w:type="dxa"/>
            <w:gridSpan w:val="2"/>
            <w:noWrap w:val="0"/>
            <w:vAlign w:val="top"/>
          </w:tcPr>
          <w:p>
            <w:pPr>
              <w:widowControl/>
              <w:jc w:val="left"/>
              <w:rPr>
                <w:rFonts w:hint="eastAsia" w:ascii="仿宋_GB2312" w:hAnsi="宋体" w:eastAsia="仿宋_GB2312" w:cs="宋体"/>
                <w:color w:val="auto"/>
                <w:kern w:val="0"/>
                <w:sz w:val="24"/>
                <w:highlight w:val="none"/>
                <w:lang w:eastAsia="zh-CN"/>
              </w:rPr>
            </w:pPr>
          </w:p>
        </w:tc>
        <w:tc>
          <w:tcPr>
            <w:tcW w:w="583"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7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507"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0"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61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48"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1692"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707"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827" w:type="dxa"/>
            <w:gridSpan w:val="2"/>
            <w:noWrap w:val="0"/>
            <w:vAlign w:val="top"/>
          </w:tcPr>
          <w:p>
            <w:pPr>
              <w:widowControl/>
              <w:jc w:val="left"/>
              <w:rPr>
                <w:rFonts w:hint="eastAsia" w:ascii="仿宋_GB2312" w:hAnsi="宋体" w:eastAsia="仿宋_GB2312" w:cs="宋体"/>
                <w:color w:val="auto"/>
                <w:kern w:val="0"/>
                <w:sz w:val="24"/>
                <w:highlight w:val="none"/>
                <w:lang w:eastAsia="zh-CN"/>
              </w:rPr>
            </w:pPr>
          </w:p>
        </w:tc>
        <w:tc>
          <w:tcPr>
            <w:tcW w:w="583"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7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507"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0"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61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48"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520" w:type="dxa"/>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1692"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707"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827" w:type="dxa"/>
            <w:gridSpan w:val="2"/>
            <w:noWrap w:val="0"/>
            <w:vAlign w:val="top"/>
          </w:tcPr>
          <w:p>
            <w:pPr>
              <w:widowControl/>
              <w:jc w:val="left"/>
              <w:rPr>
                <w:rFonts w:hint="eastAsia" w:ascii="仿宋_GB2312" w:hAnsi="宋体" w:eastAsia="仿宋_GB2312" w:cs="宋体"/>
                <w:color w:val="auto"/>
                <w:kern w:val="0"/>
                <w:sz w:val="24"/>
                <w:highlight w:val="none"/>
                <w:lang w:eastAsia="zh-CN"/>
              </w:rPr>
            </w:pPr>
          </w:p>
        </w:tc>
        <w:tc>
          <w:tcPr>
            <w:tcW w:w="583"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7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507"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0"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61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48"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1692"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707"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827" w:type="dxa"/>
            <w:gridSpan w:val="2"/>
            <w:noWrap w:val="0"/>
            <w:vAlign w:val="top"/>
          </w:tcPr>
          <w:p>
            <w:pPr>
              <w:widowControl/>
              <w:jc w:val="left"/>
              <w:rPr>
                <w:rFonts w:hint="eastAsia" w:ascii="仿宋_GB2312" w:hAnsi="宋体" w:eastAsia="仿宋_GB2312" w:cs="宋体"/>
                <w:color w:val="auto"/>
                <w:kern w:val="0"/>
                <w:sz w:val="24"/>
                <w:highlight w:val="none"/>
                <w:lang w:eastAsia="zh-CN"/>
              </w:rPr>
            </w:pPr>
          </w:p>
        </w:tc>
        <w:tc>
          <w:tcPr>
            <w:tcW w:w="583"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7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507"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0"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61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48"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20" w:type="dxa"/>
            <w:noWrap w:val="0"/>
            <w:vAlign w:val="top"/>
          </w:tcPr>
          <w:p>
            <w:pPr>
              <w:widowControl/>
              <w:jc w:val="left"/>
              <w:outlineLvl w:val="1"/>
              <w:rPr>
                <w:rFonts w:ascii="仿宋_GB2312" w:hAnsi="宋体" w:eastAsia="仿宋_GB2312"/>
                <w:color w:val="auto"/>
                <w:kern w:val="0"/>
                <w:sz w:val="32"/>
                <w:szCs w:val="32"/>
                <w:highlight w:val="none"/>
              </w:rPr>
            </w:pPr>
          </w:p>
        </w:tc>
        <w:tc>
          <w:tcPr>
            <w:tcW w:w="520" w:type="dxa"/>
            <w:noWrap w:val="0"/>
            <w:vAlign w:val="top"/>
          </w:tcPr>
          <w:p>
            <w:pPr>
              <w:widowControl/>
              <w:jc w:val="left"/>
              <w:outlineLvl w:val="1"/>
              <w:rPr>
                <w:rFonts w:ascii="仿宋_GB2312" w:hAnsi="宋体" w:eastAsia="仿宋_GB2312"/>
                <w:color w:val="auto"/>
                <w:kern w:val="0"/>
                <w:sz w:val="32"/>
                <w:szCs w:val="32"/>
                <w:highlight w:val="none"/>
              </w:rPr>
            </w:pPr>
          </w:p>
        </w:tc>
        <w:tc>
          <w:tcPr>
            <w:tcW w:w="1692" w:type="dxa"/>
            <w:noWrap w:val="0"/>
            <w:vAlign w:val="top"/>
          </w:tcPr>
          <w:p>
            <w:pPr>
              <w:widowControl/>
              <w:jc w:val="left"/>
              <w:outlineLvl w:val="1"/>
              <w:rPr>
                <w:rFonts w:ascii="仿宋_GB2312" w:hAnsi="宋体" w:eastAsia="仿宋_GB2312"/>
                <w:color w:val="auto"/>
                <w:kern w:val="0"/>
                <w:sz w:val="32"/>
                <w:szCs w:val="32"/>
                <w:highlight w:val="none"/>
              </w:rPr>
            </w:pPr>
          </w:p>
        </w:tc>
        <w:tc>
          <w:tcPr>
            <w:tcW w:w="707" w:type="dxa"/>
            <w:noWrap w:val="0"/>
            <w:vAlign w:val="top"/>
          </w:tcPr>
          <w:p>
            <w:pPr>
              <w:widowControl/>
              <w:jc w:val="left"/>
              <w:outlineLvl w:val="1"/>
              <w:rPr>
                <w:rFonts w:ascii="仿宋_GB2312" w:hAnsi="宋体" w:eastAsia="仿宋_GB2312"/>
                <w:color w:val="auto"/>
                <w:kern w:val="0"/>
                <w:sz w:val="32"/>
                <w:szCs w:val="32"/>
                <w:highlight w:val="none"/>
              </w:rPr>
            </w:pPr>
          </w:p>
        </w:tc>
        <w:tc>
          <w:tcPr>
            <w:tcW w:w="82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83" w:type="dxa"/>
            <w:noWrap w:val="0"/>
            <w:vAlign w:val="top"/>
          </w:tcPr>
          <w:p>
            <w:pPr>
              <w:widowControl/>
              <w:jc w:val="left"/>
              <w:outlineLvl w:val="1"/>
              <w:rPr>
                <w:rFonts w:ascii="仿宋_GB2312" w:hAnsi="宋体" w:eastAsia="仿宋_GB2312"/>
                <w:color w:val="auto"/>
                <w:kern w:val="0"/>
                <w:sz w:val="32"/>
                <w:szCs w:val="32"/>
                <w:highlight w:val="none"/>
              </w:rPr>
            </w:pPr>
          </w:p>
        </w:tc>
        <w:tc>
          <w:tcPr>
            <w:tcW w:w="470" w:type="dxa"/>
            <w:noWrap w:val="0"/>
            <w:vAlign w:val="top"/>
          </w:tcPr>
          <w:p>
            <w:pPr>
              <w:widowControl/>
              <w:jc w:val="left"/>
              <w:outlineLvl w:val="1"/>
              <w:rPr>
                <w:rFonts w:ascii="仿宋_GB2312" w:hAnsi="宋体" w:eastAsia="仿宋_GB2312"/>
                <w:color w:val="auto"/>
                <w:kern w:val="0"/>
                <w:sz w:val="32"/>
                <w:szCs w:val="32"/>
                <w:highlight w:val="none"/>
              </w:rPr>
            </w:pPr>
          </w:p>
        </w:tc>
        <w:tc>
          <w:tcPr>
            <w:tcW w:w="280" w:type="dxa"/>
            <w:noWrap w:val="0"/>
            <w:vAlign w:val="top"/>
          </w:tcPr>
          <w:p>
            <w:pPr>
              <w:widowControl/>
              <w:jc w:val="left"/>
              <w:outlineLvl w:val="1"/>
              <w:rPr>
                <w:rFonts w:ascii="仿宋_GB2312" w:hAnsi="宋体" w:eastAsia="仿宋_GB2312"/>
                <w:color w:val="auto"/>
                <w:kern w:val="0"/>
                <w:sz w:val="32"/>
                <w:szCs w:val="32"/>
                <w:highlight w:val="none"/>
              </w:rPr>
            </w:pPr>
          </w:p>
        </w:tc>
        <w:tc>
          <w:tcPr>
            <w:tcW w:w="507" w:type="dxa"/>
            <w:noWrap w:val="0"/>
            <w:vAlign w:val="top"/>
          </w:tcPr>
          <w:p>
            <w:pPr>
              <w:widowControl/>
              <w:jc w:val="left"/>
              <w:outlineLvl w:val="1"/>
              <w:rPr>
                <w:rFonts w:ascii="仿宋_GB2312" w:hAnsi="宋体" w:eastAsia="仿宋_GB2312"/>
                <w:color w:val="auto"/>
                <w:kern w:val="0"/>
                <w:sz w:val="32"/>
                <w:szCs w:val="32"/>
                <w:highlight w:val="none"/>
              </w:rPr>
            </w:pPr>
          </w:p>
        </w:tc>
        <w:tc>
          <w:tcPr>
            <w:tcW w:w="44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20" w:type="dxa"/>
            <w:noWrap w:val="0"/>
            <w:vAlign w:val="top"/>
          </w:tcPr>
          <w:p>
            <w:pPr>
              <w:widowControl/>
              <w:jc w:val="left"/>
              <w:outlineLvl w:val="1"/>
              <w:rPr>
                <w:rFonts w:ascii="仿宋_GB2312" w:hAnsi="宋体" w:eastAsia="仿宋_GB2312"/>
                <w:color w:val="auto"/>
                <w:kern w:val="0"/>
                <w:sz w:val="32"/>
                <w:szCs w:val="32"/>
                <w:highlight w:val="none"/>
              </w:rPr>
            </w:pPr>
          </w:p>
        </w:tc>
        <w:tc>
          <w:tcPr>
            <w:tcW w:w="520" w:type="dxa"/>
            <w:noWrap w:val="0"/>
            <w:vAlign w:val="top"/>
          </w:tcPr>
          <w:p>
            <w:pPr>
              <w:widowControl/>
              <w:jc w:val="left"/>
              <w:outlineLvl w:val="1"/>
              <w:rPr>
                <w:rFonts w:ascii="仿宋_GB2312" w:hAnsi="宋体" w:eastAsia="仿宋_GB2312"/>
                <w:color w:val="auto"/>
                <w:kern w:val="0"/>
                <w:sz w:val="32"/>
                <w:szCs w:val="32"/>
                <w:highlight w:val="none"/>
              </w:rPr>
            </w:pPr>
          </w:p>
        </w:tc>
        <w:tc>
          <w:tcPr>
            <w:tcW w:w="1692" w:type="dxa"/>
            <w:noWrap w:val="0"/>
            <w:vAlign w:val="top"/>
          </w:tcPr>
          <w:p>
            <w:pPr>
              <w:widowControl/>
              <w:jc w:val="left"/>
              <w:outlineLvl w:val="1"/>
              <w:rPr>
                <w:rFonts w:ascii="仿宋_GB2312" w:hAnsi="宋体" w:eastAsia="仿宋_GB2312"/>
                <w:color w:val="auto"/>
                <w:kern w:val="0"/>
                <w:sz w:val="32"/>
                <w:szCs w:val="32"/>
                <w:highlight w:val="none"/>
              </w:rPr>
            </w:pPr>
          </w:p>
        </w:tc>
        <w:tc>
          <w:tcPr>
            <w:tcW w:w="707" w:type="dxa"/>
            <w:noWrap w:val="0"/>
            <w:vAlign w:val="top"/>
          </w:tcPr>
          <w:p>
            <w:pPr>
              <w:widowControl/>
              <w:jc w:val="center"/>
              <w:rPr>
                <w:rFonts w:hint="eastAsia" w:ascii="仿宋_GB2312" w:hAnsi="宋体" w:eastAsia="仿宋_GB2312" w:cs="宋体"/>
                <w:color w:val="auto"/>
                <w:kern w:val="0"/>
                <w:sz w:val="24"/>
                <w:highlight w:val="none"/>
                <w:lang w:val="en-US" w:eastAsia="zh-CN"/>
              </w:rPr>
            </w:pPr>
          </w:p>
        </w:tc>
        <w:tc>
          <w:tcPr>
            <w:tcW w:w="827" w:type="dxa"/>
            <w:gridSpan w:val="2"/>
            <w:noWrap w:val="0"/>
            <w:vAlign w:val="top"/>
          </w:tcPr>
          <w:p>
            <w:pPr>
              <w:widowControl/>
              <w:jc w:val="left"/>
              <w:rPr>
                <w:rFonts w:hint="default" w:ascii="仿宋_GB2312" w:hAnsi="宋体" w:eastAsia="仿宋_GB2312" w:cs="宋体"/>
                <w:color w:val="auto"/>
                <w:kern w:val="0"/>
                <w:sz w:val="24"/>
                <w:highlight w:val="none"/>
                <w:lang w:val="en-US" w:eastAsia="zh-CN"/>
              </w:rPr>
            </w:pPr>
          </w:p>
        </w:tc>
        <w:tc>
          <w:tcPr>
            <w:tcW w:w="583" w:type="dxa"/>
            <w:noWrap w:val="0"/>
            <w:vAlign w:val="top"/>
          </w:tcPr>
          <w:p>
            <w:pPr>
              <w:widowControl/>
              <w:jc w:val="left"/>
              <w:rPr>
                <w:rFonts w:hint="eastAsia" w:ascii="仿宋_GB2312" w:hAnsi="宋体" w:eastAsia="仿宋_GB2312" w:cs="宋体"/>
                <w:color w:val="auto"/>
                <w:kern w:val="0"/>
                <w:sz w:val="24"/>
                <w:highlight w:val="none"/>
                <w:lang w:val="en-US" w:eastAsia="zh-CN"/>
              </w:rPr>
            </w:pPr>
          </w:p>
        </w:tc>
        <w:tc>
          <w:tcPr>
            <w:tcW w:w="470" w:type="dxa"/>
            <w:noWrap w:val="0"/>
            <w:vAlign w:val="top"/>
          </w:tcPr>
          <w:p>
            <w:pPr>
              <w:widowControl/>
              <w:jc w:val="left"/>
              <w:rPr>
                <w:rFonts w:hint="eastAsia" w:ascii="仿宋_GB2312" w:hAnsi="宋体" w:eastAsia="仿宋_GB2312" w:cs="宋体"/>
                <w:color w:val="auto"/>
                <w:kern w:val="0"/>
                <w:sz w:val="24"/>
                <w:highlight w:val="none"/>
                <w:lang w:val="en-US"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val="en-US" w:eastAsia="zh-CN"/>
              </w:rPr>
            </w:pPr>
          </w:p>
        </w:tc>
        <w:tc>
          <w:tcPr>
            <w:tcW w:w="507" w:type="dxa"/>
            <w:noWrap w:val="0"/>
            <w:vAlign w:val="top"/>
          </w:tcPr>
          <w:p>
            <w:pPr>
              <w:widowControl/>
              <w:jc w:val="left"/>
              <w:outlineLvl w:val="1"/>
              <w:rPr>
                <w:rFonts w:ascii="仿宋_GB2312" w:hAnsi="宋体" w:eastAsia="仿宋_GB2312"/>
                <w:color w:val="auto"/>
                <w:kern w:val="0"/>
                <w:sz w:val="32"/>
                <w:szCs w:val="32"/>
                <w:highlight w:val="none"/>
              </w:rPr>
            </w:pPr>
          </w:p>
        </w:tc>
        <w:tc>
          <w:tcPr>
            <w:tcW w:w="44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cs="宋体"/>
          <w:i w:val="0"/>
          <w:color w:val="auto"/>
          <w:kern w:val="0"/>
          <w:sz w:val="20"/>
          <w:szCs w:val="20"/>
          <w:highlight w:val="none"/>
          <w:u w:val="none"/>
          <w:lang w:val="en-US" w:eastAsia="zh-CN" w:bidi="ar"/>
        </w:rPr>
        <w:t>备注：本单位2024年无项目支出，此表为空。</w:t>
      </w: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呼图壁县雀尔沟卫生院2024年预算无政府性基金预算支出，此表为空。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呼图壁县雀尔沟卫生院</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呼图壁县雀尔沟卫生院2024年预算未安排国有资本经营预算支出，此表为空。</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呼图壁县雀尔沟镇卫生院</w:t>
      </w:r>
      <w:r>
        <w:rPr>
          <w:rFonts w:hint="eastAsia" w:ascii="仿宋_GB2312" w:hAnsi="宋体" w:eastAsia="仿宋_GB2312"/>
          <w:color w:val="auto"/>
          <w:kern w:val="0"/>
          <w:sz w:val="24"/>
          <w:highlight w:val="none"/>
        </w:rPr>
        <w:t xml:space="preserve">                             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呼图壁县雀尔沟卫生院2024年预算未安排</w:t>
      </w:r>
      <w:r>
        <w:rPr>
          <w:rFonts w:hint="eastAsia" w:ascii="仿宋_GB2312" w:hAnsi="宋体" w:eastAsia="仿宋_GB2312"/>
          <w:b/>
          <w:color w:val="auto"/>
          <w:kern w:val="0"/>
          <w:sz w:val="32"/>
          <w:szCs w:val="32"/>
          <w:highlight w:val="none"/>
        </w:rPr>
        <w:t>“三公”经费</w:t>
      </w:r>
      <w:r>
        <w:rPr>
          <w:rFonts w:hint="eastAsia" w:ascii="仿宋_GB2312" w:hAnsi="宋体" w:eastAsia="仿宋_GB2312"/>
          <w:b/>
          <w:color w:val="auto"/>
          <w:kern w:val="0"/>
          <w:sz w:val="32"/>
          <w:szCs w:val="32"/>
          <w:highlight w:val="none"/>
          <w:lang w:val="en-US" w:eastAsia="zh-CN"/>
        </w:rPr>
        <w:t>预算</w:t>
      </w:r>
      <w:r>
        <w:rPr>
          <w:rFonts w:hint="eastAsia" w:ascii="仿宋_GB2312" w:hAnsi="宋体" w:eastAsia="仿宋_GB2312"/>
          <w:b/>
          <w:color w:val="auto"/>
          <w:kern w:val="0"/>
          <w:sz w:val="32"/>
          <w:szCs w:val="32"/>
          <w:highlight w:val="none"/>
        </w:rPr>
        <w:t>支出</w:t>
      </w:r>
      <w:r>
        <w:rPr>
          <w:rFonts w:hint="eastAsia" w:ascii="仿宋_GB2312" w:hAnsi="宋体" w:eastAsia="仿宋_GB2312"/>
          <w:b/>
          <w:color w:val="auto"/>
          <w:kern w:val="0"/>
          <w:sz w:val="32"/>
          <w:szCs w:val="32"/>
          <w:highlight w:val="none"/>
          <w:lang w:eastAsia="zh-CN"/>
        </w:rPr>
        <w:t>，此表为空</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4"/>
                <w:szCs w:val="24"/>
                <w:highlight w:val="none"/>
              </w:rPr>
            </w:pPr>
            <w:r>
              <w:rPr>
                <w:rFonts w:hint="eastAsia" w:ascii="仿宋" w:hAnsi="仿宋" w:eastAsia="仿宋" w:cs="仿宋_GB2312"/>
                <w:bCs/>
                <w:color w:val="auto"/>
                <w:kern w:val="0"/>
                <w:sz w:val="24"/>
                <w:szCs w:val="24"/>
                <w:highlight w:val="none"/>
              </w:rPr>
              <w:t>昌州财办社【2022】17号  2023年自治区计划生育服务补助资金</w:t>
            </w:r>
          </w:p>
        </w:tc>
        <w:tc>
          <w:tcPr>
            <w:tcW w:w="850"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0.21</w:t>
            </w:r>
          </w:p>
        </w:tc>
        <w:tc>
          <w:tcPr>
            <w:tcW w:w="1054"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0.21</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0.21</w:t>
            </w:r>
          </w:p>
        </w:tc>
        <w:tc>
          <w:tcPr>
            <w:tcW w:w="797"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2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8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both"/>
              <w:rPr>
                <w:rFonts w:hint="default" w:ascii="仿宋" w:hAnsi="仿宋" w:eastAsia="仿宋" w:cs="仿宋_GB2312"/>
                <w:bCs/>
                <w:color w:val="auto"/>
                <w:kern w:val="0"/>
                <w:sz w:val="28"/>
                <w:szCs w:val="2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呼图壁县雀尔沟镇卫生院</w:t>
      </w:r>
      <w:r>
        <w:rPr>
          <w:rFonts w:hint="eastAsia" w:ascii="仿宋_GB2312" w:hAnsi="宋体" w:eastAsia="仿宋_GB2312"/>
          <w:color w:val="auto"/>
          <w:kern w:val="0"/>
          <w:sz w:val="24"/>
          <w:highlight w:val="none"/>
        </w:rPr>
        <w:t xml:space="preserve"> </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仿宋_GB2312" w:hAnsi="宋体" w:eastAsia="仿宋_GB2312"/>
          <w:color w:val="auto"/>
          <w:kern w:val="0"/>
          <w:sz w:val="24"/>
          <w:highlight w:val="none"/>
        </w:rPr>
        <w:t xml:space="preserve"> </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呼图壁县雀尔沟镇卫生院</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所有收入和支出均纳入单位预算管理。收支总预算  </w:t>
      </w:r>
      <w:r>
        <w:rPr>
          <w:rFonts w:hint="eastAsia" w:ascii="仿宋_GB2312" w:hAnsi="宋体" w:eastAsia="仿宋_GB2312" w:cs="宋体"/>
          <w:color w:val="auto"/>
          <w:kern w:val="0"/>
          <w:sz w:val="32"/>
          <w:szCs w:val="32"/>
          <w:highlight w:val="none"/>
          <w:lang w:val="en-US" w:eastAsia="zh-CN"/>
        </w:rPr>
        <w:t>840.94</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收入预算包括：一般公共服务支出</w:t>
      </w:r>
      <w:r>
        <w:rPr>
          <w:rFonts w:hint="eastAsia" w:ascii="仿宋_GB2312" w:hAnsi="宋体" w:eastAsia="仿宋_GB2312" w:cs="宋体"/>
          <w:color w:val="auto"/>
          <w:kern w:val="0"/>
          <w:sz w:val="32"/>
          <w:szCs w:val="32"/>
          <w:highlight w:val="none"/>
          <w:lang w:val="en-US" w:eastAsia="zh-CN"/>
        </w:rPr>
        <w:t>372.83万元、单位资金467.90万元、上年结转结余0.21万元。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90.60万元、社会保险基金支出685.68万元、住房保障支出64.66万元。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呼图壁县雀尔沟镇卫生院</w:t>
      </w:r>
      <w:r>
        <w:rPr>
          <w:rFonts w:hint="eastAsia" w:ascii="仿宋_GB2312" w:hAnsi="宋体" w:eastAsia="仿宋_GB2312" w:cs="宋体"/>
          <w:color w:val="auto"/>
          <w:kern w:val="0"/>
          <w:sz w:val="32"/>
          <w:szCs w:val="32"/>
          <w:highlight w:val="none"/>
        </w:rPr>
        <w:t>收入预</w:t>
      </w:r>
      <w:r>
        <w:rPr>
          <w:rFonts w:hint="eastAsia" w:ascii="仿宋_GB2312" w:hAnsi="宋体" w:eastAsia="仿宋_GB2312" w:cs="宋体"/>
          <w:color w:val="auto"/>
          <w:kern w:val="0"/>
          <w:sz w:val="32"/>
          <w:szCs w:val="32"/>
          <w:highlight w:val="none"/>
          <w:lang w:val="en-US" w:eastAsia="zh-CN"/>
        </w:rPr>
        <w:t>算840.94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yellow"/>
        </w:rPr>
      </w:pPr>
      <w:r>
        <w:rPr>
          <w:rFonts w:hint="eastAsia" w:ascii="仿宋_GB2312" w:hAnsi="宋体" w:eastAsia="仿宋_GB2312" w:cs="宋体"/>
          <w:color w:val="auto"/>
          <w:kern w:val="0"/>
          <w:sz w:val="32"/>
          <w:szCs w:val="32"/>
          <w:highlight w:val="yellow"/>
        </w:rPr>
        <w:t xml:space="preserve">一般公共预算 </w:t>
      </w:r>
      <w:r>
        <w:rPr>
          <w:rFonts w:hint="eastAsia" w:ascii="仿宋_GB2312" w:hAnsi="宋体" w:eastAsia="仿宋_GB2312" w:cs="宋体"/>
          <w:color w:val="auto"/>
          <w:kern w:val="0"/>
          <w:sz w:val="32"/>
          <w:szCs w:val="32"/>
          <w:highlight w:val="yellow"/>
          <w:lang w:val="en-US" w:eastAsia="zh-CN"/>
        </w:rPr>
        <w:t>372.83</w:t>
      </w:r>
      <w:r>
        <w:rPr>
          <w:rFonts w:hint="eastAsia" w:ascii="仿宋_GB2312" w:hAnsi="宋体" w:eastAsia="仿宋_GB2312" w:cs="宋体"/>
          <w:color w:val="auto"/>
          <w:kern w:val="0"/>
          <w:sz w:val="32"/>
          <w:szCs w:val="32"/>
          <w:highlight w:val="yellow"/>
        </w:rPr>
        <w:t xml:space="preserve"> 万元，占 </w:t>
      </w:r>
      <w:r>
        <w:rPr>
          <w:rFonts w:hint="eastAsia" w:ascii="仿宋_GB2312" w:hAnsi="宋体" w:eastAsia="仿宋_GB2312" w:cs="宋体"/>
          <w:color w:val="auto"/>
          <w:kern w:val="0"/>
          <w:sz w:val="32"/>
          <w:szCs w:val="32"/>
          <w:highlight w:val="yellow"/>
          <w:lang w:val="en-US" w:eastAsia="zh-CN"/>
        </w:rPr>
        <w:t>44.33</w:t>
      </w:r>
      <w:r>
        <w:rPr>
          <w:rFonts w:hint="eastAsia" w:ascii="仿宋_GB2312" w:hAnsi="宋体" w:eastAsia="仿宋_GB2312" w:cs="宋体"/>
          <w:color w:val="auto"/>
          <w:kern w:val="0"/>
          <w:sz w:val="32"/>
          <w:szCs w:val="32"/>
          <w:highlight w:val="yellow"/>
        </w:rPr>
        <w:t xml:space="preserve"> %，比上年预算增加</w:t>
      </w:r>
      <w:r>
        <w:rPr>
          <w:rFonts w:hint="eastAsia" w:ascii="仿宋_GB2312" w:hAnsi="宋体" w:eastAsia="仿宋_GB2312" w:cs="宋体"/>
          <w:color w:val="auto"/>
          <w:kern w:val="0"/>
          <w:sz w:val="32"/>
          <w:szCs w:val="32"/>
          <w:highlight w:val="yellow"/>
          <w:lang w:val="en-US" w:eastAsia="zh-CN"/>
        </w:rPr>
        <w:t>22.25</w:t>
      </w:r>
      <w:r>
        <w:rPr>
          <w:rFonts w:hint="eastAsia" w:ascii="仿宋_GB2312" w:hAnsi="宋体" w:eastAsia="仿宋_GB2312" w:cs="宋体"/>
          <w:color w:val="auto"/>
          <w:kern w:val="0"/>
          <w:sz w:val="32"/>
          <w:szCs w:val="32"/>
          <w:highlight w:val="yellow"/>
        </w:rPr>
        <w:t>万元，</w:t>
      </w:r>
      <w:r>
        <w:rPr>
          <w:rFonts w:hint="eastAsia" w:ascii="仿宋_GB2312" w:hAnsi="宋体" w:eastAsia="仿宋_GB2312" w:cs="宋体"/>
          <w:color w:val="auto"/>
          <w:kern w:val="0"/>
          <w:sz w:val="32"/>
          <w:szCs w:val="32"/>
          <w:highlight w:val="yellow"/>
          <w:lang w:eastAsia="zh-CN"/>
        </w:rPr>
        <w:t>增</w:t>
      </w:r>
      <w:r>
        <w:rPr>
          <w:rFonts w:hint="eastAsia" w:ascii="仿宋_GB2312" w:hAnsi="宋体" w:eastAsia="仿宋_GB2312" w:cs="宋体"/>
          <w:color w:val="auto"/>
          <w:kern w:val="0"/>
          <w:sz w:val="32"/>
          <w:szCs w:val="32"/>
          <w:highlight w:val="yellow"/>
          <w:lang w:val="en-US" w:eastAsia="zh-CN"/>
        </w:rPr>
        <w:t>长6%，</w:t>
      </w:r>
      <w:r>
        <w:rPr>
          <w:rFonts w:hint="eastAsia" w:ascii="仿宋_GB2312" w:hAnsi="宋体" w:eastAsia="仿宋_GB2312" w:cs="宋体"/>
          <w:color w:val="auto"/>
          <w:kern w:val="0"/>
          <w:sz w:val="32"/>
          <w:szCs w:val="32"/>
          <w:highlight w:val="yellow"/>
        </w:rPr>
        <w:t>主要原因是</w:t>
      </w:r>
      <w:r>
        <w:rPr>
          <w:rFonts w:hint="eastAsia" w:ascii="仿宋_GB2312" w:hAnsi="宋体" w:eastAsia="仿宋_GB2312" w:cs="宋体"/>
          <w:color w:val="auto"/>
          <w:kern w:val="0"/>
          <w:sz w:val="32"/>
          <w:szCs w:val="32"/>
          <w:highlight w:val="yellow"/>
          <w:lang w:val="en-US" w:eastAsia="zh-CN"/>
        </w:rPr>
        <w:t>全体在职人员基础绩效资金增加，基社保公积金缴费有所增加</w:t>
      </w:r>
      <w:r>
        <w:rPr>
          <w:rFonts w:hint="eastAsia" w:ascii="仿宋_GB2312" w:hAnsi="宋体" w:eastAsia="仿宋_GB2312" w:cs="宋体"/>
          <w:color w:val="auto"/>
          <w:kern w:val="0"/>
          <w:sz w:val="32"/>
          <w:szCs w:val="32"/>
          <w:highlight w:val="yellow"/>
        </w:rPr>
        <w:t xml:space="preserve"> ；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467.90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55.64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106.08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29.32 %，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 基本户所有资金往来支出全部计划纳入财政平台管理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0.21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23.76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下降99.12%，</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2023年专项基本支付完</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呼图壁县雀尔沟镇卫生院</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840.94</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auto"/>
          <w:kern w:val="0"/>
          <w:sz w:val="32"/>
          <w:szCs w:val="32"/>
          <w:highlight w:val="none"/>
          <w:lang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660.73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78.57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297.83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82.07 %，</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社保增加及调资。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180.21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21.43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205.58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 xml:space="preserve"> 53.29%，</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专项比2023年减少了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373.04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收入预算包括：一般公共预算拨款 </w:t>
      </w:r>
      <w:r>
        <w:rPr>
          <w:rFonts w:hint="eastAsia" w:ascii="仿宋_GB2312" w:hAnsi="宋体" w:eastAsia="仿宋_GB2312" w:cs="宋体"/>
          <w:color w:val="auto"/>
          <w:kern w:val="0"/>
          <w:sz w:val="32"/>
          <w:szCs w:val="32"/>
          <w:highlight w:val="none"/>
          <w:lang w:val="en-US" w:eastAsia="zh-CN"/>
        </w:rPr>
        <w:t>373.04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42.62</w:t>
      </w:r>
      <w:r>
        <w:rPr>
          <w:rFonts w:hint="eastAsia" w:ascii="仿宋_GB2312" w:hAnsi="宋体" w:eastAsia="仿宋_GB2312" w:cs="宋体"/>
          <w:color w:val="auto"/>
          <w:kern w:val="0"/>
          <w:sz w:val="32"/>
          <w:szCs w:val="32"/>
          <w:highlight w:val="none"/>
        </w:rPr>
        <w:t xml:space="preserve">  万元，卫生健康支出</w:t>
      </w:r>
      <w:r>
        <w:rPr>
          <w:rFonts w:hint="eastAsia" w:ascii="仿宋_GB2312" w:hAnsi="宋体" w:eastAsia="仿宋_GB2312" w:cs="宋体"/>
          <w:color w:val="auto"/>
          <w:kern w:val="0"/>
          <w:sz w:val="32"/>
          <w:szCs w:val="32"/>
          <w:highlight w:val="none"/>
          <w:lang w:val="en-US" w:eastAsia="zh-CN"/>
        </w:rPr>
        <w:t>300.31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住房保障支出28.11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项目支出0.2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373.04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372.83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9.93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2.7</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工资调整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0.21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宋体" w:eastAsia="仿宋_GB2312" w:cs="宋体"/>
          <w:color w:val="auto"/>
          <w:kern w:val="0"/>
          <w:sz w:val="32"/>
          <w:szCs w:val="32"/>
          <w:highlight w:val="none"/>
          <w:lang w:val="en-US" w:eastAsia="zh-CN"/>
        </w:rPr>
        <w:t>205.58</w:t>
      </w:r>
      <w:r>
        <w:rPr>
          <w:rFonts w:hint="eastAsia" w:ascii="仿宋_GB2312" w:hAnsi="仿宋_GB2312" w:eastAsia="仿宋_GB2312" w:cs="仿宋_GB2312"/>
          <w:color w:val="auto"/>
          <w:kern w:val="0"/>
          <w:sz w:val="32"/>
          <w:szCs w:val="32"/>
          <w:highlight w:val="none"/>
        </w:rPr>
        <w:t>万元，下降</w:t>
      </w:r>
      <w:r>
        <w:rPr>
          <w:rFonts w:hint="eastAsia" w:ascii="仿宋_GB2312" w:hAnsi="宋体" w:eastAsia="仿宋_GB2312" w:cs="宋体"/>
          <w:color w:val="auto"/>
          <w:kern w:val="0"/>
          <w:sz w:val="32"/>
          <w:szCs w:val="32"/>
          <w:highlight w:val="none"/>
          <w:lang w:val="en-US" w:eastAsia="zh-CN"/>
        </w:rPr>
        <w:t>99.9</w:t>
      </w:r>
      <w:r>
        <w:rPr>
          <w:rFonts w:hint="eastAsia" w:ascii="仿宋_GB2312" w:hAnsi="仿宋_GB2312" w:eastAsia="仿宋_GB2312" w:cs="仿宋_GB2312"/>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专项比2023年减少了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42.62</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11.45</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 xml:space="preserve"> 300.31</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 xml:space="preserve">占 </w:t>
      </w:r>
      <w:r>
        <w:rPr>
          <w:rFonts w:hint="eastAsia" w:ascii="仿宋_GB2312" w:hAnsi="仿宋_GB2312" w:eastAsia="仿宋_GB2312" w:cs="仿宋_GB2312"/>
          <w:color w:val="auto"/>
          <w:kern w:val="0"/>
          <w:sz w:val="32"/>
          <w:szCs w:val="32"/>
          <w:highlight w:val="none"/>
          <w:lang w:val="en-US" w:eastAsia="zh-CN"/>
        </w:rPr>
        <w:t>80.52</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3、住房保障支出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28.11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8.03</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yellow"/>
        </w:rPr>
      </w:pPr>
      <w:r>
        <w:rPr>
          <w:rFonts w:hint="eastAsia" w:ascii="仿宋_GB2312" w:hAnsi="仿宋_GB2312" w:eastAsia="仿宋_GB2312" w:cs="仿宋_GB2312"/>
          <w:color w:val="auto"/>
          <w:kern w:val="0"/>
          <w:sz w:val="32"/>
          <w:szCs w:val="32"/>
          <w:highlight w:val="yellow"/>
        </w:rPr>
        <w:t>1.</w:t>
      </w:r>
      <w:r>
        <w:rPr>
          <w:rFonts w:hint="eastAsia" w:ascii="仿宋_GB2312" w:hAnsi="仿宋_GB2312" w:eastAsia="仿宋_GB2312" w:cs="仿宋_GB2312"/>
          <w:color w:val="auto"/>
          <w:kern w:val="0"/>
          <w:sz w:val="32"/>
          <w:szCs w:val="32"/>
          <w:highlight w:val="yellow"/>
          <w:lang w:eastAsia="zh-CN"/>
        </w:rPr>
        <w:t>卫生健康支出（</w:t>
      </w:r>
      <w:r>
        <w:rPr>
          <w:rFonts w:hint="eastAsia" w:ascii="仿宋_GB2312" w:hAnsi="仿宋_GB2312" w:eastAsia="仿宋_GB2312" w:cs="仿宋_GB2312"/>
          <w:color w:val="auto"/>
          <w:kern w:val="0"/>
          <w:sz w:val="32"/>
          <w:szCs w:val="32"/>
          <w:highlight w:val="yellow"/>
          <w:lang w:val="en-US" w:eastAsia="zh-CN"/>
        </w:rPr>
        <w:t>类</w:t>
      </w:r>
      <w:r>
        <w:rPr>
          <w:rFonts w:hint="eastAsia" w:ascii="仿宋_GB2312" w:hAnsi="仿宋_GB2312" w:eastAsia="仿宋_GB2312" w:cs="仿宋_GB2312"/>
          <w:color w:val="auto"/>
          <w:kern w:val="0"/>
          <w:sz w:val="32"/>
          <w:szCs w:val="32"/>
          <w:highlight w:val="yellow"/>
          <w:lang w:eastAsia="zh-CN"/>
        </w:rPr>
        <w:t>）基层医疗卫生机构（</w:t>
      </w:r>
      <w:r>
        <w:rPr>
          <w:rFonts w:hint="eastAsia" w:ascii="仿宋_GB2312" w:hAnsi="仿宋_GB2312" w:eastAsia="仿宋_GB2312" w:cs="仿宋_GB2312"/>
          <w:color w:val="auto"/>
          <w:kern w:val="0"/>
          <w:sz w:val="32"/>
          <w:szCs w:val="32"/>
          <w:highlight w:val="yellow"/>
          <w:lang w:val="en-US" w:eastAsia="zh-CN"/>
        </w:rPr>
        <w:t>款</w:t>
      </w:r>
      <w:r>
        <w:rPr>
          <w:rFonts w:hint="eastAsia" w:ascii="仿宋_GB2312" w:hAnsi="仿宋_GB2312" w:eastAsia="仿宋_GB2312" w:cs="仿宋_GB2312"/>
          <w:color w:val="auto"/>
          <w:kern w:val="0"/>
          <w:sz w:val="32"/>
          <w:szCs w:val="32"/>
          <w:highlight w:val="yellow"/>
          <w:lang w:eastAsia="zh-CN"/>
        </w:rPr>
        <w:t>）乡镇卫生院（</w:t>
      </w:r>
      <w:r>
        <w:rPr>
          <w:rFonts w:hint="eastAsia" w:ascii="仿宋_GB2312" w:hAnsi="仿宋_GB2312" w:eastAsia="仿宋_GB2312" w:cs="仿宋_GB2312"/>
          <w:color w:val="auto"/>
          <w:kern w:val="0"/>
          <w:sz w:val="32"/>
          <w:szCs w:val="32"/>
          <w:highlight w:val="yellow"/>
          <w:lang w:val="en-US" w:eastAsia="zh-CN"/>
        </w:rPr>
        <w:t>项</w:t>
      </w:r>
      <w:r>
        <w:rPr>
          <w:rFonts w:hint="eastAsia" w:ascii="仿宋_GB2312" w:hAnsi="仿宋_GB2312" w:eastAsia="仿宋_GB2312" w:cs="仿宋_GB2312"/>
          <w:color w:val="auto"/>
          <w:kern w:val="0"/>
          <w:sz w:val="32"/>
          <w:szCs w:val="32"/>
          <w:highlight w:val="yellow"/>
          <w:lang w:eastAsia="zh-CN"/>
        </w:rPr>
        <w:t>）2024年</w:t>
      </w:r>
      <w:r>
        <w:rPr>
          <w:rFonts w:hint="eastAsia" w:ascii="仿宋_GB2312" w:hAnsi="仿宋_GB2312" w:eastAsia="仿宋_GB2312" w:cs="仿宋_GB2312"/>
          <w:color w:val="auto"/>
          <w:kern w:val="0"/>
          <w:sz w:val="32"/>
          <w:szCs w:val="32"/>
          <w:highlight w:val="yellow"/>
        </w:rPr>
        <w:t>预算数为</w:t>
      </w:r>
      <w:r>
        <w:rPr>
          <w:rFonts w:hint="eastAsia" w:ascii="仿宋_GB2312" w:hAnsi="仿宋_GB2312" w:eastAsia="仿宋_GB2312" w:cs="仿宋_GB2312"/>
          <w:color w:val="auto"/>
          <w:kern w:val="0"/>
          <w:sz w:val="32"/>
          <w:szCs w:val="32"/>
          <w:highlight w:val="yellow"/>
          <w:lang w:val="en-US" w:eastAsia="zh-CN"/>
        </w:rPr>
        <w:t>372.83</w:t>
      </w:r>
      <w:r>
        <w:rPr>
          <w:rFonts w:hint="eastAsia" w:ascii="仿宋_GB2312" w:hAnsi="仿宋_GB2312" w:eastAsia="仿宋_GB2312" w:cs="仿宋_GB2312"/>
          <w:color w:val="auto"/>
          <w:kern w:val="0"/>
          <w:sz w:val="32"/>
          <w:szCs w:val="32"/>
          <w:highlight w:val="yellow"/>
        </w:rPr>
        <w:t xml:space="preserve">万元，比上年预算增加 </w:t>
      </w:r>
      <w:r>
        <w:rPr>
          <w:rFonts w:hint="eastAsia" w:ascii="仿宋_GB2312" w:hAnsi="仿宋_GB2312" w:eastAsia="仿宋_GB2312" w:cs="仿宋_GB2312"/>
          <w:color w:val="auto"/>
          <w:kern w:val="0"/>
          <w:sz w:val="32"/>
          <w:szCs w:val="32"/>
          <w:highlight w:val="yellow"/>
          <w:lang w:val="en-US" w:eastAsia="zh-CN"/>
        </w:rPr>
        <w:t>22.25</w:t>
      </w:r>
      <w:r>
        <w:rPr>
          <w:rFonts w:hint="eastAsia" w:ascii="仿宋_GB2312" w:hAnsi="仿宋_GB2312" w:eastAsia="仿宋_GB2312" w:cs="仿宋_GB2312"/>
          <w:color w:val="auto"/>
          <w:kern w:val="0"/>
          <w:sz w:val="32"/>
          <w:szCs w:val="32"/>
          <w:highlight w:val="yellow"/>
        </w:rPr>
        <w:t>万元，增长</w:t>
      </w:r>
      <w:r>
        <w:rPr>
          <w:rFonts w:hint="eastAsia" w:ascii="仿宋_GB2312" w:hAnsi="仿宋_GB2312" w:eastAsia="仿宋_GB2312" w:cs="仿宋_GB2312"/>
          <w:color w:val="auto"/>
          <w:kern w:val="0"/>
          <w:sz w:val="32"/>
          <w:szCs w:val="32"/>
          <w:highlight w:val="yellow"/>
          <w:lang w:val="en-US" w:eastAsia="zh-CN"/>
        </w:rPr>
        <w:t>6</w:t>
      </w:r>
      <w:r>
        <w:rPr>
          <w:rFonts w:hint="eastAsia" w:ascii="仿宋_GB2312" w:hAnsi="仿宋_GB2312" w:eastAsia="仿宋_GB2312" w:cs="仿宋_GB2312"/>
          <w:color w:val="auto"/>
          <w:kern w:val="0"/>
          <w:sz w:val="32"/>
          <w:szCs w:val="32"/>
          <w:highlight w:val="yellow"/>
        </w:rPr>
        <w:t>%，主要原因是</w:t>
      </w:r>
      <w:r>
        <w:rPr>
          <w:rFonts w:hint="eastAsia" w:ascii="仿宋_GB2312" w:hAnsi="仿宋_GB2312" w:eastAsia="仿宋_GB2312" w:cs="仿宋_GB2312"/>
          <w:color w:val="auto"/>
          <w:kern w:val="0"/>
          <w:sz w:val="32"/>
          <w:szCs w:val="32"/>
          <w:highlight w:val="yellow"/>
          <w:lang w:eastAsia="zh-CN"/>
        </w:rPr>
        <w:t>：</w:t>
      </w:r>
      <w:r>
        <w:rPr>
          <w:rFonts w:hint="eastAsia" w:ascii="仿宋_GB2312" w:hAnsi="仿宋_GB2312" w:eastAsia="仿宋_GB2312" w:cs="仿宋_GB2312"/>
          <w:color w:val="auto"/>
          <w:kern w:val="0"/>
          <w:sz w:val="32"/>
          <w:szCs w:val="32"/>
          <w:highlight w:val="yellow"/>
          <w:lang w:val="en-US" w:eastAsia="zh-CN"/>
        </w:rPr>
        <w:t>全体在职人员基础性绩效资金增加，基数上调。</w:t>
      </w:r>
      <w:r>
        <w:rPr>
          <w:rFonts w:hint="eastAsia" w:ascii="仿宋_GB2312" w:hAnsi="仿宋_GB2312" w:eastAsia="仿宋_GB2312" w:cs="仿宋_GB2312"/>
          <w:color w:val="auto"/>
          <w:kern w:val="0"/>
          <w:sz w:val="32"/>
          <w:szCs w:val="32"/>
          <w:highlight w:val="yellow"/>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lang w:eastAsia="zh-CN"/>
        </w:rPr>
        <w:t>卫生健康支出（</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）计划生育事务（</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lang w:eastAsia="zh-CN"/>
        </w:rPr>
        <w:t>）、计划生育服务（</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0.21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0.21</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2023年没有些项专项拨款。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lang w:eastAsia="zh-CN"/>
        </w:rPr>
        <w:t>卫生健康支出（</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）行政事业单位医疗（</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lang w:eastAsia="zh-CN"/>
        </w:rPr>
        <w:t>）行政事业单位医疗（</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21.58</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1.27</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5.55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在职人员减少。</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卫生健康支出（</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）行政事业单位医疗（</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lang w:eastAsia="zh-CN"/>
        </w:rPr>
        <w:t>）公务员医疗补助（</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4.63</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1.65</w:t>
      </w:r>
      <w:r>
        <w:rPr>
          <w:rFonts w:hint="eastAsia" w:ascii="仿宋_GB2312" w:hAnsi="仿宋_GB2312" w:eastAsia="仿宋_GB2312" w:cs="仿宋_GB2312"/>
          <w:color w:val="auto"/>
          <w:kern w:val="0"/>
          <w:sz w:val="32"/>
          <w:szCs w:val="32"/>
          <w:highlight w:val="none"/>
        </w:rPr>
        <w:t xml:space="preserve"> 万元，下降 </w:t>
      </w:r>
      <w:r>
        <w:rPr>
          <w:rFonts w:hint="eastAsia" w:ascii="仿宋_GB2312" w:hAnsi="仿宋_GB2312" w:eastAsia="仿宋_GB2312" w:cs="仿宋_GB2312"/>
          <w:color w:val="auto"/>
          <w:kern w:val="0"/>
          <w:sz w:val="32"/>
          <w:szCs w:val="32"/>
          <w:highlight w:val="none"/>
          <w:lang w:val="en-US" w:eastAsia="zh-CN"/>
        </w:rPr>
        <w:t>26.27</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在职人员减少。</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5 .</w:t>
      </w:r>
      <w:r>
        <w:rPr>
          <w:rFonts w:hint="eastAsia" w:ascii="仿宋_GB2312" w:hAnsi="仿宋_GB2312" w:eastAsia="仿宋_GB2312" w:cs="仿宋_GB2312"/>
          <w:color w:val="auto"/>
          <w:kern w:val="0"/>
          <w:sz w:val="32"/>
          <w:szCs w:val="32"/>
          <w:highlight w:val="none"/>
          <w:lang w:eastAsia="zh-CN"/>
        </w:rPr>
        <w:t>其他行政事业单位医疗支出2024年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0.13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62.5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工资调整，基数上调。</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6 .</w:t>
      </w:r>
      <w:r>
        <w:rPr>
          <w:rFonts w:hint="eastAsia" w:ascii="仿宋_GB2312" w:hAnsi="仿宋_GB2312" w:eastAsia="仿宋_GB2312" w:cs="仿宋_GB2312"/>
          <w:color w:val="auto"/>
          <w:kern w:val="0"/>
          <w:sz w:val="32"/>
          <w:szCs w:val="32"/>
          <w:highlight w:val="none"/>
          <w:lang w:eastAsia="zh-CN"/>
        </w:rPr>
        <w:t>住房</w:t>
      </w:r>
      <w:r>
        <w:rPr>
          <w:rFonts w:hint="eastAsia" w:ascii="仿宋_GB2312" w:hAnsi="仿宋_GB2312" w:eastAsia="仿宋_GB2312" w:cs="仿宋_GB2312"/>
          <w:color w:val="auto"/>
          <w:kern w:val="0"/>
          <w:sz w:val="32"/>
          <w:szCs w:val="32"/>
          <w:highlight w:val="none"/>
          <w:lang w:val="en-US" w:eastAsia="zh-CN"/>
        </w:rPr>
        <w:t>保障支出、住房改革支出、</w:t>
      </w:r>
      <w:r>
        <w:rPr>
          <w:rFonts w:hint="eastAsia" w:ascii="仿宋_GB2312" w:hAnsi="仿宋_GB2312" w:eastAsia="仿宋_GB2312" w:cs="仿宋_GB2312"/>
          <w:color w:val="auto"/>
          <w:kern w:val="0"/>
          <w:sz w:val="32"/>
          <w:szCs w:val="32"/>
          <w:highlight w:val="none"/>
          <w:lang w:eastAsia="zh-CN"/>
        </w:rPr>
        <w:t>住房公积金，2024年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28.11</w:t>
      </w:r>
      <w:r>
        <w:rPr>
          <w:rFonts w:hint="eastAsia" w:ascii="仿宋_GB2312" w:hAnsi="仿宋_GB2312" w:eastAsia="仿宋_GB2312" w:cs="仿宋_GB2312"/>
          <w:color w:val="auto"/>
          <w:kern w:val="0"/>
          <w:sz w:val="32"/>
          <w:szCs w:val="32"/>
          <w:highlight w:val="none"/>
        </w:rPr>
        <w:t xml:space="preserve">万元，比上年预算增加 </w:t>
      </w:r>
      <w:r>
        <w:rPr>
          <w:rFonts w:hint="eastAsia" w:ascii="仿宋_GB2312" w:hAnsi="仿宋_GB2312" w:eastAsia="仿宋_GB2312" w:cs="仿宋_GB2312"/>
          <w:color w:val="auto"/>
          <w:kern w:val="0"/>
          <w:sz w:val="32"/>
          <w:szCs w:val="32"/>
          <w:highlight w:val="none"/>
          <w:lang w:val="en-US" w:eastAsia="zh-CN"/>
        </w:rPr>
        <w:t>1.77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6.72</w:t>
      </w:r>
      <w:r>
        <w:rPr>
          <w:rFonts w:hint="eastAsia" w:ascii="仿宋_GB2312" w:hAnsi="仿宋_GB2312" w:eastAsia="仿宋_GB2312" w:cs="仿宋_GB2312"/>
          <w:color w:val="auto"/>
          <w:kern w:val="0"/>
          <w:sz w:val="32"/>
          <w:szCs w:val="32"/>
          <w:highlight w:val="none"/>
        </w:rPr>
        <w:t xml:space="preserve">%，主要原因是： </w:t>
      </w:r>
      <w:r>
        <w:rPr>
          <w:rFonts w:hint="eastAsia" w:ascii="仿宋_GB2312" w:hAnsi="仿宋_GB2312" w:eastAsia="仿宋_GB2312" w:cs="仿宋_GB2312"/>
          <w:color w:val="auto"/>
          <w:kern w:val="0"/>
          <w:sz w:val="32"/>
          <w:szCs w:val="32"/>
          <w:highlight w:val="none"/>
          <w:lang w:val="en-US" w:eastAsia="zh-CN"/>
        </w:rPr>
        <w:t>工资调整，基数上调。</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val="en-US" w:eastAsia="zh-CN"/>
        </w:rPr>
        <w:t>呼图壁县雀尔沟镇卫生院</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372.83</w:t>
      </w:r>
      <w:r>
        <w:rPr>
          <w:rFonts w:hint="eastAsia" w:ascii="仿宋_GB2312" w:hAnsi="宋体" w:eastAsia="仿宋_GB2312" w:cs="宋体"/>
          <w:color w:val="auto"/>
          <w:spacing w:val="-6"/>
          <w:kern w:val="0"/>
          <w:sz w:val="32"/>
          <w:szCs w:val="32"/>
          <w:highlight w:val="none"/>
        </w:rPr>
        <w:t>万元， 其中：</w:t>
      </w:r>
    </w:p>
    <w:p>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359.64</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业年金缴费、职工基本医疗保险缴费、公务员医疗补助缴费、其他社会保障缴费、住房公积金、医疗费、其他工资福利支出、退休费、生活补助、对个人和家庭的补助</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其他对个人和家庭的补助等。</w:t>
      </w:r>
    </w:p>
    <w:p>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13.19</w:t>
      </w:r>
      <w:r>
        <w:rPr>
          <w:rFonts w:hint="eastAsia" w:ascii="仿宋_GB2312" w:hAnsi="宋体" w:eastAsia="仿宋_GB2312" w:cs="宋体"/>
          <w:color w:val="auto"/>
          <w:kern w:val="0"/>
          <w:sz w:val="32"/>
          <w:szCs w:val="32"/>
          <w:highlight w:val="none"/>
        </w:rPr>
        <w:t>万元，主要包括：办公费、印刷费、手续费、水费、电费、邮电费、取暖费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差旅费、因公出国（境）费、维修（护）费、租赁费、会议费、培训费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工会经费、其他交通费用、税金及附加费用、其他商品和服务支出、办公设备购置、专用设备购置等。</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本单位2024</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呼图壁县雀尔沟镇卫生院</w:t>
      </w:r>
      <w:r>
        <w:rPr>
          <w:rFonts w:hint="eastAsia" w:ascii="仿宋_GB2312" w:hAnsi="仿宋_GB2312" w:eastAsia="仿宋_GB2312" w:cs="仿宋_GB2312"/>
          <w:color w:val="auto"/>
          <w:kern w:val="0"/>
          <w:sz w:val="32"/>
          <w:szCs w:val="32"/>
          <w:highlight w:val="none"/>
          <w:lang w:eastAsia="zh-CN"/>
        </w:rPr>
        <w:t>2024年没有使用政府性基金预算拨款安排的支出，政府性基金预</w:t>
      </w:r>
      <w:r>
        <w:rPr>
          <w:rFonts w:hint="eastAsia" w:ascii="仿宋_GB2312" w:hAnsi="仿宋_GB2312" w:eastAsia="仿宋_GB2312" w:cs="仿宋_GB2312"/>
          <w:color w:val="auto"/>
          <w:kern w:val="0"/>
          <w:sz w:val="32"/>
          <w:szCs w:val="32"/>
          <w:highlight w:val="none"/>
        </w:rPr>
        <w:t>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呼图壁县雀尔沟镇卫生院</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其中：因公出国（境）费减少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2023和2024年均未安排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2023和2024年均未安排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增长下降</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2023和2024年均未安排</w:t>
      </w:r>
      <w:r>
        <w:rPr>
          <w:rFonts w:hint="eastAsia" w:ascii="仿宋_GB2312" w:hAnsi="宋体" w:eastAsia="仿宋_GB2312" w:cs="宋体"/>
          <w:color w:val="auto"/>
          <w:kern w:val="0"/>
          <w:sz w:val="32"/>
          <w:szCs w:val="32"/>
          <w:highlight w:val="none"/>
        </w:rPr>
        <w:t>公务用车运行费；公务接待费减少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呼图壁县雀尔沟镇卫生院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lang w:eastAsia="zh-CN"/>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lang w:eastAsia="zh-CN"/>
        </w:rPr>
        <w:t>预算支出情况表为空</w:t>
      </w:r>
      <w:r>
        <w:rPr>
          <w:rFonts w:hint="eastAsia" w:ascii="仿宋_GB2312" w:hAnsi="仿宋_GB2312" w:eastAsia="仿宋_GB2312" w:cs="仿宋_GB2312"/>
          <w:color w:val="auto"/>
          <w:kern w:val="0"/>
          <w:sz w:val="32"/>
          <w:szCs w:val="32"/>
          <w:highlight w:val="none"/>
        </w:rPr>
        <w:t>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呼图壁县雀尔沟镇卫生院2</w:t>
      </w:r>
      <w:r>
        <w:rPr>
          <w:rFonts w:hint="eastAsia" w:ascii="仿宋_GB2312" w:hAnsi="仿宋_GB2312" w:eastAsia="仿宋_GB2312" w:cs="仿宋_GB2312"/>
          <w:color w:val="auto"/>
          <w:kern w:val="0"/>
          <w:sz w:val="32"/>
          <w:szCs w:val="32"/>
          <w:highlight w:val="none"/>
          <w:lang w:eastAsia="zh-CN"/>
        </w:rPr>
        <w:t>024年</w:t>
      </w:r>
      <w:r>
        <w:rPr>
          <w:rFonts w:hint="eastAsia" w:ascii="仿宋_GB2312" w:hAnsi="仿宋_GB2312" w:eastAsia="仿宋_GB2312" w:cs="仿宋_GB2312"/>
          <w:color w:val="auto"/>
          <w:kern w:val="0"/>
          <w:sz w:val="32"/>
          <w:szCs w:val="32"/>
          <w:highlight w:val="none"/>
          <w:lang w:val="en-US" w:eastAsia="zh-CN"/>
        </w:rPr>
        <w:t>上年结转结余0.21万元，包括：财政拨款0.21万元，非财政拨款0万元，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昌州财办社【2022】17号  2023年自治区计划生育服务补助资金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项目）0.21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主要用于：计划生育服务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呼图壁县雀尔沟镇卫生院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13.19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办公设备老化。</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呼图壁县雀尔沟镇卫生院</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48.48</w:t>
      </w:r>
      <w:r>
        <w:rPr>
          <w:rFonts w:hint="eastAsia" w:ascii="仿宋_GB2312" w:hAnsi="仿宋_GB2312" w:eastAsia="仿宋_GB2312" w:cs="仿宋_GB2312"/>
          <w:color w:val="auto"/>
          <w:kern w:val="0"/>
          <w:sz w:val="32"/>
          <w:szCs w:val="32"/>
          <w:highlight w:val="none"/>
        </w:rPr>
        <w:t xml:space="preserve">  万元，其中：政府采购货物预算 </w:t>
      </w:r>
      <w:r>
        <w:rPr>
          <w:rFonts w:hint="eastAsia" w:ascii="仿宋_GB2312" w:hAnsi="仿宋_GB2312" w:eastAsia="仿宋_GB2312" w:cs="仿宋_GB2312"/>
          <w:color w:val="auto"/>
          <w:kern w:val="0"/>
          <w:sz w:val="32"/>
          <w:szCs w:val="32"/>
          <w:highlight w:val="none"/>
          <w:lang w:val="en-US" w:eastAsia="zh-CN"/>
        </w:rPr>
        <w:t>22.48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万元，政府采购服务预</w:t>
      </w: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val="en-US" w:eastAsia="zh-CN"/>
        </w:rPr>
        <w:t>呼图壁县雀尔沟镇卫生院</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22.48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22.48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呼图壁县雀尔沟镇卫生院</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3013</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349.12</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47.14</w:t>
      </w:r>
      <w:r>
        <w:rPr>
          <w:rFonts w:hint="eastAsia" w:ascii="仿宋_GB2312" w:hAnsi="仿宋_GB2312" w:eastAsia="仿宋_GB2312" w:cs="仿宋_GB2312"/>
          <w:color w:val="auto"/>
          <w:kern w:val="0"/>
          <w:sz w:val="32"/>
          <w:szCs w:val="32"/>
          <w:highlight w:val="none"/>
        </w:rPr>
        <w:t xml:space="preserve"> 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47.14</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15.89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341.18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台（套），部门（单位）价值100万元以上大型设备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部门（单位）预算未安排购置车辆经费（或安排购置车辆经费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整体预算绩效目标1个，涉及金额0.21万元；当年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呼图壁县雀尔沟镇卫生院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赛里汗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18999554898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雀尔沟卫生院是一个公益一类综合性医疗机构，其任务是雀尔沟镇各项医疗卫生工作，组织领导群众卫生运动，培养卫生技术人员。并对村卫生室进行指导工作。是农村医疗网点行重要工作，担负着医疗防疫、个中个中保健重要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373.04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基本公共卫生服务人口数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&gt;=11060人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呼图壁县雀尔沟卫生院整体支出工作计划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全民体检人数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&gt;=10115人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呼图壁县雀尔沟卫生院整体支出工作计划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exac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基本公共卫生服务项目数量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&gt;=14</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呼图壁县雀尔沟卫生院整体支出工作计划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乡村医生培训次数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呼图壁县雀尔沟卫生院整体支出工作计划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W w:w="109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23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096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96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8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2024年中央财政基本公共卫生服务补助资金</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4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赛里汗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45.58</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4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80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老人健康管理建档数不少于900人，开展业务指导次数不少于2次，缩小城乡居民公共卫生差距，成本控制率100%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3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老年人健康管理建档数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&gt;=900人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开展业务指导次数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老年人健康管理率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缩小城乡居民公共卫生差距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楷体_GB2312" w:hAnsi="宋体" w:eastAsia="楷体_GB2312" w:cs="宋体"/>
          <w:b/>
          <w:kern w:val="0"/>
          <w:sz w:val="32"/>
          <w:szCs w:val="32"/>
          <w:highlight w:val="yellow"/>
          <w:lang w:val="en-US" w:eastAsia="zh-CN"/>
        </w:rPr>
      </w:pPr>
      <w:r>
        <w:rPr>
          <w:rFonts w:hint="eastAsia" w:ascii="仿宋_GB2312" w:hAnsi="宋体" w:eastAsia="仿宋_GB2312" w:cs="宋体"/>
          <w:color w:val="auto"/>
          <w:kern w:val="0"/>
          <w:sz w:val="32"/>
          <w:szCs w:val="32"/>
          <w:highlight w:val="yellow"/>
          <w:lang w:eastAsia="zh-CN"/>
        </w:rPr>
        <w:t>呼图壁县</w:t>
      </w:r>
      <w:r>
        <w:rPr>
          <w:rFonts w:hint="eastAsia" w:ascii="仿宋_GB2312" w:hAnsi="宋体" w:eastAsia="仿宋_GB2312" w:cs="宋体"/>
          <w:color w:val="auto"/>
          <w:kern w:val="0"/>
          <w:sz w:val="32"/>
          <w:szCs w:val="32"/>
          <w:highlight w:val="yellow"/>
          <w:lang w:val="en-US" w:eastAsia="zh-CN"/>
        </w:rPr>
        <w:t>雀尔沟卫生</w:t>
      </w:r>
      <w:r>
        <w:rPr>
          <w:rFonts w:hint="eastAsia" w:ascii="仿宋_GB2312" w:hAnsi="宋体" w:eastAsia="仿宋_GB2312" w:cs="宋体"/>
          <w:color w:val="auto"/>
          <w:kern w:val="0"/>
          <w:sz w:val="32"/>
          <w:szCs w:val="32"/>
          <w:highlight w:val="yellow"/>
          <w:lang w:eastAsia="zh-CN"/>
        </w:rPr>
        <w:t>院</w:t>
      </w:r>
      <w:r>
        <w:rPr>
          <w:rFonts w:hint="eastAsia" w:ascii="仿宋_GB2312" w:hAnsi="仿宋_GB2312" w:eastAsia="仿宋_GB2312" w:cs="仿宋_GB2312"/>
          <w:color w:val="auto"/>
          <w:kern w:val="0"/>
          <w:sz w:val="32"/>
          <w:szCs w:val="32"/>
          <w:highlight w:val="yellow"/>
          <w:lang w:eastAsia="zh-CN"/>
        </w:rPr>
        <w:t>2024年</w:t>
      </w:r>
      <w:r>
        <w:rPr>
          <w:rFonts w:hint="eastAsia" w:ascii="仿宋_GB2312" w:hAnsi="仿宋_GB2312" w:eastAsia="仿宋_GB2312" w:cs="仿宋_GB2312"/>
          <w:color w:val="auto"/>
          <w:kern w:val="0"/>
          <w:sz w:val="32"/>
          <w:szCs w:val="32"/>
          <w:highlight w:val="yellow"/>
          <w:lang w:val="en-US" w:eastAsia="zh-CN"/>
        </w:rPr>
        <w:t>单位资金</w:t>
      </w:r>
      <w:r>
        <w:rPr>
          <w:rFonts w:hint="eastAsia" w:ascii="仿宋_GB2312" w:hAnsi="仿宋_GB2312" w:eastAsia="仿宋_GB2312" w:cs="仿宋_GB2312"/>
          <w:color w:val="auto"/>
          <w:kern w:val="0"/>
          <w:sz w:val="32"/>
          <w:szCs w:val="32"/>
          <w:highlight w:val="yellow"/>
        </w:rPr>
        <w:t>预算</w:t>
      </w:r>
      <w:r>
        <w:rPr>
          <w:rFonts w:hint="eastAsia" w:ascii="仿宋_GB2312" w:hAnsi="仿宋_GB2312" w:eastAsia="仿宋_GB2312" w:cs="仿宋_GB2312"/>
          <w:color w:val="auto"/>
          <w:kern w:val="0"/>
          <w:sz w:val="32"/>
          <w:szCs w:val="32"/>
          <w:highlight w:val="yellow"/>
          <w:lang w:val="en-US" w:eastAsia="zh-CN"/>
        </w:rPr>
        <w:t>373.04</w:t>
      </w:r>
      <w:r>
        <w:rPr>
          <w:rFonts w:hint="eastAsia" w:ascii="仿宋_GB2312" w:hAnsi="仿宋_GB2312" w:eastAsia="仿宋_GB2312" w:cs="仿宋_GB2312"/>
          <w:color w:val="auto"/>
          <w:kern w:val="0"/>
          <w:sz w:val="32"/>
          <w:szCs w:val="32"/>
          <w:highlight w:val="yellow"/>
        </w:rPr>
        <w:t>万元，比上年预算增加</w:t>
      </w:r>
      <w:r>
        <w:rPr>
          <w:rFonts w:hint="eastAsia" w:ascii="仿宋_GB2312" w:hAnsi="仿宋_GB2312" w:eastAsia="仿宋_GB2312" w:cs="仿宋_GB2312"/>
          <w:color w:val="auto"/>
          <w:kern w:val="0"/>
          <w:sz w:val="32"/>
          <w:szCs w:val="32"/>
          <w:highlight w:val="yellow"/>
          <w:lang w:val="en-US" w:eastAsia="zh-CN"/>
        </w:rPr>
        <w:t>22.46</w:t>
      </w:r>
      <w:r>
        <w:rPr>
          <w:rFonts w:hint="eastAsia" w:ascii="仿宋_GB2312" w:hAnsi="仿宋_GB2312" w:eastAsia="仿宋_GB2312" w:cs="仿宋_GB2312"/>
          <w:color w:val="auto"/>
          <w:kern w:val="0"/>
          <w:sz w:val="32"/>
          <w:szCs w:val="32"/>
          <w:highlight w:val="yellow"/>
        </w:rPr>
        <w:t>万元，增长</w:t>
      </w:r>
      <w:r>
        <w:rPr>
          <w:rFonts w:hint="eastAsia" w:ascii="仿宋_GB2312" w:hAnsi="仿宋_GB2312" w:eastAsia="仿宋_GB2312" w:cs="仿宋_GB2312"/>
          <w:color w:val="auto"/>
          <w:kern w:val="0"/>
          <w:sz w:val="32"/>
          <w:szCs w:val="32"/>
          <w:highlight w:val="yellow"/>
          <w:lang w:val="en-US" w:eastAsia="zh-CN"/>
        </w:rPr>
        <w:t>6</w:t>
      </w:r>
      <w:r>
        <w:rPr>
          <w:rFonts w:hint="eastAsia" w:ascii="仿宋_GB2312" w:hAnsi="仿宋_GB2312" w:eastAsia="仿宋_GB2312" w:cs="仿宋_GB2312"/>
          <w:color w:val="auto"/>
          <w:kern w:val="0"/>
          <w:sz w:val="32"/>
          <w:szCs w:val="32"/>
          <w:highlight w:val="yellow"/>
        </w:rPr>
        <w:t>%。主要原因是</w:t>
      </w:r>
      <w:r>
        <w:rPr>
          <w:rFonts w:hint="eastAsia" w:ascii="仿宋_GB2312" w:hAnsi="宋体" w:eastAsia="仿宋_GB2312" w:cs="宋体"/>
          <w:color w:val="auto"/>
          <w:kern w:val="0"/>
          <w:sz w:val="32"/>
          <w:szCs w:val="32"/>
          <w:highlight w:val="yellow"/>
          <w:lang w:val="en-US" w:eastAsia="zh-CN"/>
        </w:rPr>
        <w:t>新增在编职工4人员经费</w:t>
      </w:r>
      <w:r>
        <w:rPr>
          <w:rFonts w:hint="eastAsia" w:ascii="仿宋_GB2312" w:hAnsi="仿宋_GB2312" w:eastAsia="仿宋_GB2312" w:cs="仿宋_GB2312"/>
          <w:color w:val="auto"/>
          <w:kern w:val="0"/>
          <w:sz w:val="32"/>
          <w:szCs w:val="32"/>
          <w:highlight w:val="yellow"/>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呼图壁县雀尔沟镇卫生院</w:t>
      </w:r>
      <w:r>
        <w:rPr>
          <w:rFonts w:hint="eastAsia" w:ascii="仿宋_GB2312" w:hAnsi="宋体" w:eastAsia="仿宋_GB2312" w:cs="宋体"/>
          <w:kern w:val="0"/>
          <w:sz w:val="32"/>
          <w:szCs w:val="32"/>
          <w:highlight w:val="none"/>
        </w:rPr>
        <w:t>（单位）</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二0二四</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七</w:t>
      </w:r>
      <w:r>
        <w:rPr>
          <w:rFonts w:ascii="仿宋_GB2312" w:hAnsi="宋体" w:eastAsia="仿宋_GB2312" w:cs="宋体"/>
          <w:kern w:val="0"/>
          <w:sz w:val="32"/>
          <w:szCs w:val="32"/>
          <w:highlight w:val="none"/>
        </w:rPr>
        <w:t>月</w:t>
      </w:r>
      <w:bookmarkStart w:id="0" w:name="_GoBack"/>
      <w:bookmarkEnd w:id="0"/>
      <w:r>
        <w:rPr>
          <w:rFonts w:hint="eastAsia" w:ascii="仿宋_GB2312" w:hAnsi="宋体" w:eastAsia="仿宋_GB2312" w:cs="宋体"/>
          <w:kern w:val="0"/>
          <w:sz w:val="32"/>
          <w:szCs w:val="32"/>
          <w:highlight w:val="none"/>
          <w:lang w:val="en-US" w:eastAsia="zh-CN"/>
        </w:rPr>
        <w:t>十六</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386ED6"/>
    <w:multiLevelType w:val="singleLevel"/>
    <w:tmpl w:val="A1386ED6"/>
    <w:lvl w:ilvl="0" w:tentative="0">
      <w:start w:val="7"/>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abstractNum w:abstractNumId="2">
    <w:nsid w:val="7F72F571"/>
    <w:multiLevelType w:val="singleLevel"/>
    <w:tmpl w:val="7F72F571"/>
    <w:lvl w:ilvl="0" w:tentative="0">
      <w:start w:val="8"/>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3MDNiMjljYjNkNTY0M2I5MGQ0ZjU3ZDIzNTY3OGIifQ=="/>
  </w:docVars>
  <w:rsids>
    <w:rsidRoot w:val="10587512"/>
    <w:rsid w:val="00142300"/>
    <w:rsid w:val="00EE2224"/>
    <w:rsid w:val="010D4EEF"/>
    <w:rsid w:val="010F7748"/>
    <w:rsid w:val="0247556A"/>
    <w:rsid w:val="02624152"/>
    <w:rsid w:val="03394157"/>
    <w:rsid w:val="03D746CC"/>
    <w:rsid w:val="04267B2D"/>
    <w:rsid w:val="05397FD9"/>
    <w:rsid w:val="055406CA"/>
    <w:rsid w:val="05CA5F5E"/>
    <w:rsid w:val="070E6657"/>
    <w:rsid w:val="071E7CCD"/>
    <w:rsid w:val="07A55306"/>
    <w:rsid w:val="08450B28"/>
    <w:rsid w:val="089A364A"/>
    <w:rsid w:val="0AE24024"/>
    <w:rsid w:val="0B247F12"/>
    <w:rsid w:val="0B5C1160"/>
    <w:rsid w:val="0BB579E9"/>
    <w:rsid w:val="0C43616D"/>
    <w:rsid w:val="0D1E76B5"/>
    <w:rsid w:val="0D6E5FD0"/>
    <w:rsid w:val="0E12182B"/>
    <w:rsid w:val="0E820056"/>
    <w:rsid w:val="0E9208E7"/>
    <w:rsid w:val="0EF347E7"/>
    <w:rsid w:val="0F197C22"/>
    <w:rsid w:val="0F254CC5"/>
    <w:rsid w:val="0FC81CD8"/>
    <w:rsid w:val="0FFE5B17"/>
    <w:rsid w:val="10587512"/>
    <w:rsid w:val="10916BDA"/>
    <w:rsid w:val="10AC59F3"/>
    <w:rsid w:val="10DF71DD"/>
    <w:rsid w:val="10EF71F3"/>
    <w:rsid w:val="12E67AC4"/>
    <w:rsid w:val="133773EE"/>
    <w:rsid w:val="1380268A"/>
    <w:rsid w:val="13897791"/>
    <w:rsid w:val="13A4490A"/>
    <w:rsid w:val="14D211EC"/>
    <w:rsid w:val="14FF62E1"/>
    <w:rsid w:val="152F3C74"/>
    <w:rsid w:val="15913383"/>
    <w:rsid w:val="15A2607E"/>
    <w:rsid w:val="15B939EF"/>
    <w:rsid w:val="16394D0D"/>
    <w:rsid w:val="164155CB"/>
    <w:rsid w:val="16952078"/>
    <w:rsid w:val="1697741D"/>
    <w:rsid w:val="16D231FD"/>
    <w:rsid w:val="1732414C"/>
    <w:rsid w:val="17A27AB4"/>
    <w:rsid w:val="184F2733"/>
    <w:rsid w:val="18952734"/>
    <w:rsid w:val="19726F19"/>
    <w:rsid w:val="1997072D"/>
    <w:rsid w:val="1AF40EA6"/>
    <w:rsid w:val="1B754A9E"/>
    <w:rsid w:val="1BD143CB"/>
    <w:rsid w:val="1BEB54C3"/>
    <w:rsid w:val="1C3C6084"/>
    <w:rsid w:val="1CEB6DC6"/>
    <w:rsid w:val="1CFB0597"/>
    <w:rsid w:val="1D310127"/>
    <w:rsid w:val="1D3A7D4E"/>
    <w:rsid w:val="1D3E1AFE"/>
    <w:rsid w:val="1D5B1FD4"/>
    <w:rsid w:val="1DAC0BCF"/>
    <w:rsid w:val="1DFE2D37"/>
    <w:rsid w:val="1E4F395F"/>
    <w:rsid w:val="1EB61656"/>
    <w:rsid w:val="1F2F69AA"/>
    <w:rsid w:val="1F74398A"/>
    <w:rsid w:val="1F99463C"/>
    <w:rsid w:val="1F9D643B"/>
    <w:rsid w:val="1FE50445"/>
    <w:rsid w:val="205C002D"/>
    <w:rsid w:val="20A00415"/>
    <w:rsid w:val="20DD55C0"/>
    <w:rsid w:val="20E26732"/>
    <w:rsid w:val="212E3725"/>
    <w:rsid w:val="2186530F"/>
    <w:rsid w:val="22970BAB"/>
    <w:rsid w:val="22BD7457"/>
    <w:rsid w:val="22D80C7C"/>
    <w:rsid w:val="22DB78DD"/>
    <w:rsid w:val="237D6BE6"/>
    <w:rsid w:val="244D65B8"/>
    <w:rsid w:val="2492221D"/>
    <w:rsid w:val="25205589"/>
    <w:rsid w:val="25487728"/>
    <w:rsid w:val="254C061E"/>
    <w:rsid w:val="2556149D"/>
    <w:rsid w:val="25AF47E7"/>
    <w:rsid w:val="25D7082F"/>
    <w:rsid w:val="25DF6C17"/>
    <w:rsid w:val="25EA61DD"/>
    <w:rsid w:val="262437AD"/>
    <w:rsid w:val="265D2576"/>
    <w:rsid w:val="26B4291F"/>
    <w:rsid w:val="26E769FA"/>
    <w:rsid w:val="282F658A"/>
    <w:rsid w:val="28E5650E"/>
    <w:rsid w:val="293B2E83"/>
    <w:rsid w:val="2979445E"/>
    <w:rsid w:val="29917557"/>
    <w:rsid w:val="29DC49F4"/>
    <w:rsid w:val="2A012DF7"/>
    <w:rsid w:val="2AFC4894"/>
    <w:rsid w:val="2B26251C"/>
    <w:rsid w:val="2B275501"/>
    <w:rsid w:val="2C063BFD"/>
    <w:rsid w:val="2CA803F5"/>
    <w:rsid w:val="2CC16556"/>
    <w:rsid w:val="2D480265"/>
    <w:rsid w:val="2D977453"/>
    <w:rsid w:val="2EA9088F"/>
    <w:rsid w:val="2EB678A6"/>
    <w:rsid w:val="2EF22236"/>
    <w:rsid w:val="2F6027D8"/>
    <w:rsid w:val="2FDB6B9B"/>
    <w:rsid w:val="30052628"/>
    <w:rsid w:val="30993B0E"/>
    <w:rsid w:val="30E82555"/>
    <w:rsid w:val="3146720F"/>
    <w:rsid w:val="316C04ED"/>
    <w:rsid w:val="32241DFD"/>
    <w:rsid w:val="32715B68"/>
    <w:rsid w:val="32794A1C"/>
    <w:rsid w:val="32E52C8C"/>
    <w:rsid w:val="33021B41"/>
    <w:rsid w:val="34D449C8"/>
    <w:rsid w:val="35F51740"/>
    <w:rsid w:val="3625361F"/>
    <w:rsid w:val="37932A75"/>
    <w:rsid w:val="37992C39"/>
    <w:rsid w:val="37DD5222"/>
    <w:rsid w:val="38637D01"/>
    <w:rsid w:val="386F2FDB"/>
    <w:rsid w:val="388163D9"/>
    <w:rsid w:val="38D94467"/>
    <w:rsid w:val="38E43645"/>
    <w:rsid w:val="3936680A"/>
    <w:rsid w:val="3B2220F5"/>
    <w:rsid w:val="3B815EB0"/>
    <w:rsid w:val="3B9D3C7E"/>
    <w:rsid w:val="3BAA5C47"/>
    <w:rsid w:val="3BE17176"/>
    <w:rsid w:val="3D4E0171"/>
    <w:rsid w:val="3DBD311F"/>
    <w:rsid w:val="3DD0207E"/>
    <w:rsid w:val="3E1C7D2A"/>
    <w:rsid w:val="3E46434D"/>
    <w:rsid w:val="3E5F1F3D"/>
    <w:rsid w:val="3EA03A5D"/>
    <w:rsid w:val="3ECF7E9E"/>
    <w:rsid w:val="3F193D5F"/>
    <w:rsid w:val="3F60143E"/>
    <w:rsid w:val="3F871C1D"/>
    <w:rsid w:val="3FD15E98"/>
    <w:rsid w:val="3FDF4D23"/>
    <w:rsid w:val="3FE6341E"/>
    <w:rsid w:val="401A01BA"/>
    <w:rsid w:val="40721522"/>
    <w:rsid w:val="41D75F28"/>
    <w:rsid w:val="42553EE8"/>
    <w:rsid w:val="425E157A"/>
    <w:rsid w:val="434E5D43"/>
    <w:rsid w:val="435A5694"/>
    <w:rsid w:val="4364538A"/>
    <w:rsid w:val="43C26223"/>
    <w:rsid w:val="43D8307E"/>
    <w:rsid w:val="44962078"/>
    <w:rsid w:val="454E5EF8"/>
    <w:rsid w:val="45E33D2A"/>
    <w:rsid w:val="46101C61"/>
    <w:rsid w:val="46845A12"/>
    <w:rsid w:val="46CE3131"/>
    <w:rsid w:val="47695B70"/>
    <w:rsid w:val="47DE272E"/>
    <w:rsid w:val="48651163"/>
    <w:rsid w:val="487F29FA"/>
    <w:rsid w:val="494F7907"/>
    <w:rsid w:val="495229B9"/>
    <w:rsid w:val="49EB7B56"/>
    <w:rsid w:val="4C0055E5"/>
    <w:rsid w:val="4C3677AE"/>
    <w:rsid w:val="4C706B3A"/>
    <w:rsid w:val="4CB6509F"/>
    <w:rsid w:val="4CDD40CE"/>
    <w:rsid w:val="4D001B6A"/>
    <w:rsid w:val="4DF4654D"/>
    <w:rsid w:val="4EB30EE8"/>
    <w:rsid w:val="50307459"/>
    <w:rsid w:val="51891C71"/>
    <w:rsid w:val="51A229D8"/>
    <w:rsid w:val="51C15CED"/>
    <w:rsid w:val="51CE7F16"/>
    <w:rsid w:val="52200FA6"/>
    <w:rsid w:val="52285DEB"/>
    <w:rsid w:val="52AD62F0"/>
    <w:rsid w:val="52E86650"/>
    <w:rsid w:val="53137C81"/>
    <w:rsid w:val="541F557F"/>
    <w:rsid w:val="546308FE"/>
    <w:rsid w:val="547C41CC"/>
    <w:rsid w:val="54AA0D3A"/>
    <w:rsid w:val="551A2BB9"/>
    <w:rsid w:val="55CE5FB6"/>
    <w:rsid w:val="568A12E5"/>
    <w:rsid w:val="56E2112C"/>
    <w:rsid w:val="574553B2"/>
    <w:rsid w:val="574F29FA"/>
    <w:rsid w:val="582E6289"/>
    <w:rsid w:val="586D62C7"/>
    <w:rsid w:val="58AB10BE"/>
    <w:rsid w:val="5A584288"/>
    <w:rsid w:val="5ACF76B3"/>
    <w:rsid w:val="5B1E2A0B"/>
    <w:rsid w:val="5B4F552B"/>
    <w:rsid w:val="5C3C5BCF"/>
    <w:rsid w:val="5C480BD8"/>
    <w:rsid w:val="5C8A67DC"/>
    <w:rsid w:val="5D2F1DD6"/>
    <w:rsid w:val="5DB54563"/>
    <w:rsid w:val="5ED954E9"/>
    <w:rsid w:val="5F2346ED"/>
    <w:rsid w:val="5FAB2C1E"/>
    <w:rsid w:val="6008350A"/>
    <w:rsid w:val="60CE5344"/>
    <w:rsid w:val="61086613"/>
    <w:rsid w:val="62511B8C"/>
    <w:rsid w:val="62750BEC"/>
    <w:rsid w:val="628C08C3"/>
    <w:rsid w:val="62A9164B"/>
    <w:rsid w:val="62EC09DD"/>
    <w:rsid w:val="63463725"/>
    <w:rsid w:val="63D94F97"/>
    <w:rsid w:val="6408782B"/>
    <w:rsid w:val="649B6646"/>
    <w:rsid w:val="64CC072B"/>
    <w:rsid w:val="65322CBF"/>
    <w:rsid w:val="659A72D5"/>
    <w:rsid w:val="65BB267B"/>
    <w:rsid w:val="65CA3108"/>
    <w:rsid w:val="660B1A57"/>
    <w:rsid w:val="66B92C27"/>
    <w:rsid w:val="66D30FC3"/>
    <w:rsid w:val="67D77904"/>
    <w:rsid w:val="6852376A"/>
    <w:rsid w:val="68CC52CB"/>
    <w:rsid w:val="68DE4FFE"/>
    <w:rsid w:val="694B58D7"/>
    <w:rsid w:val="6995201C"/>
    <w:rsid w:val="69CE4E15"/>
    <w:rsid w:val="6A6F6242"/>
    <w:rsid w:val="6A7E6841"/>
    <w:rsid w:val="6B2018FE"/>
    <w:rsid w:val="6B6802FC"/>
    <w:rsid w:val="6B7F3246"/>
    <w:rsid w:val="6B922FE7"/>
    <w:rsid w:val="6C496BAA"/>
    <w:rsid w:val="6C975BF0"/>
    <w:rsid w:val="6D220DE2"/>
    <w:rsid w:val="6D8A4358"/>
    <w:rsid w:val="6D9756F1"/>
    <w:rsid w:val="6EF07839"/>
    <w:rsid w:val="6F1654F2"/>
    <w:rsid w:val="6F63000B"/>
    <w:rsid w:val="6FCF63C4"/>
    <w:rsid w:val="70903082"/>
    <w:rsid w:val="70B34FC2"/>
    <w:rsid w:val="71B06B42"/>
    <w:rsid w:val="71CF083D"/>
    <w:rsid w:val="72411660"/>
    <w:rsid w:val="72B56DCF"/>
    <w:rsid w:val="730606ED"/>
    <w:rsid w:val="737C0613"/>
    <w:rsid w:val="73A476DB"/>
    <w:rsid w:val="74171388"/>
    <w:rsid w:val="7423107F"/>
    <w:rsid w:val="74E20BD1"/>
    <w:rsid w:val="752D5D10"/>
    <w:rsid w:val="75B570E6"/>
    <w:rsid w:val="76DC4D0E"/>
    <w:rsid w:val="76EE0B02"/>
    <w:rsid w:val="77CB2545"/>
    <w:rsid w:val="77FB761A"/>
    <w:rsid w:val="780A1873"/>
    <w:rsid w:val="78571C40"/>
    <w:rsid w:val="787D11B8"/>
    <w:rsid w:val="792C5912"/>
    <w:rsid w:val="79AC4EBF"/>
    <w:rsid w:val="7AA6121D"/>
    <w:rsid w:val="7CEA3B1A"/>
    <w:rsid w:val="7E8B30DA"/>
    <w:rsid w:val="7EC52FC4"/>
    <w:rsid w:val="7F1E5CFC"/>
    <w:rsid w:val="7FAD3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8217</Words>
  <Characters>10006</Characters>
  <Lines>0</Lines>
  <Paragraphs>0</Paragraphs>
  <TotalTime>22</TotalTime>
  <ScaleCrop>false</ScaleCrop>
  <LinksUpToDate>false</LinksUpToDate>
  <CharactersWithSpaces>11278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2024-07-16T09:36:41Z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6B92E19E160A41BEACD8E61D503A1D99_13</vt:lpwstr>
  </property>
</Properties>
</file>